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p>
    <w:p>
      <w:pPr>
        <w:pStyle w:val="Title"/>
        <w:jc w:val="center"/>
      </w:pPr>
      <w:r>
        <w:t>Technical Documentation</w:t>
      </w:r>
    </w:p>
    <w:p>
      <w:pPr>
        <w:pStyle w:val="Subtitle"/>
        <w:jc w:val="center"/>
      </w:pPr>
      <w:r>
        <w:t>Document Classification and Invoice Information Extraction</w:t>
      </w:r>
    </w:p>
    <w:p>
      <w:r/>
    </w:p>
    <w:p>
      <w:pPr>
        <w:jc w:val="center"/>
      </w:pPr>
      <w:r>
        <w:rPr>
          <w:sz w:val="28"/>
        </w:rPr>
        <w:t>A Hybrid NLP + Computer Vision approach using Traditional Machine Learning and Discriminative Document-Understanding Transformers</w:t>
      </w:r>
    </w:p>
    <w:p>
      <w:r/>
    </w:p>
    <w:p>
      <w:r/>
    </w:p>
    <w:p>
      <w:pPr>
        <w:jc w:val="center"/>
      </w:pPr>
      <w:r>
        <w:rPr>
          <w:b/>
          <w:sz w:val="26"/>
        </w:rPr>
        <w:t>Group 2</w:t>
      </w:r>
    </w:p>
    <w:p>
      <w:pPr>
        <w:jc w:val="center"/>
      </w:pPr>
      <w:r>
        <w:rPr>
          <w:sz w:val="24"/>
        </w:rPr>
        <w:t>Nathaniel Ayoub, Maria Jose Colmenarez, Vako Khvedelidze, Oskar Kloczko, Saeka Ono, Joud Taher</w:t>
      </w:r>
    </w:p>
    <w:p>
      <w:r/>
    </w:p>
    <w:p>
      <w:pPr>
        <w:jc w:val="center"/>
      </w:pPr>
      <w:r>
        <w:rPr>
          <w:sz w:val="24"/>
        </w:rPr>
        <w:t>IE University</w:t>
      </w:r>
    </w:p>
    <w:p>
      <w:pPr>
        <w:jc w:val="center"/>
      </w:pPr>
      <w:r>
        <w:rPr>
          <w:sz w:val="24"/>
        </w:rPr>
        <w:t>AI: Statistical Learning and Prediction</w:t>
      </w:r>
    </w:p>
    <w:p>
      <w:pPr>
        <w:jc w:val="center"/>
      </w:pPr>
      <w:r>
        <w:rPr>
          <w:sz w:val="24"/>
        </w:rPr>
        <w:t>Professor Adrián Sánchez Morales</w:t>
      </w:r>
    </w:p>
    <w:p>
      <w:pPr>
        <w:jc w:val="center"/>
      </w:pPr>
      <w:r>
        <w:rPr>
          <w:sz w:val="24"/>
        </w:rPr>
        <w:t>April 2026</w:t>
      </w:r>
    </w:p>
    <w:p>
      <w:r>
        <w:br w:type="page"/>
      </w:r>
    </w:p>
    <w:p>
      <w:pPr>
        <w:pStyle w:val="Heading1"/>
      </w:pPr>
      <w:r>
        <w:rPr>
          <w:rFonts w:ascii="Times New Roman" w:hAnsi="Times New Roman"/>
          <w:b/>
          <w:color w:val="1A365D"/>
          <w:sz w:val="32"/>
        </w:rPr>
        <w:t>Contents</w:t>
      </w:r>
    </w:p>
    <w:p>
      <w:pPr>
        <w:tabs>
          <w:tab w:pos="8504" w:val="right"/>
        </w:tabs>
      </w:pPr>
      <w:r>
        <w:t>1.  Executive Summary</w:t>
      </w:r>
      <w:r>
        <w:tab/>
        <w:t>3</w:t>
      </w:r>
    </w:p>
    <w:p>
      <w:pPr>
        <w:tabs>
          <w:tab w:pos="8504" w:val="right"/>
        </w:tabs>
      </w:pPr>
      <w:r>
        <w:t>2.  Project Overview &amp; Requirements</w:t>
      </w:r>
      <w:r>
        <w:tab/>
        <w:t>4</w:t>
      </w:r>
    </w:p>
    <w:p>
      <w:pPr>
        <w:tabs>
          <w:tab w:pos="8504" w:val="right"/>
        </w:tabs>
      </w:pPr>
      <w:r>
        <w:t>3.  System Architecture</w:t>
      </w:r>
      <w:r>
        <w:tab/>
        <w:t>6</w:t>
      </w:r>
    </w:p>
    <w:p>
      <w:pPr>
        <w:tabs>
          <w:tab w:pos="8504" w:val="right"/>
        </w:tabs>
      </w:pPr>
      <w:r>
        <w:t>4.  Dataset &amp; Category Selection</w:t>
      </w:r>
      <w:r>
        <w:tab/>
        <w:t>8</w:t>
      </w:r>
    </w:p>
    <w:p>
      <w:pPr>
        <w:tabs>
          <w:tab w:pos="8504" w:val="right"/>
        </w:tabs>
      </w:pPr>
      <w:r>
        <w:t>5.  Classification Pipeline</w:t>
      </w:r>
      <w:r>
        <w:tab/>
        <w:t>10</w:t>
      </w:r>
    </w:p>
    <w:p>
      <w:pPr>
        <w:tabs>
          <w:tab w:pos="8504" w:val="right"/>
        </w:tabs>
      </w:pPr>
      <w:r>
        <w:t>6.  Invoice Extraction Pipeline</w:t>
      </w:r>
      <w:r>
        <w:tab/>
        <w:t>15</w:t>
      </w:r>
    </w:p>
    <w:p>
      <w:pPr>
        <w:tabs>
          <w:tab w:pos="8504" w:val="right"/>
        </w:tabs>
      </w:pPr>
      <w:r>
        <w:t>7.  Alternative Approaches Evaluated</w:t>
      </w:r>
      <w:r>
        <w:tab/>
        <w:t>18</w:t>
      </w:r>
    </w:p>
    <w:p>
      <w:pPr>
        <w:tabs>
          <w:tab w:pos="8504" w:val="right"/>
        </w:tabs>
      </w:pPr>
      <w:r>
        <w:t>8.  Web Application Architecture</w:t>
      </w:r>
      <w:r>
        <w:tab/>
        <w:t>20</w:t>
      </w:r>
    </w:p>
    <w:p>
      <w:pPr>
        <w:tabs>
          <w:tab w:pos="8504" w:val="right"/>
        </w:tabs>
      </w:pPr>
      <w:r>
        <w:t>9.  Evaluation &amp; Results</w:t>
      </w:r>
      <w:r>
        <w:tab/>
        <w:t>24</w:t>
      </w:r>
    </w:p>
    <w:p>
      <w:pPr>
        <w:tabs>
          <w:tab w:pos="8504" w:val="right"/>
        </w:tabs>
      </w:pPr>
      <w:r>
        <w:t>10. Deployment &amp; Operations</w:t>
      </w:r>
      <w:r>
        <w:tab/>
        <w:t>26</w:t>
      </w:r>
    </w:p>
    <w:p>
      <w:pPr>
        <w:tabs>
          <w:tab w:pos="8504" w:val="right"/>
        </w:tabs>
      </w:pPr>
      <w:r>
        <w:t>11. Limitations &amp; Future Work</w:t>
      </w:r>
      <w:r>
        <w:tab/>
        <w:t>28</w:t>
      </w:r>
    </w:p>
    <w:p>
      <w:pPr>
        <w:tabs>
          <w:tab w:pos="8504" w:val="right"/>
        </w:tabs>
      </w:pPr>
      <w:r>
        <w:t>12. Conclusion</w:t>
      </w:r>
      <w:r>
        <w:tab/>
        <w:t>29</w:t>
      </w:r>
    </w:p>
    <w:p>
      <w:pPr>
        <w:tabs>
          <w:tab w:pos="8504" w:val="right"/>
        </w:tabs>
      </w:pPr>
      <w:r>
        <w:t>Appendix A — API Reference</w:t>
      </w:r>
      <w:r>
        <w:tab/>
        <w:t>30</w:t>
      </w:r>
    </w:p>
    <w:p>
      <w:pPr>
        <w:tabs>
          <w:tab w:pos="8504" w:val="right"/>
        </w:tabs>
      </w:pPr>
      <w:r>
        <w:t>Appendix B — File Inventory</w:t>
      </w:r>
      <w:r>
        <w:tab/>
        <w:t>32</w:t>
      </w:r>
    </w:p>
    <w:p>
      <w:pPr>
        <w:tabs>
          <w:tab w:pos="8504" w:val="right"/>
        </w:tabs>
      </w:pPr>
      <w:r>
        <w:t>Appendix C — Running the System</w:t>
      </w:r>
      <w:r>
        <w:tab/>
        <w:t>34</w:t>
      </w:r>
    </w:p>
    <w:p>
      <w:r>
        <w:br w:type="page"/>
      </w:r>
    </w:p>
    <w:p>
      <w:pPr>
        <w:pStyle w:val="Heading1"/>
      </w:pPr>
      <w:r>
        <w:rPr>
          <w:rFonts w:ascii="Times New Roman" w:hAnsi="Times New Roman"/>
          <w:b/>
          <w:color w:val="1A365D"/>
          <w:sz w:val="32"/>
        </w:rPr>
        <w:t>1. Executive Summary</w:t>
      </w:r>
    </w:p>
    <w:p>
      <w:r>
        <w:t>This document describes the design, implementation, and evaluation of DocLens: a full-stack web application that classifies document images into four categories and extracts six structured fields from any document classified as an invoice. The entire system was built under a hard constraint — no generative AI — using traditional machine learning, classical feature engineering, and a discriminative (span-selection) transformer for document question answering.</w:t>
      </w:r>
    </w:p>
    <w:p>
      <w:r>
        <w:t>The classification pipeline combines three feature families into a 798-dimensional hybrid vector: 750 TF-IDF bigram features from cleaned OCR text, 33 handcrafted visual features (HOG descriptors, text density grids, whitespace ratios, Sobel edges, margin measurements), and 15 text meta-features (character and word statistics, keyword counts, structural flags). A soft-voting ensemble of three classifiers — SVM with RBF kernel, Logistic Regression, and a 200-tree Random Forest — assigns one of four document classes, achieving 93.8 percent accuracy on the held-out validation split.</w:t>
      </w:r>
    </w:p>
    <w:p>
      <w:r>
        <w:t>For invoice extraction, the system preprocesses each image through colour-space conversion, contrast-limited adaptive histogram equalisation, and Gaussian background normalisation, then passes the cleaned image to LayoutLMv2 — specifically the impira/layoutlm-document-qa checkpoint — which answers one targeted natural-language question per field, returning the span from the document that answers it. LayoutLM is a discriminative model: it selects existing spans rather than generating new text, which keeps the pipeline consistent with the no-generative-AI constraint.</w:t>
      </w:r>
    </w:p>
    <w:p>
      <w:r>
        <w:t>The system is delivered as a production-grade web application. A React 19 frontend with TypeScript talks to a Django REST Framework API; uploaded documents stream to MinIO object storage; asynchronous Django-Q2 workers handle classification and extraction off the request thread; authentication uses rotating JWT tokens; and the entire stack — database, object store, API, worker, frontend — boots from a single docker compose command.</w:t>
      </w:r>
    </w:p>
    <w:p>
      <w:r>
        <w:t>Key results: The hybrid ensemble achieves 93.8 percent validation accuracy, significantly outperforming text-only (88.4 percent with bigrams and meta-features; 82.5 percent with unigrams only) and image-only (63.8 percent) baselines. For extraction, LayoutLM successfully recovers structured fields from real-world invoices the model has never seen, with field-level recovery evaluated qualitatively on unseen documents.</w:t>
      </w:r>
    </w:p>
    <w:p>
      <w:r>
        <w:t>This document provides the complete technical specification necessary to understand, reproduce, evaluate, and extend the system.</w:t>
      </w:r>
    </w:p>
    <w:p>
      <w:r>
        <w:br w:type="page"/>
      </w:r>
    </w:p>
    <w:p>
      <w:pPr>
        <w:pStyle w:val="Heading1"/>
      </w:pPr>
      <w:r>
        <w:rPr>
          <w:rFonts w:ascii="Times New Roman" w:hAnsi="Times New Roman"/>
          <w:b/>
          <w:color w:val="1A365D"/>
          <w:sz w:val="32"/>
        </w:rPr>
        <w:t>2. Project Overview &amp; Requirements</w:t>
      </w:r>
    </w:p>
    <w:p>
      <w:pPr>
        <w:pStyle w:val="Heading2"/>
      </w:pPr>
      <w:r>
        <w:rPr>
          <w:rFonts w:ascii="Times New Roman" w:hAnsi="Times New Roman"/>
          <w:b/>
          <w:color w:val="1A365D"/>
          <w:sz w:val="28"/>
        </w:rPr>
        <w:t>2.1 Problem Statement</w:t>
      </w:r>
    </w:p>
    <w:p>
      <w:r>
        <w:t>The assignment required a technical solution capable of classifying documents into different categories and extracting specific information from invoices, using traditional artificial intelligence techniques and data processing methods without employing generative AI models.</w:t>
      </w:r>
    </w:p>
    <w:p>
      <w:pPr>
        <w:pStyle w:val="Heading2"/>
      </w:pPr>
      <w:r>
        <w:rPr>
          <w:rFonts w:ascii="Times New Roman" w:hAnsi="Times New Roman"/>
          <w:b/>
          <w:color w:val="1A365D"/>
          <w:sz w:val="28"/>
        </w:rPr>
        <w:t>2.2 Functional Requirements</w:t>
      </w:r>
    </w:p>
    <w:p>
      <w:pPr>
        <w:ind w:left="425" w:hanging="425"/>
      </w:pPr>
      <w:r>
        <w:rPr>
          <w:b/>
        </w:rPr>
        <w:t xml:space="preserve">1.  </w:t>
      </w:r>
      <w:r>
        <w:t>Document Classification: Design and implement a system that classifies documents into at least four different categories, with invoices as a mandatory category. The three additional categories are chosen by each group, with justification.</w:t>
      </w:r>
    </w:p>
    <w:p>
      <w:pPr>
        <w:ind w:left="425" w:hanging="425"/>
      </w:pPr>
      <w:r>
        <w:rPr>
          <w:b/>
        </w:rPr>
        <w:t xml:space="preserve">2.  </w:t>
      </w:r>
      <w:r>
        <w:t>Information Extraction: For documents classified as invoices, the system must automatically extract structured information including the invoice number, invoice date, due date, issuer name, recipient name, and total amount.</w:t>
      </w:r>
    </w:p>
    <w:p>
      <w:pPr>
        <w:pStyle w:val="Heading2"/>
      </w:pPr>
      <w:r>
        <w:rPr>
          <w:rFonts w:ascii="Times New Roman" w:hAnsi="Times New Roman"/>
          <w:b/>
          <w:color w:val="1A365D"/>
          <w:sz w:val="28"/>
        </w:rPr>
        <w:t>2.3 Constraints</w:t>
      </w:r>
    </w:p>
    <w:p>
      <w:r>
        <w:t>The use of generative artificial intelligence is explicitly prohibited. Permitted methods are traditional text classification, pattern analysis, rule-based approaches with regular expressions, classical machine-learning models including SVM and Random Forest, and traditional Natural Language Processing and Computer Vision techniques.</w:t>
      </w:r>
    </w:p>
    <w:p>
      <w:r>
        <w:t>DocLens interprets this constraint strictly for the classifier (every component is classical machine learning — TF-IDF, HOG, Sobel, SVM, Logistic Regression, Random Forest) and carefully for the extractor. The extractor uses LayoutLMv2, a transformer architecture that reads both text and spatial layout; however, LayoutLMv2 is a discriminative (extractive) model, not a generative one. For each question asked of the document, it selects a contiguous span of existing text as the answer — it does not generate new tokens. This is closer in spirit to classical named-entity recognition than to text generation.</w:t>
      </w:r>
    </w:p>
    <w:p>
      <w:pPr>
        <w:pStyle w:val="Heading2"/>
      </w:pPr>
      <w:r>
        <w:rPr>
          <w:rFonts w:ascii="Times New Roman" w:hAnsi="Times New Roman"/>
          <w:b/>
          <w:color w:val="1A365D"/>
          <w:sz w:val="28"/>
        </w:rPr>
        <w:t>2.4 Deliverables</w:t>
      </w:r>
    </w:p>
    <w:p>
      <w:pPr>
        <w:pStyle w:val="ListBullet"/>
      </w:pPr>
      <w:r>
        <w:t>Technical documentation describing the approach, design decisions, methods, and results (this document).</w:t>
      </w:r>
    </w:p>
    <w:p>
      <w:pPr>
        <w:pStyle w:val="ListBullet"/>
      </w:pPr>
      <w:r>
        <w:t>Source code including clear instructions for running the system.</w:t>
      </w:r>
    </w:p>
    <w:p>
      <w:pPr>
        <w:pStyle w:val="ListBullet"/>
      </w:pPr>
      <w:r>
        <w:t>Fifteen-minute oral presentation covering approach, challenges, and solutions.</w:t>
      </w:r>
    </w:p>
    <w:p>
      <w:pPr>
        <w:pStyle w:val="ListBullet"/>
      </w:pPr>
      <w:r>
        <w:t>Live demonstration of the system with practical examples.</w:t>
      </w:r>
    </w:p>
    <w:p>
      <w:pPr>
        <w:pStyle w:val="Heading2"/>
      </w:pPr>
      <w:r>
        <w:rPr>
          <w:rFonts w:ascii="Times New Roman" w:hAnsi="Times New Roman"/>
          <w:b/>
          <w:color w:val="1A365D"/>
          <w:sz w:val="28"/>
        </w:rPr>
        <w:t>2.5 Evaluation Criteria</w:t>
      </w:r>
    </w:p>
    <w:p>
      <w:pPr>
        <w:pStyle w:val="ListBullet"/>
      </w:pPr>
      <w:r>
        <w:t>Accurate classification across all document categories.</w:t>
      </w:r>
    </w:p>
    <w:p>
      <w:pPr>
        <w:pStyle w:val="ListBullet"/>
      </w:pPr>
      <w:r>
        <w:t>Precision and completeness of invoice information extraction.</w:t>
      </w:r>
    </w:p>
    <w:p>
      <w:pPr>
        <w:pStyle w:val="ListBullet"/>
      </w:pPr>
      <w:r>
        <w:t>Technical justification of the chosen approach.</w:t>
      </w:r>
    </w:p>
    <w:p>
      <w:pPr>
        <w:pStyle w:val="ListBullet"/>
      </w:pPr>
      <w:r>
        <w:t>Quality of documentation and clarity of the oral presentation.</w:t>
      </w:r>
    </w:p>
    <w:p>
      <w:pPr>
        <w:pStyle w:val="ListBullet"/>
      </w:pPr>
      <w:r>
        <w:t>Quality and effectiveness of the live demonstration.</w:t>
      </w:r>
    </w:p>
    <w:p>
      <w:pPr>
        <w:pStyle w:val="ListBullet"/>
      </w:pPr>
      <w:r>
        <w:t>Creativity and innovation in the proposed solution.</w:t>
      </w:r>
    </w:p>
    <w:p>
      <w:r>
        <w:br w:type="page"/>
      </w:r>
    </w:p>
    <w:p>
      <w:pPr>
        <w:pStyle w:val="Heading1"/>
      </w:pPr>
      <w:r>
        <w:rPr>
          <w:rFonts w:ascii="Times New Roman" w:hAnsi="Times New Roman"/>
          <w:b/>
          <w:color w:val="1A365D"/>
          <w:sz w:val="32"/>
        </w:rPr>
        <w:t>3. System Architecture</w:t>
      </w:r>
    </w:p>
    <w:p>
      <w:pPr>
        <w:pStyle w:val="Heading2"/>
      </w:pPr>
      <w:r>
        <w:rPr>
          <w:rFonts w:ascii="Times New Roman" w:hAnsi="Times New Roman"/>
          <w:b/>
          <w:color w:val="1A365D"/>
          <w:sz w:val="28"/>
        </w:rPr>
        <w:t>3.1 High-Level Overview</w:t>
      </w:r>
    </w:p>
    <w:p>
      <w:r>
        <w:t>DocLens is a full-stack web application structured around an asynchronous document-processing pipeline. Users upload document images through a React frontend; the Django REST Framework API stores each file in MinIO object storage, records metadata in PostgreSQL, and enqueues a background job. A Django-Q2 worker pulls the job, runs the classification pipeline, and — if the document is classified as an invoice — automatically enqueues a second job that runs the extraction pipeline. The frontend polls the API for status updates until both pipelines complete, then renders the results.</w:t>
      </w:r>
    </w:p>
    <w:p>
      <w:pPr>
        <w:pStyle w:val="Heading2"/>
      </w:pPr>
      <w:r>
        <w:rPr>
          <w:rFonts w:ascii="Times New Roman" w:hAnsi="Times New Roman"/>
          <w:b/>
          <w:color w:val="1A365D"/>
          <w:sz w:val="28"/>
        </w:rPr>
        <w:t>3.2 Architectural Components</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135"/>
        <w:gridCol w:w="3135"/>
        <w:gridCol w:w="3135"/>
      </w:tblGrid>
      <w:tr>
        <w:tc>
          <w:tcPr>
            <w:tcW w:type="dxa" w:w="1701"/>
            <w:shd w:fill="DCE4EC"/>
          </w:tcPr>
          <w:p>
            <w:r/>
            <w:r>
              <w:rPr>
                <w:rFonts w:ascii="Times New Roman" w:hAnsi="Times New Roman"/>
                <w:b/>
                <w:sz w:val="22"/>
              </w:rPr>
              <w:t>Component</w:t>
            </w:r>
          </w:p>
        </w:tc>
        <w:tc>
          <w:tcPr>
            <w:tcW w:type="dxa" w:w="2835"/>
            <w:shd w:fill="DCE4EC"/>
          </w:tcPr>
          <w:p>
            <w:r/>
            <w:r>
              <w:rPr>
                <w:rFonts w:ascii="Times New Roman" w:hAnsi="Times New Roman"/>
                <w:b/>
                <w:sz w:val="22"/>
              </w:rPr>
              <w:t>Technology</w:t>
            </w:r>
          </w:p>
        </w:tc>
        <w:tc>
          <w:tcPr>
            <w:tcW w:type="dxa" w:w="5102"/>
            <w:shd w:fill="DCE4EC"/>
          </w:tcPr>
          <w:p>
            <w:r/>
            <w:r>
              <w:rPr>
                <w:rFonts w:ascii="Times New Roman" w:hAnsi="Times New Roman"/>
                <w:b/>
                <w:sz w:val="22"/>
              </w:rPr>
              <w:t>Role</w:t>
            </w:r>
          </w:p>
        </w:tc>
      </w:tr>
      <w:tr>
        <w:tc>
          <w:tcPr>
            <w:tcW w:type="dxa" w:w="1701"/>
          </w:tcPr>
          <w:p>
            <w:r/>
            <w:r>
              <w:rPr>
                <w:rFonts w:ascii="Times New Roman" w:hAnsi="Times New Roman"/>
                <w:sz w:val="22"/>
              </w:rPr>
              <w:t>Frontend</w:t>
            </w:r>
          </w:p>
        </w:tc>
        <w:tc>
          <w:tcPr>
            <w:tcW w:type="dxa" w:w="2835"/>
          </w:tcPr>
          <w:p>
            <w:r/>
            <w:r>
              <w:rPr>
                <w:rFonts w:ascii="Times New Roman" w:hAnsi="Times New Roman"/>
                <w:sz w:val="22"/>
              </w:rPr>
              <w:t>React 19 + TypeScript + Vite</w:t>
            </w:r>
          </w:p>
        </w:tc>
        <w:tc>
          <w:tcPr>
            <w:tcW w:type="dxa" w:w="5102"/>
          </w:tcPr>
          <w:p>
            <w:r/>
            <w:r>
              <w:rPr>
                <w:rFonts w:ascii="Times New Roman" w:hAnsi="Times New Roman"/>
                <w:sz w:val="22"/>
              </w:rPr>
              <w:t>Upload UI, workspace dashboard, live result rendering</w:t>
            </w:r>
          </w:p>
        </w:tc>
      </w:tr>
      <w:tr>
        <w:tc>
          <w:tcPr>
            <w:tcW w:type="dxa" w:w="1701"/>
          </w:tcPr>
          <w:p>
            <w:r/>
            <w:r>
              <w:rPr>
                <w:rFonts w:ascii="Times New Roman" w:hAnsi="Times New Roman"/>
                <w:sz w:val="22"/>
              </w:rPr>
              <w:t>Backend API</w:t>
            </w:r>
          </w:p>
        </w:tc>
        <w:tc>
          <w:tcPr>
            <w:tcW w:type="dxa" w:w="2835"/>
          </w:tcPr>
          <w:p>
            <w:r/>
            <w:r>
              <w:rPr>
                <w:rFonts w:ascii="Times New Roman" w:hAnsi="Times New Roman"/>
                <w:sz w:val="22"/>
              </w:rPr>
              <w:t>Django 5.1 + DRF 3.15</w:t>
            </w:r>
          </w:p>
        </w:tc>
        <w:tc>
          <w:tcPr>
            <w:tcW w:type="dxa" w:w="5102"/>
          </w:tcPr>
          <w:p>
            <w:r/>
            <w:r>
              <w:rPr>
                <w:rFonts w:ascii="Times New Roman" w:hAnsi="Times New Roman"/>
                <w:sz w:val="22"/>
              </w:rPr>
              <w:t>REST endpoints, request validation, auth</w:t>
            </w:r>
          </w:p>
        </w:tc>
      </w:tr>
      <w:tr>
        <w:tc>
          <w:tcPr>
            <w:tcW w:type="dxa" w:w="1701"/>
          </w:tcPr>
          <w:p>
            <w:r/>
            <w:r>
              <w:rPr>
                <w:rFonts w:ascii="Times New Roman" w:hAnsi="Times New Roman"/>
                <w:sz w:val="22"/>
              </w:rPr>
              <w:t>Task Queue</w:t>
            </w:r>
          </w:p>
        </w:tc>
        <w:tc>
          <w:tcPr>
            <w:tcW w:type="dxa" w:w="2835"/>
          </w:tcPr>
          <w:p>
            <w:r/>
            <w:r>
              <w:rPr>
                <w:rFonts w:ascii="Times New Roman" w:hAnsi="Times New Roman"/>
                <w:sz w:val="22"/>
              </w:rPr>
              <w:t>Django-Q2 1.7 (PostgreSQL broker)</w:t>
            </w:r>
          </w:p>
        </w:tc>
        <w:tc>
          <w:tcPr>
            <w:tcW w:type="dxa" w:w="5102"/>
          </w:tcPr>
          <w:p>
            <w:r/>
            <w:r>
              <w:rPr>
                <w:rFonts w:ascii="Times New Roman" w:hAnsi="Times New Roman"/>
                <w:sz w:val="22"/>
              </w:rPr>
              <w:t>Asynchronous classification and extraction jobs</w:t>
            </w:r>
          </w:p>
        </w:tc>
      </w:tr>
      <w:tr>
        <w:tc>
          <w:tcPr>
            <w:tcW w:type="dxa" w:w="1701"/>
          </w:tcPr>
          <w:p>
            <w:r/>
            <w:r>
              <w:rPr>
                <w:rFonts w:ascii="Times New Roman" w:hAnsi="Times New Roman"/>
                <w:sz w:val="22"/>
              </w:rPr>
              <w:t>Database</w:t>
            </w:r>
          </w:p>
        </w:tc>
        <w:tc>
          <w:tcPr>
            <w:tcW w:type="dxa" w:w="2835"/>
          </w:tcPr>
          <w:p>
            <w:r/>
            <w:r>
              <w:rPr>
                <w:rFonts w:ascii="Times New Roman" w:hAnsi="Times New Roman"/>
                <w:sz w:val="22"/>
              </w:rPr>
              <w:t>PostgreSQL 16</w:t>
            </w:r>
          </w:p>
        </w:tc>
        <w:tc>
          <w:tcPr>
            <w:tcW w:type="dxa" w:w="5102"/>
          </w:tcPr>
          <w:p>
            <w:r/>
            <w:r>
              <w:rPr>
                <w:rFonts w:ascii="Times New Roman" w:hAnsi="Times New Roman"/>
                <w:sz w:val="22"/>
              </w:rPr>
              <w:t>Document metadata, users, task queue backing store</w:t>
            </w:r>
          </w:p>
        </w:tc>
      </w:tr>
      <w:tr>
        <w:tc>
          <w:tcPr>
            <w:tcW w:type="dxa" w:w="1701"/>
          </w:tcPr>
          <w:p>
            <w:r/>
            <w:r>
              <w:rPr>
                <w:rFonts w:ascii="Times New Roman" w:hAnsi="Times New Roman"/>
                <w:sz w:val="22"/>
              </w:rPr>
              <w:t>Object Storage</w:t>
            </w:r>
          </w:p>
        </w:tc>
        <w:tc>
          <w:tcPr>
            <w:tcW w:type="dxa" w:w="2835"/>
          </w:tcPr>
          <w:p>
            <w:r/>
            <w:r>
              <w:rPr>
                <w:rFonts w:ascii="Times New Roman" w:hAnsi="Times New Roman"/>
                <w:sz w:val="22"/>
              </w:rPr>
              <w:t>MinIO (S3-compatible)</w:t>
            </w:r>
          </w:p>
        </w:tc>
        <w:tc>
          <w:tcPr>
            <w:tcW w:type="dxa" w:w="5102"/>
          </w:tcPr>
          <w:p>
            <w:r/>
            <w:r>
              <w:rPr>
                <w:rFonts w:ascii="Times New Roman" w:hAnsi="Times New Roman"/>
                <w:sz w:val="22"/>
              </w:rPr>
              <w:t>Uploaded documents, presigned download URLs</w:t>
            </w:r>
          </w:p>
        </w:tc>
      </w:tr>
      <w:tr>
        <w:tc>
          <w:tcPr>
            <w:tcW w:type="dxa" w:w="1701"/>
          </w:tcPr>
          <w:p>
            <w:r/>
            <w:r>
              <w:rPr>
                <w:rFonts w:ascii="Times New Roman" w:hAnsi="Times New Roman"/>
                <w:sz w:val="22"/>
              </w:rPr>
              <w:t>Auth</w:t>
            </w:r>
          </w:p>
        </w:tc>
        <w:tc>
          <w:tcPr>
            <w:tcW w:type="dxa" w:w="2835"/>
          </w:tcPr>
          <w:p>
            <w:r/>
            <w:r>
              <w:rPr>
                <w:rFonts w:ascii="Times New Roman" w:hAnsi="Times New Roman"/>
                <w:sz w:val="22"/>
              </w:rPr>
              <w:t>djangorestframework-simplejwt</w:t>
            </w:r>
          </w:p>
        </w:tc>
        <w:tc>
          <w:tcPr>
            <w:tcW w:type="dxa" w:w="5102"/>
          </w:tcPr>
          <w:p>
            <w:r/>
            <w:r>
              <w:rPr>
                <w:rFonts w:ascii="Times New Roman" w:hAnsi="Times New Roman"/>
                <w:sz w:val="22"/>
              </w:rPr>
              <w:t>JWT access tokens (15 min) + rotating refresh (7 days)</w:t>
            </w:r>
          </w:p>
        </w:tc>
      </w:tr>
      <w:tr>
        <w:tc>
          <w:tcPr>
            <w:tcW w:type="dxa" w:w="1701"/>
          </w:tcPr>
          <w:p>
            <w:r/>
            <w:r>
              <w:rPr>
                <w:rFonts w:ascii="Times New Roman" w:hAnsi="Times New Roman"/>
                <w:sz w:val="22"/>
              </w:rPr>
              <w:t>Containerisation</w:t>
            </w:r>
          </w:p>
        </w:tc>
        <w:tc>
          <w:tcPr>
            <w:tcW w:type="dxa" w:w="2835"/>
          </w:tcPr>
          <w:p>
            <w:r/>
            <w:r>
              <w:rPr>
                <w:rFonts w:ascii="Times New Roman" w:hAnsi="Times New Roman"/>
                <w:sz w:val="22"/>
              </w:rPr>
              <w:t>Docker Compose</w:t>
            </w:r>
          </w:p>
        </w:tc>
        <w:tc>
          <w:tcPr>
            <w:tcW w:type="dxa" w:w="5102"/>
          </w:tcPr>
          <w:p>
            <w:r/>
            <w:r>
              <w:rPr>
                <w:rFonts w:ascii="Times New Roman" w:hAnsi="Times New Roman"/>
                <w:sz w:val="22"/>
              </w:rPr>
              <w:t>One-command deployment of the entire stack</w:t>
            </w:r>
          </w:p>
        </w:tc>
      </w:tr>
    </w:tbl>
    <w:p>
      <w:r/>
    </w:p>
    <w:p>
      <w:pPr>
        <w:pStyle w:val="Heading2"/>
      </w:pPr>
      <w:r>
        <w:rPr>
          <w:rFonts w:ascii="Times New Roman" w:hAnsi="Times New Roman"/>
          <w:b/>
          <w:color w:val="1A365D"/>
          <w:sz w:val="28"/>
        </w:rPr>
        <w:t>3.3 Request Flow: Classification</w:t>
      </w:r>
    </w:p>
    <w:p>
      <w:pPr>
        <w:ind w:left="425" w:hanging="425"/>
      </w:pPr>
      <w:r>
        <w:rPr>
          <w:b/>
        </w:rPr>
        <w:t xml:space="preserve">1.  </w:t>
      </w:r>
      <w:r>
        <w:t>Client POST /api/documents/ with multipart file. The API validates the MIME type, enforces a size limit, streams the file to MinIO, creates a Document row with status=pending, and enqueues run_classification(document_id).</w:t>
      </w:r>
    </w:p>
    <w:p>
      <w:pPr>
        <w:ind w:left="425" w:hanging="425"/>
      </w:pPr>
      <w:r>
        <w:rPr>
          <w:b/>
        </w:rPr>
        <w:t xml:space="preserve">2.  </w:t>
      </w:r>
      <w:r>
        <w:t>The worker dequeues the job. It downloads the file from MinIO, runs Tesseract OCR to extract text, extracts 33 image features, 15 text meta-features, and the TF-IDF bigram vector, concatenates them into a 798-dimensional vector, applies the fitted StandardScaler, and calls model.predict_proba on the ensemble classifier.</w:t>
      </w:r>
    </w:p>
    <w:p>
      <w:pPr>
        <w:ind w:left="425" w:hanging="425"/>
      </w:pPr>
      <w:r>
        <w:rPr>
          <w:b/>
        </w:rPr>
        <w:t xml:space="preserve">3.  </w:t>
      </w:r>
      <w:r>
        <w:t>The worker writes a ClassificationResult row (predicted label, confidence, all-class probabilities, model version). If the predicted label is 'invoice', the worker enqueues run_extraction(document_id); otherwise it sets the Document status to 'done'.</w:t>
      </w:r>
    </w:p>
    <w:p>
      <w:pPr>
        <w:ind w:left="425" w:hanging="425"/>
      </w:pPr>
      <w:r>
        <w:rPr>
          <w:b/>
        </w:rPr>
        <w:t xml:space="preserve">4.  </w:t>
      </w:r>
      <w:r>
        <w:t>The frontend polls GET /api/documents/{id}/classify/status/ at 2.5-second intervals and updates the UI when the status transitions from 'processing' to 'done' or 'error'.</w:t>
      </w:r>
    </w:p>
    <w:p>
      <w:pPr>
        <w:pStyle w:val="Heading2"/>
      </w:pPr>
      <w:r>
        <w:rPr>
          <w:rFonts w:ascii="Times New Roman" w:hAnsi="Times New Roman"/>
          <w:b/>
          <w:color w:val="1A365D"/>
          <w:sz w:val="28"/>
        </w:rPr>
        <w:t>3.4 Request Flow: Extraction</w:t>
      </w:r>
    </w:p>
    <w:p>
      <w:pPr>
        <w:ind w:left="425" w:hanging="425"/>
      </w:pPr>
      <w:r>
        <w:rPr>
          <w:b/>
        </w:rPr>
        <w:t xml:space="preserve">1.  </w:t>
      </w:r>
      <w:r>
        <w:t>When run_extraction fires, the worker downloads the original image from MinIO and converts it to an RGB PIL image (PDFs are rendered via PyMuPDF at 200 DPI).</w:t>
      </w:r>
    </w:p>
    <w:p>
      <w:pPr>
        <w:ind w:left="425" w:hanging="425"/>
      </w:pPr>
      <w:r>
        <w:rPr>
          <w:b/>
        </w:rPr>
        <w:t xml:space="preserve">2.  </w:t>
      </w:r>
      <w:r>
        <w:t>The image is preprocessed: convert BGR → LAB colour space, extract the L (luminance) channel, apply CLAHE (clip limit 2.0, tile grid 8×8), and divide by a Gaussian-blurred background estimate (σ = 51) to flatten uneven illumination.</w:t>
      </w:r>
    </w:p>
    <w:p>
      <w:pPr>
        <w:ind w:left="425" w:hanging="425"/>
      </w:pPr>
      <w:r>
        <w:rPr>
          <w:b/>
        </w:rPr>
        <w:t xml:space="preserve">3.  </w:t>
      </w:r>
      <w:r>
        <w:t>Full-page Tesseract OCR runs on the preprocessed image for logging purposes (raw_text field). The extracted tokens are clustered into paragraph-like regions by vertical gap.</w:t>
      </w:r>
    </w:p>
    <w:p>
      <w:pPr>
        <w:ind w:left="425" w:hanging="425"/>
      </w:pPr>
      <w:r>
        <w:rPr>
          <w:b/>
        </w:rPr>
        <w:t xml:space="preserve">4.  </w:t>
      </w:r>
      <w:r>
        <w:t>The original (un-preprocessed) image is passed to LayoutLMv2. For each of the six target fields, the model is asked a targeted natural-language question and returns the span of the document that answers it, along with a confidence score. Answers below a minimum score threshold are discarded.</w:t>
      </w:r>
    </w:p>
    <w:p>
      <w:pPr>
        <w:ind w:left="425" w:hanging="425"/>
      </w:pPr>
      <w:r>
        <w:rPr>
          <w:b/>
        </w:rPr>
        <w:t xml:space="preserve">5.  </w:t>
      </w:r>
      <w:r>
        <w:t>An InvoiceExtraction row is written with all six field values, date-parsed timestamps, a normalised total amount, an inferred currency, the raw OCR text, and a per-field confidence map. The Document status is set to 'done'.</w:t>
      </w:r>
    </w:p>
    <w:p>
      <w:r>
        <w:br w:type="page"/>
      </w:r>
    </w:p>
    <w:p>
      <w:pPr>
        <w:pStyle w:val="Heading1"/>
      </w:pPr>
      <w:r>
        <w:rPr>
          <w:rFonts w:ascii="Times New Roman" w:hAnsi="Times New Roman"/>
          <w:b/>
          <w:color w:val="1A365D"/>
          <w:sz w:val="32"/>
        </w:rPr>
        <w:t>4. Dataset &amp; Category Selection</w:t>
      </w:r>
    </w:p>
    <w:p>
      <w:pPr>
        <w:pStyle w:val="Heading2"/>
      </w:pPr>
      <w:r>
        <w:rPr>
          <w:rFonts w:ascii="Times New Roman" w:hAnsi="Times New Roman"/>
          <w:b/>
          <w:color w:val="1A365D"/>
          <w:sz w:val="28"/>
        </w:rPr>
        <w:t>4.1 Chosen Categories</w:t>
      </w:r>
    </w:p>
    <w:p>
      <w:r>
        <w:t>The four categories selected for classification are Invoice (required by the assignment brief), Email, Resume, and Scientific Publication. These categories were chosen because they are maximally distinct in vocabulary, visual layout, and structural characteristics — a diversity that makes classification tractable with traditional feature engineering and plays to the strengths of both text-based and image-based feature pipelines.</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51"/>
        <w:gridCol w:w="2351"/>
        <w:gridCol w:w="2351"/>
        <w:gridCol w:w="2351"/>
      </w:tblGrid>
      <w:tr>
        <w:tc>
          <w:tcPr>
            <w:tcW w:type="dxa" w:w="1417"/>
            <w:shd w:fill="DCE4EC"/>
          </w:tcPr>
          <w:p>
            <w:r/>
            <w:r>
              <w:rPr>
                <w:rFonts w:ascii="Times New Roman" w:hAnsi="Times New Roman"/>
                <w:b/>
                <w:sz w:val="22"/>
              </w:rPr>
              <w:t>Category</w:t>
            </w:r>
          </w:p>
        </w:tc>
        <w:tc>
          <w:tcPr>
            <w:tcW w:type="dxa" w:w="2154"/>
            <w:shd w:fill="DCE4EC"/>
          </w:tcPr>
          <w:p>
            <w:r/>
            <w:r>
              <w:rPr>
                <w:rFonts w:ascii="Times New Roman" w:hAnsi="Times New Roman"/>
                <w:b/>
                <w:sz w:val="22"/>
              </w:rPr>
              <w:t>Key vocabulary</w:t>
            </w:r>
          </w:p>
        </w:tc>
        <w:tc>
          <w:tcPr>
            <w:tcW w:type="dxa" w:w="2551"/>
            <w:shd w:fill="DCE4EC"/>
          </w:tcPr>
          <w:p>
            <w:r/>
            <w:r>
              <w:rPr>
                <w:rFonts w:ascii="Times New Roman" w:hAnsi="Times New Roman"/>
                <w:b/>
                <w:sz w:val="22"/>
              </w:rPr>
              <w:t>Layout signature</w:t>
            </w:r>
          </w:p>
        </w:tc>
        <w:tc>
          <w:tcPr>
            <w:tcW w:type="dxa" w:w="2551"/>
            <w:shd w:fill="DCE4EC"/>
          </w:tcPr>
          <w:p>
            <w:r/>
            <w:r>
              <w:rPr>
                <w:rFonts w:ascii="Times New Roman" w:hAnsi="Times New Roman"/>
                <w:b/>
                <w:sz w:val="22"/>
              </w:rPr>
              <w:t>Visual signature</w:t>
            </w:r>
          </w:p>
        </w:tc>
      </w:tr>
      <w:tr>
        <w:tc>
          <w:tcPr>
            <w:tcW w:type="dxa" w:w="1417"/>
          </w:tcPr>
          <w:p>
            <w:r/>
            <w:r>
              <w:rPr>
                <w:rFonts w:ascii="Times New Roman" w:hAnsi="Times New Roman"/>
                <w:sz w:val="22"/>
              </w:rPr>
              <w:t>Invoice</w:t>
            </w:r>
          </w:p>
        </w:tc>
        <w:tc>
          <w:tcPr>
            <w:tcW w:type="dxa" w:w="2154"/>
          </w:tcPr>
          <w:p>
            <w:r/>
            <w:r>
              <w:rPr>
                <w:rFonts w:ascii="Times New Roman" w:hAnsi="Times New Roman"/>
                <w:sz w:val="22"/>
              </w:rPr>
              <w:t>invoice, total, due date, bill to, subtotal, VAT, amount</w:t>
            </w:r>
          </w:p>
        </w:tc>
        <w:tc>
          <w:tcPr>
            <w:tcW w:type="dxa" w:w="2551"/>
          </w:tcPr>
          <w:p>
            <w:r/>
            <w:r>
              <w:rPr>
                <w:rFonts w:ascii="Times New Roman" w:hAnsi="Times New Roman"/>
                <w:sz w:val="22"/>
              </w:rPr>
              <w:t>Structured tables, line items, summary totals at bottom-right</w:t>
            </w:r>
          </w:p>
        </w:tc>
        <w:tc>
          <w:tcPr>
            <w:tcW w:type="dxa" w:w="2551"/>
          </w:tcPr>
          <w:p>
            <w:r/>
            <w:r>
              <w:rPr>
                <w:rFonts w:ascii="Times New Roman" w:hAnsi="Times New Roman"/>
                <w:sz w:val="22"/>
              </w:rPr>
              <w:t>Dense tabular regions, clear monetary columns, whitespace between header and table</w:t>
            </w:r>
          </w:p>
        </w:tc>
      </w:tr>
      <w:tr>
        <w:tc>
          <w:tcPr>
            <w:tcW w:type="dxa" w:w="1417"/>
          </w:tcPr>
          <w:p>
            <w:r/>
            <w:r>
              <w:rPr>
                <w:rFonts w:ascii="Times New Roman" w:hAnsi="Times New Roman"/>
                <w:sz w:val="22"/>
              </w:rPr>
              <w:t>Email</w:t>
            </w:r>
          </w:p>
        </w:tc>
        <w:tc>
          <w:tcPr>
            <w:tcW w:type="dxa" w:w="2154"/>
          </w:tcPr>
          <w:p>
            <w:r/>
            <w:r>
              <w:rPr>
                <w:rFonts w:ascii="Times New Roman" w:hAnsi="Times New Roman"/>
                <w:sz w:val="22"/>
              </w:rPr>
              <w:t>From:, To:, Subject:, Sent:, Dear, Regards, CC:</w:t>
            </w:r>
          </w:p>
        </w:tc>
        <w:tc>
          <w:tcPr>
            <w:tcW w:type="dxa" w:w="2551"/>
          </w:tcPr>
          <w:p>
            <w:r/>
            <w:r>
              <w:rPr>
                <w:rFonts w:ascii="Times New Roman" w:hAnsi="Times New Roman"/>
                <w:sz w:val="22"/>
              </w:rPr>
              <w:t>Header block at top, casual body text, signature at bottom</w:t>
            </w:r>
          </w:p>
        </w:tc>
        <w:tc>
          <w:tcPr>
            <w:tcW w:type="dxa" w:w="2551"/>
          </w:tcPr>
          <w:p>
            <w:r/>
            <w:r>
              <w:rPr>
                <w:rFonts w:ascii="Times New Roman" w:hAnsi="Times New Roman"/>
                <w:sz w:val="22"/>
              </w:rPr>
              <w:t>High left-aligned text density, minimal tabular structure, short line lengths</w:t>
            </w:r>
          </w:p>
        </w:tc>
      </w:tr>
      <w:tr>
        <w:tc>
          <w:tcPr>
            <w:tcW w:type="dxa" w:w="1417"/>
          </w:tcPr>
          <w:p>
            <w:r/>
            <w:r>
              <w:rPr>
                <w:rFonts w:ascii="Times New Roman" w:hAnsi="Times New Roman"/>
                <w:sz w:val="22"/>
              </w:rPr>
              <w:t>Resume</w:t>
            </w:r>
          </w:p>
        </w:tc>
        <w:tc>
          <w:tcPr>
            <w:tcW w:type="dxa" w:w="2154"/>
          </w:tcPr>
          <w:p>
            <w:r/>
            <w:r>
              <w:rPr>
                <w:rFonts w:ascii="Times New Roman" w:hAnsi="Times New Roman"/>
                <w:sz w:val="22"/>
              </w:rPr>
              <w:t>Experience, Education, Skills, University, Degree, Employment</w:t>
            </w:r>
          </w:p>
        </w:tc>
        <w:tc>
          <w:tcPr>
            <w:tcW w:type="dxa" w:w="2551"/>
          </w:tcPr>
          <w:p>
            <w:r/>
            <w:r>
              <w:rPr>
                <w:rFonts w:ascii="Times New Roman" w:hAnsi="Times New Roman"/>
                <w:sz w:val="22"/>
              </w:rPr>
              <w:t>Section-based structure with bullets, contact info at top</w:t>
            </w:r>
          </w:p>
        </w:tc>
        <w:tc>
          <w:tcPr>
            <w:tcW w:type="dxa" w:w="2551"/>
          </w:tcPr>
          <w:p>
            <w:r/>
            <w:r>
              <w:rPr>
                <w:rFonts w:ascii="Times New Roman" w:hAnsi="Times New Roman"/>
                <w:sz w:val="22"/>
              </w:rPr>
              <w:t>Strong vertical sectioning, variable bullet lists, two or three distinct density bands</w:t>
            </w:r>
          </w:p>
        </w:tc>
      </w:tr>
      <w:tr>
        <w:tc>
          <w:tcPr>
            <w:tcW w:type="dxa" w:w="1417"/>
          </w:tcPr>
          <w:p>
            <w:r/>
            <w:r>
              <w:rPr>
                <w:rFonts w:ascii="Times New Roman" w:hAnsi="Times New Roman"/>
                <w:sz w:val="22"/>
              </w:rPr>
              <w:t>Scientific Publication</w:t>
            </w:r>
          </w:p>
        </w:tc>
        <w:tc>
          <w:tcPr>
            <w:tcW w:type="dxa" w:w="2154"/>
          </w:tcPr>
          <w:p>
            <w:r/>
            <w:r>
              <w:rPr>
                <w:rFonts w:ascii="Times New Roman" w:hAnsi="Times New Roman"/>
                <w:sz w:val="22"/>
              </w:rPr>
              <w:t>Abstract, Introduction, Conclusion, References, Methodology, Results, et al.</w:t>
            </w:r>
          </w:p>
        </w:tc>
        <w:tc>
          <w:tcPr>
            <w:tcW w:type="dxa" w:w="2551"/>
          </w:tcPr>
          <w:p>
            <w:r/>
            <w:r>
              <w:rPr>
                <w:rFonts w:ascii="Times New Roman" w:hAnsi="Times New Roman"/>
                <w:sz w:val="22"/>
              </w:rPr>
              <w:t>Two-column body, abstract at top, references at bottom</w:t>
            </w:r>
          </w:p>
        </w:tc>
        <w:tc>
          <w:tcPr>
            <w:tcW w:type="dxa" w:w="2551"/>
          </w:tcPr>
          <w:p>
            <w:r/>
            <w:r>
              <w:rPr>
                <w:rFonts w:ascii="Times New Roman" w:hAnsi="Times New Roman"/>
                <w:sz w:val="22"/>
              </w:rPr>
              <w:t>Extremely high text density, uniform column structure, small margins</w:t>
            </w:r>
          </w:p>
        </w:tc>
      </w:tr>
    </w:tbl>
    <w:p>
      <w:r/>
    </w:p>
    <w:p>
      <w:r>
        <w:t>Because the four categories differ along both textual and visual dimensions, the hybrid feature approach has strong complementary signals to exploit: text-only features already carry most of the discriminative power, and the image features provide an additional five-percentage-point accuracy lift (see the ablation study in Section 9.2).</w:t>
      </w:r>
    </w:p>
    <w:p>
      <w:pPr>
        <w:pStyle w:val="Heading2"/>
      </w:pPr>
      <w:r>
        <w:rPr>
          <w:rFonts w:ascii="Times New Roman" w:hAnsi="Times New Roman"/>
          <w:b/>
          <w:color w:val="1A365D"/>
          <w:sz w:val="28"/>
        </w:rPr>
        <w:t>4.2 Dataset Source: RVL-CDIP</w:t>
      </w:r>
    </w:p>
    <w:p>
      <w:r>
        <w:t>All classification training data comes from the Ryerson Vision Lab Complex Document Information Processing dataset (RVL-CDIP), a standard benchmark of 400,000 grayscale document images spanning 16 categories. For this project we use the curated subset vaclavpechtor/rvl_cdip-small-200 hosted on HuggingFace, filtered to our four categories of interest.</w:t>
      </w:r>
    </w:p>
    <w:p>
      <w:r>
        <w:t>The subset provides approximately 200 samples per class, split into train and validation folds. Images are grayscale PNGs at typical document resolutions (around 1000 pixels on the long edge). Data is streamed from HuggingFace and cached locally on first download, requiring no manual dataset preparation.</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135"/>
        <w:gridCol w:w="3135"/>
        <w:gridCol w:w="3135"/>
      </w:tblGrid>
      <w:tr>
        <w:tc>
          <w:tcPr>
            <w:tcW w:type="dxa" w:w="2835"/>
            <w:shd w:fill="DCE4EC"/>
          </w:tcPr>
          <w:p>
            <w:r/>
            <w:r>
              <w:rPr>
                <w:rFonts w:ascii="Times New Roman" w:hAnsi="Times New Roman"/>
                <w:b/>
                <w:sz w:val="22"/>
              </w:rPr>
              <w:t>Category</w:t>
            </w:r>
          </w:p>
        </w:tc>
        <w:tc>
          <w:tcPr>
            <w:tcW w:type="dxa" w:w="2835"/>
            <w:shd w:fill="DCE4EC"/>
          </w:tcPr>
          <w:p>
            <w:r/>
            <w:r>
              <w:rPr>
                <w:rFonts w:ascii="Times New Roman" w:hAnsi="Times New Roman"/>
                <w:b/>
                <w:sz w:val="22"/>
              </w:rPr>
              <w:t>HuggingFace class ID</w:t>
            </w:r>
          </w:p>
        </w:tc>
        <w:tc>
          <w:tcPr>
            <w:tcW w:type="dxa" w:w="2835"/>
            <w:shd w:fill="DCE4EC"/>
          </w:tcPr>
          <w:p>
            <w:r/>
            <w:r>
              <w:rPr>
                <w:rFonts w:ascii="Times New Roman" w:hAnsi="Times New Roman"/>
                <w:b/>
                <w:sz w:val="22"/>
              </w:rPr>
              <w:t>Approx. samples per class</w:t>
            </w:r>
          </w:p>
        </w:tc>
      </w:tr>
      <w:tr>
        <w:tc>
          <w:tcPr>
            <w:tcW w:type="dxa" w:w="2835"/>
          </w:tcPr>
          <w:p>
            <w:r/>
            <w:r>
              <w:rPr>
                <w:rFonts w:ascii="Times New Roman" w:hAnsi="Times New Roman"/>
                <w:sz w:val="22"/>
              </w:rPr>
              <w:t>email</w:t>
            </w:r>
          </w:p>
        </w:tc>
        <w:tc>
          <w:tcPr>
            <w:tcW w:type="dxa" w:w="2835"/>
          </w:tcPr>
          <w:p>
            <w:r/>
            <w:r>
              <w:rPr>
                <w:rFonts w:ascii="Times New Roman" w:hAnsi="Times New Roman"/>
                <w:sz w:val="22"/>
              </w:rPr>
              <w:t>email</w:t>
            </w:r>
          </w:p>
        </w:tc>
        <w:tc>
          <w:tcPr>
            <w:tcW w:type="dxa" w:w="2835"/>
          </w:tcPr>
          <w:p>
            <w:r/>
            <w:r>
              <w:rPr>
                <w:rFonts w:ascii="Times New Roman" w:hAnsi="Times New Roman"/>
                <w:sz w:val="22"/>
              </w:rPr>
              <w:t>~200</w:t>
            </w:r>
          </w:p>
        </w:tc>
      </w:tr>
      <w:tr>
        <w:tc>
          <w:tcPr>
            <w:tcW w:type="dxa" w:w="2835"/>
          </w:tcPr>
          <w:p>
            <w:r/>
            <w:r>
              <w:rPr>
                <w:rFonts w:ascii="Times New Roman" w:hAnsi="Times New Roman"/>
                <w:sz w:val="22"/>
              </w:rPr>
              <w:t>invoice</w:t>
            </w:r>
          </w:p>
        </w:tc>
        <w:tc>
          <w:tcPr>
            <w:tcW w:type="dxa" w:w="2835"/>
          </w:tcPr>
          <w:p>
            <w:r/>
            <w:r>
              <w:rPr>
                <w:rFonts w:ascii="Times New Roman" w:hAnsi="Times New Roman"/>
                <w:sz w:val="22"/>
              </w:rPr>
              <w:t>invoice</w:t>
            </w:r>
          </w:p>
        </w:tc>
        <w:tc>
          <w:tcPr>
            <w:tcW w:type="dxa" w:w="2835"/>
          </w:tcPr>
          <w:p>
            <w:r/>
            <w:r>
              <w:rPr>
                <w:rFonts w:ascii="Times New Roman" w:hAnsi="Times New Roman"/>
                <w:sz w:val="22"/>
              </w:rPr>
              <w:t>~200</w:t>
            </w:r>
          </w:p>
        </w:tc>
      </w:tr>
      <w:tr>
        <w:tc>
          <w:tcPr>
            <w:tcW w:type="dxa" w:w="2835"/>
          </w:tcPr>
          <w:p>
            <w:r/>
            <w:r>
              <w:rPr>
                <w:rFonts w:ascii="Times New Roman" w:hAnsi="Times New Roman"/>
                <w:sz w:val="22"/>
              </w:rPr>
              <w:t>resume</w:t>
            </w:r>
          </w:p>
        </w:tc>
        <w:tc>
          <w:tcPr>
            <w:tcW w:type="dxa" w:w="2835"/>
          </w:tcPr>
          <w:p>
            <w:r/>
            <w:r>
              <w:rPr>
                <w:rFonts w:ascii="Times New Roman" w:hAnsi="Times New Roman"/>
                <w:sz w:val="22"/>
              </w:rPr>
              <w:t>resume</w:t>
            </w:r>
          </w:p>
        </w:tc>
        <w:tc>
          <w:tcPr>
            <w:tcW w:type="dxa" w:w="2835"/>
          </w:tcPr>
          <w:p>
            <w:r/>
            <w:r>
              <w:rPr>
                <w:rFonts w:ascii="Times New Roman" w:hAnsi="Times New Roman"/>
                <w:sz w:val="22"/>
              </w:rPr>
              <w:t>~200</w:t>
            </w:r>
          </w:p>
        </w:tc>
      </w:tr>
      <w:tr>
        <w:tc>
          <w:tcPr>
            <w:tcW w:type="dxa" w:w="2835"/>
          </w:tcPr>
          <w:p>
            <w:r/>
            <w:r>
              <w:rPr>
                <w:rFonts w:ascii="Times New Roman" w:hAnsi="Times New Roman"/>
                <w:sz w:val="22"/>
              </w:rPr>
              <w:t>scientific_publication</w:t>
            </w:r>
          </w:p>
        </w:tc>
        <w:tc>
          <w:tcPr>
            <w:tcW w:type="dxa" w:w="2835"/>
          </w:tcPr>
          <w:p>
            <w:r/>
            <w:r>
              <w:rPr>
                <w:rFonts w:ascii="Times New Roman" w:hAnsi="Times New Roman"/>
                <w:sz w:val="22"/>
              </w:rPr>
              <w:t>scientific_publication</w:t>
            </w:r>
          </w:p>
        </w:tc>
        <w:tc>
          <w:tcPr>
            <w:tcW w:type="dxa" w:w="2835"/>
          </w:tcPr>
          <w:p>
            <w:r/>
            <w:r>
              <w:rPr>
                <w:rFonts w:ascii="Times New Roman" w:hAnsi="Times New Roman"/>
                <w:sz w:val="22"/>
              </w:rPr>
              <w:t>~200</w:t>
            </w:r>
          </w:p>
        </w:tc>
      </w:tr>
    </w:tbl>
    <w:p>
      <w:r/>
    </w:p>
    <w:p>
      <w:pPr>
        <w:pStyle w:val="Heading2"/>
      </w:pPr>
      <w:r>
        <w:rPr>
          <w:rFonts w:ascii="Times New Roman" w:hAnsi="Times New Roman"/>
          <w:b/>
          <w:color w:val="1A365D"/>
          <w:sz w:val="28"/>
        </w:rPr>
        <w:t>4.3 Train/Validation Split</w:t>
      </w:r>
    </w:p>
    <w:p>
      <w:r>
        <w:t>The dataset is pre-split into train and validation folds by HuggingFace. We consume that split directly and do not re-sample, ensuring our validation results are comparable to any future benchmarks on the same subset. All reported classification metrics are computed on the validation split — data the model has never seen during training.</w:t>
      </w:r>
    </w:p>
    <w:p>
      <w:pPr>
        <w:pStyle w:val="Heading2"/>
      </w:pPr>
      <w:r>
        <w:rPr>
          <w:rFonts w:ascii="Times New Roman" w:hAnsi="Times New Roman"/>
          <w:b/>
          <w:color w:val="1A365D"/>
          <w:sz w:val="28"/>
        </w:rPr>
        <w:t>4.4 Automated Data Download</w:t>
      </w:r>
    </w:p>
    <w:p>
      <w:r>
        <w:t>The script ai/classification/data_download/download_rvl_cdip.py handles the entire dataset acquisition. On first execution it enumerates the subset's file manifest, filters to the four target categories, downloads each image via the HuggingFace Hub API, and copies the file into ai/classification/data/{train|validation}/{category}/. Subsequent runs are idempotent: existing files are skipped, so interruptions are safe.</w:t>
      </w:r>
    </w:p>
    <w:p>
      <w:pPr>
        <w:ind w:left="283"/>
        <w:shd w:fill="F4F4F4"/>
      </w:pPr>
      <w:r>
        <w:rPr>
          <w:rFonts w:ascii="Consolas" w:hAnsi="Consolas"/>
          <w:sz w:val="20"/>
        </w:rPr>
        <w:t># ai/classification/data_download/download_rvl_cdip.py (excerpts)</w:t>
        <w:br/>
        <w:t>REPO = "vaclavpechtor/rvl_cdip-small-200"</w:t>
        <w:br/>
        <w:t>CATEGORIES = ["email", "invoice", "resume", "scientific_publication"]</w:t>
        <w:br/>
        <w:t>SPLITS = ["train", "validation"]</w:t>
        <w:br/>
      </w:r>
    </w:p>
    <w:p>
      <w:r>
        <w:br w:type="page"/>
      </w:r>
    </w:p>
    <w:p>
      <w:pPr>
        <w:pStyle w:val="Heading1"/>
      </w:pPr>
      <w:r>
        <w:rPr>
          <w:rFonts w:ascii="Times New Roman" w:hAnsi="Times New Roman"/>
          <w:b/>
          <w:color w:val="1A365D"/>
          <w:sz w:val="32"/>
        </w:rPr>
        <w:t>5. Classification Pipeline</w:t>
      </w:r>
    </w:p>
    <w:p>
      <w:r>
        <w:t>The classifier's task is simple in input/output terms — given a document image, return one of four category labels and a confidence distribution over all four — but the path from pixels to label is where most of the engineering lives. This section documents every stage of the pipeline, every feature family, and every hyperparameter.</w:t>
      </w:r>
    </w:p>
    <w:p>
      <w:pPr>
        <w:pStyle w:val="Heading2"/>
      </w:pPr>
      <w:r>
        <w:rPr>
          <w:rFonts w:ascii="Times New Roman" w:hAnsi="Times New Roman"/>
          <w:b/>
          <w:color w:val="1A365D"/>
          <w:sz w:val="28"/>
        </w:rPr>
        <w:t>5.1 Stage 1: OCR</w:t>
      </w:r>
    </w:p>
    <w:p>
      <w:r>
        <w:t>Each input image is processed by Tesseract OCR (pytesseract wrapper) to produce a single string of extracted text. Tesseract is a classical, rule-based OCR engine originally developed at Hewlett-Packard Labs; it implements adaptive thresholding, connected-component analysis, line and word segmentation, and dictionary-based post-correction, without any deep learning.</w:t>
      </w:r>
    </w:p>
    <w:p>
      <w:r>
        <w:t>For PDFs, the first page is rendered to an RGB image at 200 DPI via PyMuPDF before OCR. If PyMuPDF is unavailable, the system falls back to pdf2image.</w:t>
      </w:r>
    </w:p>
    <w:p>
      <w:r>
        <w:t>OCR quality varies by category. Scientific publications and resumes produce long, clean transcripts because they are typically digitally-generated. Emails and invoices often come from scans, introducing character-level noise that the cleaning stage (below) partially mitigates.</w:t>
      </w:r>
    </w:p>
    <w:p>
      <w:pPr>
        <w:pStyle w:val="Heading2"/>
      </w:pPr>
      <w:r>
        <w:rPr>
          <w:rFonts w:ascii="Times New Roman" w:hAnsi="Times New Roman"/>
          <w:b/>
          <w:color w:val="1A365D"/>
          <w:sz w:val="28"/>
        </w:rPr>
        <w:t>5.2 Stage 2: OCR Text Cleaning</w:t>
      </w:r>
    </w:p>
    <w:p>
      <w:r>
        <w:t>OCR output contains predictable noise patterns — non-ASCII artefacts from character recognition failures, single-character tokens from misclassified punctuation, and inconsistent whitespace. Before vectorising, the raw OCR text is cleaned by the _clean_ocr_text function in backend/ml/classifier.py:</w:t>
      </w:r>
    </w:p>
    <w:p>
      <w:pPr>
        <w:ind w:left="283"/>
        <w:shd w:fill="F4F4F4"/>
      </w:pPr>
      <w:r>
        <w:rPr>
          <w:rFonts w:ascii="Consolas" w:hAnsi="Consolas"/>
          <w:sz w:val="20"/>
        </w:rPr>
        <w:t>def _clean_ocr_text(text: str) -&gt; str:</w:t>
        <w:br/>
        <w:t xml:space="preserve">    """Remove OCR noise: non-ASCII garbage, collapsed whitespace, tiny tokens."""</w:t>
        <w:br/>
        <w:t xml:space="preserve">    text = text.encode("ascii", errors="ignore").decode("ascii")</w:t>
        <w:br/>
        <w:t xml:space="preserve">    text = re.sub(r'\s+', ' ', text)</w:t>
        <w:br/>
        <w:t xml:space="preserve">    tokens = text.split()</w:t>
        <w:br/>
        <w:t xml:space="preserve">    tokens = [t for t in tokens if len(t) &gt; 1 or t.isdigit()]</w:t>
        <w:br/>
        <w:t xml:space="preserve">    return " ".join(tokens)</w:t>
      </w:r>
    </w:p>
    <w:p>
      <w:r>
        <w:t>This produces a denser, more informative representation for TF-IDF while discarding noise that would otherwise dominate the vocabulary.</w:t>
      </w:r>
    </w:p>
    <w:p>
      <w:pPr>
        <w:pStyle w:val="Heading2"/>
      </w:pPr>
      <w:r>
        <w:rPr>
          <w:rFonts w:ascii="Times New Roman" w:hAnsi="Times New Roman"/>
          <w:b/>
          <w:color w:val="1A365D"/>
          <w:sz w:val="28"/>
        </w:rPr>
        <w:t>5.3 Stage 3: TF-IDF Text Features (750 dimensions)</w:t>
      </w:r>
    </w:p>
    <w:p>
      <w:r>
        <w:t>The cleaned text is transformed into a numerical feature vector using TF-IDF (Term Frequency — Inverse Document Frequency), a classical text vectorisation technique that weights terms by how frequently they appear in a document relative to how uniquely they appear across the corpus.</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135"/>
        <w:gridCol w:w="3135"/>
        <w:gridCol w:w="3135"/>
      </w:tblGrid>
      <w:tr>
        <w:tc>
          <w:tcPr>
            <w:tcW w:type="dxa" w:w="2268"/>
            <w:shd w:fill="DCE4EC"/>
          </w:tcPr>
          <w:p>
            <w:r/>
            <w:r>
              <w:rPr>
                <w:rFonts w:ascii="Times New Roman" w:hAnsi="Times New Roman"/>
                <w:b/>
                <w:sz w:val="22"/>
              </w:rPr>
              <w:t>Parameter</w:t>
            </w:r>
          </w:p>
        </w:tc>
        <w:tc>
          <w:tcPr>
            <w:tcW w:type="dxa" w:w="2268"/>
            <w:shd w:fill="DCE4EC"/>
          </w:tcPr>
          <w:p>
            <w:r/>
            <w:r>
              <w:rPr>
                <w:rFonts w:ascii="Times New Roman" w:hAnsi="Times New Roman"/>
                <w:b/>
                <w:sz w:val="22"/>
              </w:rPr>
              <w:t>Value</w:t>
            </w:r>
          </w:p>
        </w:tc>
        <w:tc>
          <w:tcPr>
            <w:tcW w:type="dxa" w:w="4535"/>
            <w:shd w:fill="DCE4EC"/>
          </w:tcPr>
          <w:p>
            <w:r/>
            <w:r>
              <w:rPr>
                <w:rFonts w:ascii="Times New Roman" w:hAnsi="Times New Roman"/>
                <w:b/>
                <w:sz w:val="22"/>
              </w:rPr>
              <w:t>Purpose</w:t>
            </w:r>
          </w:p>
        </w:tc>
      </w:tr>
      <w:tr>
        <w:tc>
          <w:tcPr>
            <w:tcW w:type="dxa" w:w="2268"/>
          </w:tcPr>
          <w:p>
            <w:r/>
            <w:r>
              <w:rPr>
                <w:rFonts w:ascii="Times New Roman" w:hAnsi="Times New Roman"/>
                <w:sz w:val="22"/>
              </w:rPr>
              <w:t>max_features</w:t>
            </w:r>
          </w:p>
        </w:tc>
        <w:tc>
          <w:tcPr>
            <w:tcW w:type="dxa" w:w="2268"/>
          </w:tcPr>
          <w:p>
            <w:r/>
            <w:r>
              <w:rPr>
                <w:rFonts w:ascii="Times New Roman" w:hAnsi="Times New Roman"/>
                <w:sz w:val="22"/>
              </w:rPr>
              <w:t>750</w:t>
            </w:r>
          </w:p>
        </w:tc>
        <w:tc>
          <w:tcPr>
            <w:tcW w:type="dxa" w:w="4535"/>
          </w:tcPr>
          <w:p>
            <w:r/>
            <w:r>
              <w:rPr>
                <w:rFonts w:ascii="Times New Roman" w:hAnsi="Times New Roman"/>
                <w:sz w:val="22"/>
              </w:rPr>
              <w:t>Keep the 750 most informative terms across the corpus</w:t>
            </w:r>
          </w:p>
        </w:tc>
      </w:tr>
      <w:tr>
        <w:tc>
          <w:tcPr>
            <w:tcW w:type="dxa" w:w="2268"/>
          </w:tcPr>
          <w:p>
            <w:r/>
            <w:r>
              <w:rPr>
                <w:rFonts w:ascii="Times New Roman" w:hAnsi="Times New Roman"/>
                <w:sz w:val="22"/>
              </w:rPr>
              <w:t>ngram_range</w:t>
            </w:r>
          </w:p>
        </w:tc>
        <w:tc>
          <w:tcPr>
            <w:tcW w:type="dxa" w:w="2268"/>
          </w:tcPr>
          <w:p>
            <w:r/>
            <w:r>
              <w:rPr>
                <w:rFonts w:ascii="Times New Roman" w:hAnsi="Times New Roman"/>
                <w:sz w:val="22"/>
              </w:rPr>
              <w:t>(1, 2)</w:t>
            </w:r>
          </w:p>
        </w:tc>
        <w:tc>
          <w:tcPr>
            <w:tcW w:type="dxa" w:w="4535"/>
          </w:tcPr>
          <w:p>
            <w:r/>
            <w:r>
              <w:rPr>
                <w:rFonts w:ascii="Times New Roman" w:hAnsi="Times New Roman"/>
                <w:sz w:val="22"/>
              </w:rPr>
              <w:t>Capture both unigrams and bigrams (phrases like 'invoice date')</w:t>
            </w:r>
          </w:p>
        </w:tc>
      </w:tr>
      <w:tr>
        <w:tc>
          <w:tcPr>
            <w:tcW w:type="dxa" w:w="2268"/>
          </w:tcPr>
          <w:p>
            <w:r/>
            <w:r>
              <w:rPr>
                <w:rFonts w:ascii="Times New Roman" w:hAnsi="Times New Roman"/>
                <w:sz w:val="22"/>
              </w:rPr>
              <w:t>sublinear_tf</w:t>
            </w:r>
          </w:p>
        </w:tc>
        <w:tc>
          <w:tcPr>
            <w:tcW w:type="dxa" w:w="2268"/>
          </w:tcPr>
          <w:p>
            <w:r/>
            <w:r>
              <w:rPr>
                <w:rFonts w:ascii="Times New Roman" w:hAnsi="Times New Roman"/>
                <w:sz w:val="22"/>
              </w:rPr>
              <w:t>True</w:t>
            </w:r>
          </w:p>
        </w:tc>
        <w:tc>
          <w:tcPr>
            <w:tcW w:type="dxa" w:w="4535"/>
          </w:tcPr>
          <w:p>
            <w:r/>
            <w:r>
              <w:rPr>
                <w:rFonts w:ascii="Times New Roman" w:hAnsi="Times New Roman"/>
                <w:sz w:val="22"/>
              </w:rPr>
              <w:t>Dampen the effect of very high term frequencies</w:t>
            </w:r>
          </w:p>
        </w:tc>
      </w:tr>
      <w:tr>
        <w:tc>
          <w:tcPr>
            <w:tcW w:type="dxa" w:w="2268"/>
          </w:tcPr>
          <w:p>
            <w:r/>
            <w:r>
              <w:rPr>
                <w:rFonts w:ascii="Times New Roman" w:hAnsi="Times New Roman"/>
                <w:sz w:val="22"/>
              </w:rPr>
              <w:t>stop_words</w:t>
            </w:r>
          </w:p>
        </w:tc>
        <w:tc>
          <w:tcPr>
            <w:tcW w:type="dxa" w:w="2268"/>
          </w:tcPr>
          <w:p>
            <w:r/>
            <w:r>
              <w:rPr>
                <w:rFonts w:ascii="Times New Roman" w:hAnsi="Times New Roman"/>
                <w:sz w:val="22"/>
              </w:rPr>
              <w:t>'english'</w:t>
            </w:r>
          </w:p>
        </w:tc>
        <w:tc>
          <w:tcPr>
            <w:tcW w:type="dxa" w:w="4535"/>
          </w:tcPr>
          <w:p>
            <w:r/>
            <w:r>
              <w:rPr>
                <w:rFonts w:ascii="Times New Roman" w:hAnsi="Times New Roman"/>
                <w:sz w:val="22"/>
              </w:rPr>
              <w:t>Remove common English stop words that carry no discriminative signal</w:t>
            </w:r>
          </w:p>
        </w:tc>
      </w:tr>
    </w:tbl>
    <w:p>
      <w:r/>
    </w:p>
    <w:p>
      <w:r>
        <w:t>The inclusion of bigrams is one of the strongest levers in the feature design. Individual words like 'invoice' or 'date' appear across multiple categories, but phrases like 'invoice date', 'bill to', 'due upon' or 'dear sir' are category-specific and carry much stronger discriminative signal than either constituent word alone.</w:t>
      </w:r>
    </w:p>
    <w:p>
      <w:pPr>
        <w:pStyle w:val="Heading2"/>
      </w:pPr>
      <w:r>
        <w:rPr>
          <w:rFonts w:ascii="Times New Roman" w:hAnsi="Times New Roman"/>
          <w:b/>
          <w:color w:val="1A365D"/>
          <w:sz w:val="28"/>
        </w:rPr>
        <w:t>5.4 Stage 4: Handcrafted Image Features (33 dimensions)</w:t>
      </w:r>
    </w:p>
    <w:p>
      <w:r>
        <w:t>Parallel to the text pipeline, each image is converted to grayscale, resized to 256×256 pixels, and passed through five handcrafted feature extractors. The output is a 33-dimensional real-valued vector.</w:t>
      </w:r>
    </w:p>
    <w:p>
      <w:pPr>
        <w:pStyle w:val="Heading3"/>
      </w:pPr>
      <w:r>
        <w:rPr>
          <w:rFonts w:ascii="Times New Roman" w:hAnsi="Times New Roman"/>
          <w:b/>
          <w:color w:val="1A365D"/>
          <w:sz w:val="26"/>
        </w:rPr>
        <w:t>5.4.1 HOG summary statistics (4 features)</w:t>
      </w:r>
    </w:p>
    <w:p>
      <w:r>
        <w:t>Histogram of Oriented Gradients computed with nine orientations, 16×16 pixel cells, and 2×2 cell blocks. Rather than the full descriptor (thousands of dimensions), we summarise the HOG response with four moments: mean, standard deviation, maximum, and median. These capture the overall edge-orientation distribution of the document.</w:t>
      </w:r>
    </w:p>
    <w:p>
      <w:pPr>
        <w:pStyle w:val="Heading3"/>
      </w:pPr>
      <w:r>
        <w:rPr>
          <w:rFonts w:ascii="Times New Roman" w:hAnsi="Times New Roman"/>
          <w:b/>
          <w:color w:val="1A365D"/>
          <w:sz w:val="26"/>
        </w:rPr>
        <w:t>5.4.2 Text density grid (17 features)</w:t>
      </w:r>
    </w:p>
    <w:p>
      <w:r>
        <w:t>The grayscale image is binarised at threshold 128. The global ratio of dark pixels is captured as one feature (overall text density). The image is then divided into a 4×4 spatial grid, and the text density of each of the 16 cells is captured as an individual feature. This spatial layout encoding is particularly powerful for distinguishing structured documents (invoices) from free-flowing ones (emails).</w:t>
      </w:r>
    </w:p>
    <w:p>
      <w:pPr>
        <w:pStyle w:val="Heading3"/>
      </w:pPr>
      <w:r>
        <w:rPr>
          <w:rFonts w:ascii="Times New Roman" w:hAnsi="Times New Roman"/>
          <w:b/>
          <w:color w:val="1A365D"/>
          <w:sz w:val="26"/>
        </w:rPr>
        <w:t>5.4.3 Whitespace analysis (6 features)</w:t>
      </w:r>
    </w:p>
    <w:p>
      <w:r>
        <w:t>Six features characterise the document's use of whitespace: the fraction of rows that are nearly blank (row text density below 1%), the fraction of columns that are nearly blank, and the text density in each of the top half, bottom half, left half, and right half of the page. Emails have high whitespace because of short line length; scientific publications have very low whitespace because of two-column density; resumes and invoices fall in between with distinctive spatial patterns.</w:t>
      </w:r>
    </w:p>
    <w:p>
      <w:pPr>
        <w:pStyle w:val="Heading3"/>
      </w:pPr>
      <w:r>
        <w:rPr>
          <w:rFonts w:ascii="Times New Roman" w:hAnsi="Times New Roman"/>
          <w:b/>
          <w:color w:val="1A365D"/>
          <w:sz w:val="26"/>
        </w:rPr>
        <w:t>5.4.4 Sobel edge features (2 features)</w:t>
      </w:r>
    </w:p>
    <w:p>
      <w:r>
        <w:t>Sobel edge detection is applied in both horizontal and vertical directions and the magnitudes are combined. The mean and standard deviation of the edge response become two features. High edge density indicates visual complexity (logos, tables, figures).</w:t>
      </w:r>
    </w:p>
    <w:p>
      <w:pPr>
        <w:pStyle w:val="Heading3"/>
      </w:pPr>
      <w:r>
        <w:rPr>
          <w:rFonts w:ascii="Times New Roman" w:hAnsi="Times New Roman"/>
          <w:b/>
          <w:color w:val="1A365D"/>
          <w:sz w:val="26"/>
        </w:rPr>
        <w:t>5.4.5 Margin features (4 features)</w:t>
      </w:r>
    </w:p>
    <w:p>
      <w:r>
        <w:t>We compute the bounding box of text content and derive the top, bottom, left, and right margins as fractions of the page dimension. Different document types have characteristic margin patterns — scientific publications minimise margins to fit more content, resumes often have wide margins for readability, emails have narrow text columns and wide right margins.</w:t>
      </w:r>
    </w:p>
    <w:p>
      <w:pPr>
        <w:pStyle w:val="Heading2"/>
      </w:pPr>
      <w:r>
        <w:rPr>
          <w:rFonts w:ascii="Times New Roman" w:hAnsi="Times New Roman"/>
          <w:b/>
          <w:color w:val="1A365D"/>
          <w:sz w:val="28"/>
        </w:rPr>
        <w:t>5.5 Stage 5: Text Meta-Features (15 dimensions)</w:t>
      </w:r>
    </w:p>
    <w:p>
      <w:r>
        <w:t>A third feature family was added to the pipeline specifically to bridge categories that had high OCR-text overlap (notably invoices and emails, which share structural cues like dates and recipients). The _extract_text_meta function computes 15 handcrafted text statistics:</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135"/>
        <w:gridCol w:w="3135"/>
        <w:gridCol w:w="3135"/>
      </w:tblGrid>
      <w:tr>
        <w:tc>
          <w:tcPr>
            <w:tcW w:type="dxa" w:w="2551"/>
            <w:shd w:fill="DCE4EC"/>
          </w:tcPr>
          <w:p>
            <w:r/>
            <w:r>
              <w:rPr>
                <w:rFonts w:ascii="Times New Roman" w:hAnsi="Times New Roman"/>
                <w:b/>
                <w:sz w:val="22"/>
              </w:rPr>
              <w:t>Group</w:t>
            </w:r>
          </w:p>
        </w:tc>
        <w:tc>
          <w:tcPr>
            <w:tcW w:type="dxa" w:w="1417"/>
            <w:shd w:fill="DCE4EC"/>
          </w:tcPr>
          <w:p>
            <w:r/>
            <w:r>
              <w:rPr>
                <w:rFonts w:ascii="Times New Roman" w:hAnsi="Times New Roman"/>
                <w:b/>
                <w:sz w:val="22"/>
              </w:rPr>
              <w:t>Features (count)</w:t>
            </w:r>
          </w:p>
        </w:tc>
        <w:tc>
          <w:tcPr>
            <w:tcW w:type="dxa" w:w="5102"/>
            <w:shd w:fill="DCE4EC"/>
          </w:tcPr>
          <w:p>
            <w:r/>
            <w:r>
              <w:rPr>
                <w:rFonts w:ascii="Times New Roman" w:hAnsi="Times New Roman"/>
                <w:b/>
                <w:sz w:val="22"/>
              </w:rPr>
              <w:t>Examples</w:t>
            </w:r>
          </w:p>
        </w:tc>
      </w:tr>
      <w:tr>
        <w:tc>
          <w:tcPr>
            <w:tcW w:type="dxa" w:w="2551"/>
          </w:tcPr>
          <w:p>
            <w:r/>
            <w:r>
              <w:rPr>
                <w:rFonts w:ascii="Times New Roman" w:hAnsi="Times New Roman"/>
                <w:sz w:val="22"/>
              </w:rPr>
              <w:t>Basic statistics</w:t>
            </w:r>
          </w:p>
        </w:tc>
        <w:tc>
          <w:tcPr>
            <w:tcW w:type="dxa" w:w="1417"/>
          </w:tcPr>
          <w:p>
            <w:r/>
            <w:r>
              <w:rPr>
                <w:rFonts w:ascii="Times New Roman" w:hAnsi="Times New Roman"/>
                <w:sz w:val="22"/>
              </w:rPr>
              <w:t>5</w:t>
            </w:r>
          </w:p>
        </w:tc>
        <w:tc>
          <w:tcPr>
            <w:tcW w:type="dxa" w:w="5102"/>
          </w:tcPr>
          <w:p>
            <w:r/>
            <w:r>
              <w:rPr>
                <w:rFonts w:ascii="Times New Roman" w:hAnsi="Times New Roman"/>
                <w:sz w:val="22"/>
              </w:rPr>
              <w:t>n_chars, n_words, n_lines, avg_word_len, avg_line_len</w:t>
            </w:r>
          </w:p>
        </w:tc>
      </w:tr>
      <w:tr>
        <w:tc>
          <w:tcPr>
            <w:tcW w:type="dxa" w:w="2551"/>
          </w:tcPr>
          <w:p>
            <w:r/>
            <w:r>
              <w:rPr>
                <w:rFonts w:ascii="Times New Roman" w:hAnsi="Times New Roman"/>
                <w:sz w:val="22"/>
              </w:rPr>
              <w:t>Character ratios</w:t>
            </w:r>
          </w:p>
        </w:tc>
        <w:tc>
          <w:tcPr>
            <w:tcW w:type="dxa" w:w="1417"/>
          </w:tcPr>
          <w:p>
            <w:r/>
            <w:r>
              <w:rPr>
                <w:rFonts w:ascii="Times New Roman" w:hAnsi="Times New Roman"/>
                <w:sz w:val="22"/>
              </w:rPr>
              <w:t>3</w:t>
            </w:r>
          </w:p>
        </w:tc>
        <w:tc>
          <w:tcPr>
            <w:tcW w:type="dxa" w:w="5102"/>
          </w:tcPr>
          <w:p>
            <w:r/>
            <w:r>
              <w:rPr>
                <w:rFonts w:ascii="Times New Roman" w:hAnsi="Times New Roman"/>
                <w:sz w:val="22"/>
              </w:rPr>
              <w:t>digit_ratio, upper_ratio, special_ratio (non-alphanumeric, non-space)</w:t>
            </w:r>
          </w:p>
        </w:tc>
      </w:tr>
      <w:tr>
        <w:tc>
          <w:tcPr>
            <w:tcW w:type="dxa" w:w="2551"/>
          </w:tcPr>
          <w:p>
            <w:r/>
            <w:r>
              <w:rPr>
                <w:rFonts w:ascii="Times New Roman" w:hAnsi="Times New Roman"/>
                <w:sz w:val="22"/>
              </w:rPr>
              <w:t>Keyword counts</w:t>
            </w:r>
          </w:p>
        </w:tc>
        <w:tc>
          <w:tcPr>
            <w:tcW w:type="dxa" w:w="1417"/>
          </w:tcPr>
          <w:p>
            <w:r/>
            <w:r>
              <w:rPr>
                <w:rFonts w:ascii="Times New Roman" w:hAnsi="Times New Roman"/>
                <w:sz w:val="22"/>
              </w:rPr>
              <w:t>4</w:t>
            </w:r>
          </w:p>
        </w:tc>
        <w:tc>
          <w:tcPr>
            <w:tcW w:type="dxa" w:w="5102"/>
          </w:tcPr>
          <w:p>
            <w:r/>
            <w:r>
              <w:rPr>
                <w:rFonts w:ascii="Times New Roman" w:hAnsi="Times New Roman"/>
                <w:sz w:val="22"/>
              </w:rPr>
              <w:t>invoice_kw, email_kw, resume_kw, sci_kw — each counts vocabulary hits for the category</w:t>
            </w:r>
          </w:p>
        </w:tc>
      </w:tr>
      <w:tr>
        <w:tc>
          <w:tcPr>
            <w:tcW w:type="dxa" w:w="2551"/>
          </w:tcPr>
          <w:p>
            <w:r/>
            <w:r>
              <w:rPr>
                <w:rFonts w:ascii="Times New Roman" w:hAnsi="Times New Roman"/>
                <w:sz w:val="22"/>
              </w:rPr>
              <w:t>Structural flags</w:t>
            </w:r>
          </w:p>
        </w:tc>
        <w:tc>
          <w:tcPr>
            <w:tcW w:type="dxa" w:w="1417"/>
          </w:tcPr>
          <w:p>
            <w:r/>
            <w:r>
              <w:rPr>
                <w:rFonts w:ascii="Times New Roman" w:hAnsi="Times New Roman"/>
                <w:sz w:val="22"/>
              </w:rPr>
              <w:t>3</w:t>
            </w:r>
          </w:p>
        </w:tc>
        <w:tc>
          <w:tcPr>
            <w:tcW w:type="dxa" w:w="5102"/>
          </w:tcPr>
          <w:p>
            <w:r/>
            <w:r>
              <w:rPr>
                <w:rFonts w:ascii="Times New Roman" w:hAnsi="Times New Roman"/>
                <w:sz w:val="22"/>
              </w:rPr>
              <w:t>'@' in text (email marker); currency symbol present; date pattern present</w:t>
            </w:r>
          </w:p>
        </w:tc>
      </w:tr>
    </w:tbl>
    <w:p>
      <w:r/>
    </w:p>
    <w:p>
      <w:r>
        <w:t>Keyword counts are particularly important for disambiguation. The invoice keyword counter tallies occurrences of 'invoice', 'total', 'amount', 'due date', 'bill to', 'subtotal', 'tax', 'payment'. The email counter looks for 'from:', 'to:', 'subject:', 'sent:', 'dear', 'regards', 'sincerely', 'cc:'. The resume counter looks for 'experience', 'education', 'skills', 'objective', 'references', 'university', 'degree', 'employment'. The scientific-publication counter looks for 'abstract', 'introduction', 'conclusion', 'references', 'methodology', 'results', 'figure', 'table', 'et al'. Because these lists are hand-curated per category, they give the classifier a strong prior even on documents where TF-IDF might have missed the signal.</w:t>
      </w:r>
    </w:p>
    <w:p>
      <w:pPr>
        <w:pStyle w:val="Heading2"/>
      </w:pPr>
      <w:r>
        <w:rPr>
          <w:rFonts w:ascii="Times New Roman" w:hAnsi="Times New Roman"/>
          <w:b/>
          <w:color w:val="1A365D"/>
          <w:sz w:val="28"/>
        </w:rPr>
        <w:t>5.6 Stage 6: Feature Fusion and Scaling</w:t>
      </w:r>
    </w:p>
    <w:p>
      <w:r>
        <w:t>The 750 TF-IDF features, 33 image features, and 15 meta-features are concatenated into a single 798-dimensional vector. Before classification, all features are standardised using scikit-learn's StandardScaler (zero mean, unit variance per feature). Standardisation is computed on the training set and applied to the validation set unchanged, ensuring no information leakage.</w:t>
      </w:r>
    </w:p>
    <w:p>
      <w:pPr>
        <w:pStyle w:val="Heading2"/>
      </w:pPr>
      <w:r>
        <w:rPr>
          <w:rFonts w:ascii="Times New Roman" w:hAnsi="Times New Roman"/>
          <w:b/>
          <w:color w:val="1A365D"/>
          <w:sz w:val="28"/>
        </w:rPr>
        <w:t>5.7 Stage 7: Classification Model</w:t>
      </w:r>
    </w:p>
    <w:p>
      <w:r>
        <w:t>The deployed classifier is a soft-voting VotingClassifier combining three diverse base models:</w:t>
      </w:r>
    </w:p>
    <w:p>
      <w:pPr>
        <w:ind w:left="283"/>
        <w:shd w:fill="F4F4F4"/>
      </w:pPr>
      <w:r>
        <w:rPr>
          <w:rFonts w:ascii="Consolas" w:hAnsi="Consolas"/>
          <w:sz w:val="20"/>
        </w:rPr>
        <w:t>VotingClassifier(</w:t>
        <w:br/>
        <w:t xml:space="preserve">    estimators=[</w:t>
        <w:br/>
        <w:t xml:space="preserve">        ("svm", SVC(kernel="rbf", C=10, gamma="scale", probability=True, random_state=42)),</w:t>
        <w:br/>
        <w:t xml:space="preserve">        ("lr",  LogisticRegression(max_iter=1000, C=1.0, random_state=42)),</w:t>
        <w:br/>
        <w:t xml:space="preserve">        ("rf",  RandomForestClassifier(n_estimators=200, max_depth=10, random_state=42)),</w:t>
        <w:br/>
        <w:t xml:space="preserve">    ],</w:t>
        <w:br/>
        <w:t xml:space="preserve">    voting="soft"</w:t>
        <w:br/>
        <w:t>)</w:t>
      </w:r>
    </w:p>
    <w:p>
      <w:r>
        <w:t>Each base model has a distinct decision surface — the SVM captures non-linear boundaries through its RBF kernel, Logistic Regression provides a calibrated linear baseline, and Random Forest handles non-linear feature interactions through axis-aligned splits. Soft voting averages the predicted probability distributions from all three models, yielding predictions that are more robust than any individual classifier because errors in one model are typically not correlated with errors in the others.</w:t>
      </w:r>
    </w:p>
    <w:p>
      <w:pPr>
        <w:pStyle w:val="Heading2"/>
      </w:pPr>
      <w:r>
        <w:rPr>
          <w:rFonts w:ascii="Times New Roman" w:hAnsi="Times New Roman"/>
          <w:b/>
          <w:color w:val="1A365D"/>
          <w:sz w:val="28"/>
        </w:rPr>
        <w:t>5.8 Training Methodology</w:t>
      </w:r>
    </w:p>
    <w:p>
      <w:r>
        <w:t>The training pipeline is organised as four numbered scripts in ai/classification/model_training/, executed in sequence, each producing artefacts that inform the next:</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135"/>
        <w:gridCol w:w="3135"/>
        <w:gridCol w:w="3135"/>
      </w:tblGrid>
      <w:tr>
        <w:tc>
          <w:tcPr>
            <w:tcW w:type="dxa" w:w="2835"/>
            <w:shd w:fill="DCE4EC"/>
          </w:tcPr>
          <w:p>
            <w:r/>
            <w:r>
              <w:rPr>
                <w:rFonts w:ascii="Times New Roman" w:hAnsi="Times New Roman"/>
                <w:b/>
                <w:sz w:val="22"/>
              </w:rPr>
              <w:t>Script</w:t>
            </w:r>
          </w:p>
        </w:tc>
        <w:tc>
          <w:tcPr>
            <w:tcW w:type="dxa" w:w="4535"/>
            <w:shd w:fill="DCE4EC"/>
          </w:tcPr>
          <w:p>
            <w:r/>
            <w:r>
              <w:rPr>
                <w:rFonts w:ascii="Times New Roman" w:hAnsi="Times New Roman"/>
                <w:b/>
                <w:sz w:val="22"/>
              </w:rPr>
              <w:t>Role</w:t>
            </w:r>
          </w:p>
        </w:tc>
        <w:tc>
          <w:tcPr>
            <w:tcW w:type="dxa" w:w="2835"/>
            <w:shd w:fill="DCE4EC"/>
          </w:tcPr>
          <w:p>
            <w:r/>
            <w:r>
              <w:rPr>
                <w:rFonts w:ascii="Times New Roman" w:hAnsi="Times New Roman"/>
                <w:b/>
                <w:sz w:val="22"/>
              </w:rPr>
              <w:t>Outputs</w:t>
            </w:r>
          </w:p>
        </w:tc>
      </w:tr>
      <w:tr>
        <w:tc>
          <w:tcPr>
            <w:tcW w:type="dxa" w:w="2835"/>
          </w:tcPr>
          <w:p>
            <w:r/>
            <w:r>
              <w:rPr>
                <w:rFonts w:ascii="Times New Roman" w:hAnsi="Times New Roman"/>
                <w:sz w:val="22"/>
              </w:rPr>
              <w:t>1_baseline_comparison.py</w:t>
            </w:r>
          </w:p>
        </w:tc>
        <w:tc>
          <w:tcPr>
            <w:tcW w:type="dxa" w:w="4535"/>
          </w:tcPr>
          <w:p>
            <w:r/>
            <w:r>
              <w:rPr>
                <w:rFonts w:ascii="Times New Roman" w:hAnsi="Times New Roman"/>
                <w:sz w:val="22"/>
              </w:rPr>
              <w:t>Train and compare five base classifiers (Random Forest, SVM-RBF, SVM-Linear, Logistic Regression, Naive Bayes) on the initial 533-dim hybrid feature vector (500 TF-IDF + 33 image).</w:t>
            </w:r>
          </w:p>
        </w:tc>
        <w:tc>
          <w:tcPr>
            <w:tcW w:type="dxa" w:w="2835"/>
          </w:tcPr>
          <w:p>
            <w:r/>
            <w:r>
              <w:rPr>
                <w:rFonts w:ascii="Times New Roman" w:hAnsi="Times New Roman"/>
                <w:sz w:val="22"/>
              </w:rPr>
              <w:t>baseline_svm_rbf.pkl, all_baseline_models.pkl, features_cache.pkl</w:t>
            </w:r>
          </w:p>
        </w:tc>
      </w:tr>
      <w:tr>
        <w:tc>
          <w:tcPr>
            <w:tcW w:type="dxa" w:w="2835"/>
          </w:tcPr>
          <w:p>
            <w:r/>
            <w:r>
              <w:rPr>
                <w:rFonts w:ascii="Times New Roman" w:hAnsi="Times New Roman"/>
                <w:sz w:val="22"/>
              </w:rPr>
              <w:t>2_ablation_study.py</w:t>
            </w:r>
          </w:p>
        </w:tc>
        <w:tc>
          <w:tcPr>
            <w:tcW w:type="dxa" w:w="4535"/>
          </w:tcPr>
          <w:p>
            <w:r/>
            <w:r>
              <w:rPr>
                <w:rFonts w:ascii="Times New Roman" w:hAnsi="Times New Roman"/>
                <w:sz w:val="22"/>
              </w:rPr>
              <w:t>Isolate the contribution of each feature family by training on text-only, image-only, and hybrid variants.</w:t>
            </w:r>
          </w:p>
        </w:tc>
        <w:tc>
          <w:tcPr>
            <w:tcW w:type="dxa" w:w="2835"/>
          </w:tcPr>
          <w:p>
            <w:r/>
            <w:r>
              <w:rPr>
                <w:rFonts w:ascii="Times New Roman" w:hAnsi="Times New Roman"/>
                <w:sz w:val="22"/>
              </w:rPr>
              <w:t>Console report only — no saved model.</w:t>
            </w:r>
          </w:p>
        </w:tc>
      </w:tr>
      <w:tr>
        <w:tc>
          <w:tcPr>
            <w:tcW w:type="dxa" w:w="2835"/>
          </w:tcPr>
          <w:p>
            <w:r/>
            <w:r>
              <w:rPr>
                <w:rFonts w:ascii="Times New Roman" w:hAnsi="Times New Roman"/>
                <w:sz w:val="22"/>
              </w:rPr>
              <w:t>3_hyperparameter_tuning.py</w:t>
            </w:r>
          </w:p>
        </w:tc>
        <w:tc>
          <w:tcPr>
            <w:tcW w:type="dxa" w:w="4535"/>
          </w:tcPr>
          <w:p>
            <w:r/>
            <w:r>
              <w:rPr>
                <w:rFonts w:ascii="Times New Roman" w:hAnsi="Times New Roman"/>
                <w:sz w:val="22"/>
              </w:rPr>
              <w:t>Sweep TF-IDF vocabulary size (300–2000), SVM C parameter (0.1–100), and SVM gamma setting.</w:t>
            </w:r>
          </w:p>
        </w:tc>
        <w:tc>
          <w:tcPr>
            <w:tcW w:type="dxa" w:w="2835"/>
          </w:tcPr>
          <w:p>
            <w:r/>
            <w:r>
              <w:rPr>
                <w:rFonts w:ascii="Times New Roman" w:hAnsi="Times New Roman"/>
                <w:sz w:val="22"/>
              </w:rPr>
              <w:t>tuned_svm.pkl — best single classifier after tuning.</w:t>
            </w:r>
          </w:p>
        </w:tc>
      </w:tr>
      <w:tr>
        <w:tc>
          <w:tcPr>
            <w:tcW w:type="dxa" w:w="2835"/>
          </w:tcPr>
          <w:p>
            <w:r/>
            <w:r>
              <w:rPr>
                <w:rFonts w:ascii="Times New Roman" w:hAnsi="Times New Roman"/>
                <w:sz w:val="22"/>
              </w:rPr>
              <w:t>4_improved_ensemble.py</w:t>
            </w:r>
          </w:p>
        </w:tc>
        <w:tc>
          <w:tcPr>
            <w:tcW w:type="dxa" w:w="4535"/>
          </w:tcPr>
          <w:p>
            <w:r/>
            <w:r>
              <w:rPr>
                <w:rFonts w:ascii="Times New Roman" w:hAnsi="Times New Roman"/>
                <w:sz w:val="22"/>
              </w:rPr>
              <w:t>Test four feature configurations (A: unigrams, B: bigrams, C: bigrams+meta with 500 TF-IDF, D: bigrams+meta with 750 TF-IDF) and wrap each in a soft-voting ensemble.</w:t>
            </w:r>
          </w:p>
        </w:tc>
        <w:tc>
          <w:tcPr>
            <w:tcW w:type="dxa" w:w="2835"/>
          </w:tcPr>
          <w:p>
            <w:r/>
            <w:r>
              <w:rPr>
                <w:rFonts w:ascii="Times New Roman" w:hAnsi="Times New Roman"/>
                <w:sz w:val="22"/>
              </w:rPr>
              <w:t>improved_ensemble.pkl — the deployed model (Config D).</w:t>
            </w:r>
          </w:p>
        </w:tc>
      </w:tr>
    </w:tbl>
    <w:p>
      <w:r/>
    </w:p>
    <w:p>
      <w:r>
        <w:t>Configuration D — 750 TF-IDF bigrams plus 33 image features plus 15 meta features, wrapped in the soft-voting ensemble — was the winning configuration and is the model deployed in backend/ml/models/improved_classifier.pkl.</w:t>
      </w:r>
    </w:p>
    <w:p>
      <w:pPr>
        <w:pStyle w:val="Heading2"/>
      </w:pPr>
      <w:r>
        <w:rPr>
          <w:rFonts w:ascii="Times New Roman" w:hAnsi="Times New Roman"/>
          <w:b/>
          <w:color w:val="1A365D"/>
          <w:sz w:val="28"/>
        </w:rPr>
        <w:t>5.9 Model Serialisation</w:t>
      </w:r>
    </w:p>
    <w:p>
      <w:r>
        <w:t>The trained artefact is a Python pickle containing six objects: the fitted VotingClassifier, the fitted StandardScaler, the fitted LabelEncoder, the fitted TfidfVectorizer, a descriptive model_name string, and a metrics dictionary. At inference time, backend/ml/classifier.py lazy-loads the pickle once per worker process and reuses the singleton for every subsequent request, minimising load overhead.</w:t>
      </w:r>
    </w:p>
    <w:p>
      <w:pPr>
        <w:ind w:left="283"/>
        <w:shd w:fill="F4F4F4"/>
      </w:pPr>
      <w:r>
        <w:rPr>
          <w:rFonts w:ascii="Consolas" w:hAnsi="Consolas"/>
          <w:sz w:val="20"/>
        </w:rPr>
        <w:t># Saved model structure</w:t>
        <w:br/>
        <w:t>{</w:t>
        <w:br/>
        <w:t xml:space="preserve">    "model": VotingClassifier(...),</w:t>
        <w:br/>
        <w:t xml:space="preserve">    "scaler": StandardScaler(...),</w:t>
        <w:br/>
        <w:t xml:space="preserve">    "label_encoder": LabelEncoder(...),</w:t>
        <w:br/>
        <w:t xml:space="preserve">    "tfidf_vectorizer": TfidfVectorizer(max_features=750, ngram_range=(1,2), ...),</w:t>
        <w:br/>
        <w:t xml:space="preserve">    "model_name": "D:_Bigrams750_+_img_+_meta_/_Ensemble",</w:t>
        <w:br/>
        <w:t xml:space="preserve">    "metrics": {"accuracy": 0.9375}</w:t>
        <w:br/>
        <w:t>}</w:t>
      </w:r>
    </w:p>
    <w:p>
      <w:r>
        <w:br w:type="page"/>
      </w:r>
    </w:p>
    <w:p>
      <w:pPr>
        <w:pStyle w:val="Heading1"/>
      </w:pPr>
      <w:r>
        <w:rPr>
          <w:rFonts w:ascii="Times New Roman" w:hAnsi="Times New Roman"/>
          <w:b/>
          <w:color w:val="1A365D"/>
          <w:sz w:val="32"/>
        </w:rPr>
        <w:t>6. Invoice Extraction Pipeline</w:t>
      </w:r>
    </w:p>
    <w:p>
      <w:r>
        <w:t>When the classifier returns 'invoice', a second asynchronous task — run_extraction — fires automatically, implementing the structured-field extraction requirement of the assignment. Rather than a pure OCR-plus-regex approach (which is brittle across invoice layouts), DocLens uses a document-aware transformer that reads both text and spatial layout simultaneously.</w:t>
      </w:r>
    </w:p>
    <w:p>
      <w:pPr>
        <w:pStyle w:val="Heading2"/>
      </w:pPr>
      <w:r>
        <w:rPr>
          <w:rFonts w:ascii="Times New Roman" w:hAnsi="Times New Roman"/>
          <w:b/>
          <w:color w:val="1A365D"/>
          <w:sz w:val="28"/>
        </w:rPr>
        <w:t>6.1 Approach: Preprocess, then Ask</w:t>
      </w:r>
    </w:p>
    <w:p>
      <w:r>
        <w:t>The extraction pipeline has two distinct phases. First, the image is preprocessed to maximise OCR quality — but the preprocessed image is used only for the raw_text log, not for the actual field extraction. Second, the original (un-preprocessed) image is passed to LayoutLMv2, which performs its own internal OCR while simultaneously reading the spatial layout of the document. For each of six target fields, LayoutLM is asked a targeted natural-language question and returns the span of the document that answers it, along with a confidence score.</w:t>
      </w:r>
    </w:p>
    <w:p>
      <w:pPr>
        <w:pStyle w:val="Heading2"/>
      </w:pPr>
      <w:r>
        <w:rPr>
          <w:rFonts w:ascii="Times New Roman" w:hAnsi="Times New Roman"/>
          <w:b/>
          <w:color w:val="1A365D"/>
          <w:sz w:val="28"/>
        </w:rPr>
        <w:t>6.2 Preprocessing</w:t>
      </w:r>
    </w:p>
    <w:p>
      <w:r>
        <w:t>Before Tesseract OCR runs on the page, the image passes through three preprocessing steps implemented in ai/extraction/preprocessing_invoice/pipeline.py:</w:t>
      </w:r>
    </w:p>
    <w:p>
      <w:pPr>
        <w:ind w:left="425" w:hanging="425"/>
      </w:pPr>
      <w:r>
        <w:rPr>
          <w:b/>
        </w:rPr>
        <w:t xml:space="preserve">1.  </w:t>
      </w:r>
      <w:r>
        <w:t>Colour-space conversion: The image is converted from BGR to LAB colour space and the L (luminance) channel is extracted. This decouples intensity-based contrast enhancement from colour information, avoiding the colour artefacts that pure grayscale conversion can introduce.</w:t>
      </w:r>
    </w:p>
    <w:p>
      <w:pPr>
        <w:ind w:left="425" w:hanging="425"/>
      </w:pPr>
      <w:r>
        <w:rPr>
          <w:b/>
        </w:rPr>
        <w:t xml:space="preserve">2.  </w:t>
      </w:r>
      <w:r>
        <w:t>Contrast-limited adaptive histogram equalisation (CLAHE): We apply CLAHE with clip_limit=2.0 and tile_grid_size=(8, 8). Unlike global histogram equalisation, CLAHE computes local histograms on 8×8 tiles and clips the contribution of any single intensity bin to avoid over-amplifying noise. The result is that text in dark regions becomes legible without washing out text in bright regions.</w:t>
      </w:r>
    </w:p>
    <w:p>
      <w:pPr>
        <w:ind w:left="425" w:hanging="425"/>
      </w:pPr>
      <w:r>
        <w:rPr>
          <w:b/>
        </w:rPr>
        <w:t xml:space="preserve">3.  </w:t>
      </w:r>
      <w:r>
        <w:t>Gaussian background normalisation: A Gaussian-blurred copy of the image (σ = 51) estimates the background illumination envelope. Dividing the original by this estimate flattens uneven illumination — a common artefact of photographed invoices or scans with uneven light distribution.</w:t>
      </w:r>
    </w:p>
    <w:p>
      <w:pPr>
        <w:pStyle w:val="Heading2"/>
      </w:pPr>
      <w:r>
        <w:rPr>
          <w:rFonts w:ascii="Times New Roman" w:hAnsi="Times New Roman"/>
          <w:b/>
          <w:color w:val="1A365D"/>
          <w:sz w:val="28"/>
        </w:rPr>
        <w:t>6.3 Document-Aware Extraction with LayoutLM</w:t>
      </w:r>
    </w:p>
    <w:p>
      <w:r>
        <w:t>The cleaned image is handed to LayoutLMv2, specifically the checkpoint impira/layoutlm-document-qa — a LayoutLM variant fine-tuned by Impira for document question answering. LayoutLMv2 is a discriminative transformer: it reads both the OCR tokens and their two-dimensional positions on the page, and answers questions by selecting an existing span from the document. It does not generate new text.</w:t>
      </w:r>
    </w:p>
    <w:p>
      <w:r>
        <w:t>For each of the six target fields, we ask one or two targeted natural-language questions. LayoutLM returns the best answer span and a confidence score. Answers below a minimum confidence threshold are discarded, leaving the field null.</w:t>
      </w:r>
    </w:p>
    <w:p>
      <w:pPr>
        <w:pStyle w:val="Heading2"/>
      </w:pPr>
      <w:r>
        <w:rPr>
          <w:rFonts w:ascii="Times New Roman" w:hAnsi="Times New Roman"/>
          <w:b/>
          <w:color w:val="1A365D"/>
          <w:sz w:val="28"/>
        </w:rPr>
        <w:t>6.4 Field Question Bank</w:t>
      </w:r>
    </w:p>
    <w:p>
      <w:r>
        <w:t>The questions asked are as follows (implemented in ai/extraction/layoutlm/extractor.py):</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703"/>
        <w:gridCol w:w="4703"/>
      </w:tblGrid>
      <w:tr>
        <w:tc>
          <w:tcPr>
            <w:tcW w:type="dxa" w:w="2268"/>
            <w:shd w:fill="DCE4EC"/>
          </w:tcPr>
          <w:p>
            <w:r/>
            <w:r>
              <w:rPr>
                <w:rFonts w:ascii="Times New Roman" w:hAnsi="Times New Roman"/>
                <w:b/>
                <w:sz w:val="22"/>
              </w:rPr>
              <w:t>Field</w:t>
            </w:r>
          </w:p>
        </w:tc>
        <w:tc>
          <w:tcPr>
            <w:tcW w:type="dxa" w:w="6803"/>
            <w:shd w:fill="DCE4EC"/>
          </w:tcPr>
          <w:p>
            <w:r/>
            <w:r>
              <w:rPr>
                <w:rFonts w:ascii="Times New Roman" w:hAnsi="Times New Roman"/>
                <w:b/>
                <w:sz w:val="22"/>
              </w:rPr>
              <w:t>Question(s) asked</w:t>
            </w:r>
          </w:p>
        </w:tc>
      </w:tr>
      <w:tr>
        <w:tc>
          <w:tcPr>
            <w:tcW w:type="dxa" w:w="2268"/>
          </w:tcPr>
          <w:p>
            <w:r/>
            <w:r>
              <w:rPr>
                <w:rFonts w:ascii="Times New Roman" w:hAnsi="Times New Roman"/>
                <w:sz w:val="22"/>
              </w:rPr>
              <w:t>Invoice_Number</w:t>
            </w:r>
          </w:p>
        </w:tc>
        <w:tc>
          <w:tcPr>
            <w:tcW w:type="dxa" w:w="6803"/>
          </w:tcPr>
          <w:p>
            <w:r/>
            <w:r>
              <w:rPr>
                <w:rFonts w:ascii="Times New Roman" w:hAnsi="Times New Roman"/>
                <w:sz w:val="22"/>
              </w:rPr>
              <w:t>What is the invoice number? / What is the invoice #?</w:t>
            </w:r>
          </w:p>
        </w:tc>
      </w:tr>
      <w:tr>
        <w:tc>
          <w:tcPr>
            <w:tcW w:type="dxa" w:w="2268"/>
          </w:tcPr>
          <w:p>
            <w:r/>
            <w:r>
              <w:rPr>
                <w:rFonts w:ascii="Times New Roman" w:hAnsi="Times New Roman"/>
                <w:sz w:val="22"/>
              </w:rPr>
              <w:t>Invoice_Date</w:t>
            </w:r>
          </w:p>
        </w:tc>
        <w:tc>
          <w:tcPr>
            <w:tcW w:type="dxa" w:w="6803"/>
          </w:tcPr>
          <w:p>
            <w:r/>
            <w:r>
              <w:rPr>
                <w:rFonts w:ascii="Times New Roman" w:hAnsi="Times New Roman"/>
                <w:sz w:val="22"/>
              </w:rPr>
              <w:t>What is the invoice date? / What is the date of the invoice?</w:t>
            </w:r>
          </w:p>
        </w:tc>
      </w:tr>
      <w:tr>
        <w:tc>
          <w:tcPr>
            <w:tcW w:type="dxa" w:w="2268"/>
          </w:tcPr>
          <w:p>
            <w:r/>
            <w:r>
              <w:rPr>
                <w:rFonts w:ascii="Times New Roman" w:hAnsi="Times New Roman"/>
                <w:sz w:val="22"/>
              </w:rPr>
              <w:t>Due_Date</w:t>
            </w:r>
          </w:p>
        </w:tc>
        <w:tc>
          <w:tcPr>
            <w:tcW w:type="dxa" w:w="6803"/>
          </w:tcPr>
          <w:p>
            <w:r/>
            <w:r>
              <w:rPr>
                <w:rFonts w:ascii="Times New Roman" w:hAnsi="Times New Roman"/>
                <w:sz w:val="22"/>
              </w:rPr>
              <w:t>What is the due date? / What is the payment due date?</w:t>
            </w:r>
          </w:p>
        </w:tc>
      </w:tr>
      <w:tr>
        <w:tc>
          <w:tcPr>
            <w:tcW w:type="dxa" w:w="2268"/>
          </w:tcPr>
          <w:p>
            <w:r/>
            <w:r>
              <w:rPr>
                <w:rFonts w:ascii="Times New Roman" w:hAnsi="Times New Roman"/>
                <w:sz w:val="22"/>
              </w:rPr>
              <w:t>Issuer_Name</w:t>
            </w:r>
          </w:p>
        </w:tc>
        <w:tc>
          <w:tcPr>
            <w:tcW w:type="dxa" w:w="6803"/>
          </w:tcPr>
          <w:p>
            <w:r/>
            <w:r>
              <w:rPr>
                <w:rFonts w:ascii="Times New Roman" w:hAnsi="Times New Roman"/>
                <w:sz w:val="22"/>
              </w:rPr>
              <w:t>What is the name of the company issuing this invoice? / Who issued this invoice?</w:t>
            </w:r>
          </w:p>
        </w:tc>
      </w:tr>
      <w:tr>
        <w:tc>
          <w:tcPr>
            <w:tcW w:type="dxa" w:w="2268"/>
          </w:tcPr>
          <w:p>
            <w:r/>
            <w:r>
              <w:rPr>
                <w:rFonts w:ascii="Times New Roman" w:hAnsi="Times New Roman"/>
                <w:sz w:val="22"/>
              </w:rPr>
              <w:t>Recipient_Name</w:t>
            </w:r>
          </w:p>
        </w:tc>
        <w:tc>
          <w:tcPr>
            <w:tcW w:type="dxa" w:w="6803"/>
          </w:tcPr>
          <w:p>
            <w:r/>
            <w:r>
              <w:rPr>
                <w:rFonts w:ascii="Times New Roman" w:hAnsi="Times New Roman"/>
                <w:sz w:val="22"/>
              </w:rPr>
              <w:t>What is the name of the client or customer? / Who is billed?</w:t>
            </w:r>
          </w:p>
        </w:tc>
      </w:tr>
      <w:tr>
        <w:tc>
          <w:tcPr>
            <w:tcW w:type="dxa" w:w="2268"/>
          </w:tcPr>
          <w:p>
            <w:r/>
            <w:r>
              <w:rPr>
                <w:rFonts w:ascii="Times New Roman" w:hAnsi="Times New Roman"/>
                <w:sz w:val="22"/>
              </w:rPr>
              <w:t>Total_Amount</w:t>
            </w:r>
          </w:p>
        </w:tc>
        <w:tc>
          <w:tcPr>
            <w:tcW w:type="dxa" w:w="6803"/>
          </w:tcPr>
          <w:p>
            <w:r/>
            <w:r>
              <w:rPr>
                <w:rFonts w:ascii="Times New Roman" w:hAnsi="Times New Roman"/>
                <w:sz w:val="22"/>
              </w:rPr>
              <w:t>What is the total amount due? / What is the total?</w:t>
            </w:r>
          </w:p>
        </w:tc>
      </w:tr>
    </w:tbl>
    <w:p>
      <w:r/>
    </w:p>
    <w:p>
      <w:pPr>
        <w:pStyle w:val="Heading2"/>
      </w:pPr>
      <w:r>
        <w:rPr>
          <w:rFonts w:ascii="Times New Roman" w:hAnsi="Times New Roman"/>
          <w:b/>
          <w:color w:val="1A365D"/>
          <w:sz w:val="28"/>
        </w:rPr>
        <w:t>6.5 Post-Processing</w:t>
      </w:r>
    </w:p>
    <w:p>
      <w:r>
        <w:t>Several field values benefit from post-processing:</w:t>
      </w:r>
    </w:p>
    <w:p>
      <w:pPr>
        <w:pStyle w:val="ListBullet"/>
      </w:pPr>
      <w:r>
        <w:t>Date fields (Invoice_Date, Due_Date) are parsed through a chain of eight format attempts (DD/MM/YYYY, MM/DD/YYYY, ISO 8601, written-month formats, etc.). If any format matches, the result is normalised to a Python date object; otherwise the field stays null.</w:t>
      </w:r>
    </w:p>
    <w:p>
      <w:pPr>
        <w:pStyle w:val="ListBullet"/>
      </w:pPr>
      <w:r>
        <w:t>The Total field is parsed to a Python Decimal via a currency-aware regex that tolerates thousand separators (space, comma, non-breaking space), decimal separators (point, comma), and currency prefixes/suffixes.</w:t>
      </w:r>
    </w:p>
    <w:p>
      <w:pPr>
        <w:pStyle w:val="ListBullet"/>
      </w:pPr>
      <w:r>
        <w:t>Currency is inferred from the Total text — looking first for explicit ISO codes (EUR, USD, GBP, CHF), then for glyphs (€, $, £), and defaulting to the empty string if none are found.</w:t>
      </w:r>
    </w:p>
    <w:p>
      <w:pPr>
        <w:pStyle w:val="Heading2"/>
      </w:pPr>
      <w:r>
        <w:rPr>
          <w:rFonts w:ascii="Times New Roman" w:hAnsi="Times New Roman"/>
          <w:b/>
          <w:color w:val="1A365D"/>
          <w:sz w:val="28"/>
        </w:rPr>
        <w:t>6.6 Why LayoutLM Rather Than Pure OCR + Regex</w:t>
      </w:r>
    </w:p>
    <w:p>
      <w:r>
        <w:t>Early iterations of this project used an OCR-plus-regex pipeline: run Tesseract, tokenise the output, and match against hand-crafted patterns anchored on phrases like 'Invoice No.' or 'Due Date'. This approach has well-known failure modes on real invoices.</w:t>
      </w:r>
    </w:p>
    <w:p>
      <w:pPr>
        <w:pStyle w:val="ListBullet"/>
      </w:pPr>
      <w:r>
        <w:t>Invoices have no canonical layout. Some place the invoice number in the top-right; others in a bold header line; others only after 'Ref.:' or 'Reference:'. Regex patterns that cover all observed variants become sprawling and brittle.</w:t>
      </w:r>
    </w:p>
    <w:p>
      <w:pPr>
        <w:pStyle w:val="ListBullet"/>
      </w:pPr>
      <w:r>
        <w:t>OCR errors compound. When Tesseract misreads a single character in the anchor phrase (for example 'lnvoice' instead of 'Invoice'), the entire pattern fails and the field stays null.</w:t>
      </w:r>
    </w:p>
    <w:p>
      <w:pPr>
        <w:pStyle w:val="ListBullet"/>
      </w:pPr>
      <w:r>
        <w:t>Multi-line values require spatial reasoning. Client addresses, line-item descriptions, and multi-line company names are poorly served by line-based regex matching.</w:t>
      </w:r>
    </w:p>
    <w:p>
      <w:r>
        <w:t>LayoutLM addresses each of these weaknesses directly. It reads the whole page simultaneously, so the model can associate 'Invoice Number' with a value even when they are separated vertically. It is robust to moderate OCR noise because it learned from a training corpus that contained such noise. And it produces confidence scores, allowing downstream code to reject uncertain answers rather than committing to a bad guess.</w:t>
      </w:r>
    </w:p>
    <w:p>
      <w:r>
        <w:t>Critically for this project, LayoutLMv2 is a discriminative extractive model — it selects spans from the document, it does not generate new text. This keeps the extraction pipeline aligned with the spirit of the no-generative-AI constraint.</w:t>
      </w:r>
    </w:p>
    <w:p>
      <w:r>
        <w:br w:type="page"/>
      </w:r>
    </w:p>
    <w:p>
      <w:pPr>
        <w:pStyle w:val="Heading1"/>
      </w:pPr>
      <w:r>
        <w:rPr>
          <w:rFonts w:ascii="Times New Roman" w:hAnsi="Times New Roman"/>
          <w:b/>
          <w:color w:val="1A365D"/>
          <w:sz w:val="32"/>
        </w:rPr>
        <w:t>7. Alternative Approaches Evaluated</w:t>
      </w:r>
    </w:p>
    <w:p>
      <w:r>
        <w:t>Before settling on the LayoutLMv2 extraction pipeline, the team evaluated three alternative approaches. All remain in the repository (in ai/extraction/) as research artefacts, though only the LayoutLM pipeline is wired into the production backend. Documenting them here is important for two reasons: it shows the engineering exploration that justified the final choice, and it leaves clean entry points for future work.</w:t>
      </w:r>
    </w:p>
    <w:p>
      <w:pPr>
        <w:pStyle w:val="Heading2"/>
      </w:pPr>
      <w:r>
        <w:rPr>
          <w:rFonts w:ascii="Times New Roman" w:hAnsi="Times New Roman"/>
          <w:b/>
          <w:color w:val="1A365D"/>
          <w:sz w:val="28"/>
        </w:rPr>
        <w:t>7.1 Field-Level YOLO Detection</w:t>
      </w:r>
    </w:p>
    <w:p>
      <w:r>
        <w:t>Directory: ai/extraction/precise_yolo/</w:t>
      </w:r>
    </w:p>
    <w:p>
      <w:r>
        <w:t>Approach: train a YOLOv8 object detector on an annotated French invoice dataset (599 invoice images, 5,956 bounding-box annotations across 15 French field classes — Numéro_Facture, Date_Facturation, Nom_Client, and so on). At inference time, run the detector on a new invoice, crop each detected field region, and OCR the crop to obtain the field value.</w:t>
      </w:r>
    </w:p>
    <w:p>
      <w:r>
        <w:t>Best result observed at the time of evaluation: approximately 49.7 percent mAP@50 on the validation set after seven training epochs. The model is effective at localising well-structured fields (invoice number, dates, totals) but struggles with fields that lack distinctive visual structure (client names, addresses, product descriptions) and with invoice layouts outside the training distribution.</w:t>
      </w:r>
    </w:p>
    <w:p>
      <w:r>
        <w:t>Why we did not ship this: the 15 class labels are French, matching the training data origin; the deployed system needs to work on English invoices as a primary case; the field-level detection approach fundamentally assumes fields are visually distinguishable by layout alone, which does not hold for all fields.</w:t>
      </w:r>
    </w:p>
    <w:p>
      <w:pPr>
        <w:pStyle w:val="Heading2"/>
      </w:pPr>
      <w:r>
        <w:rPr>
          <w:rFonts w:ascii="Times New Roman" w:hAnsi="Times New Roman"/>
          <w:b/>
          <w:color w:val="1A365D"/>
          <w:sz w:val="28"/>
        </w:rPr>
        <w:t>7.2 Paragraph / Table YOLO + OCR</w:t>
      </w:r>
    </w:p>
    <w:p>
      <w:r>
        <w:t>Directory: ai/extraction/ocr_after_yolo_segmentation/</w:t>
      </w:r>
    </w:p>
    <w:p>
      <w:r>
        <w:t>Approach: train a simpler, more general YOLO detector that identifies only two classes — 'paragraph' and 'table' — rather than individual field types. Each detected region is cropped and OCR'd, and field extraction is performed on the clean per-region text using anchor-based regex.</w:t>
      </w:r>
    </w:p>
    <w:p>
      <w:r>
        <w:t>This approach performed worse than the field-level YOLO in mAP terms (roughly 16.5 percent mAP@50 on early training runs) because the paragraph/table detection is harder — regions can overlap, nest, or span the page — but it composed better with downstream regex extraction and served as the production extractor for a period before being superseded.</w:t>
      </w:r>
    </w:p>
    <w:p>
      <w:r>
        <w:t>Why we did not ship this: even with accurate region detection, the regex phase inside each region still suffered from the same brittleness problems that motivated moving away from regex entirely.</w:t>
      </w:r>
    </w:p>
    <w:p>
      <w:pPr>
        <w:pStyle w:val="Heading2"/>
      </w:pPr>
      <w:r>
        <w:rPr>
          <w:rFonts w:ascii="Times New Roman" w:hAnsi="Times New Roman"/>
          <w:b/>
          <w:color w:val="1A365D"/>
          <w:sz w:val="28"/>
        </w:rPr>
        <w:t>7.3 Pure OCR + Regex Fallback</w:t>
      </w:r>
    </w:p>
    <w:p>
      <w:r>
        <w:t>Directory: ai/extraction/purely_ocr/</w:t>
      </w:r>
    </w:p>
    <w:p>
      <w:r>
        <w:t>Approach: run Tesseract on the whole page, cluster tokens into lines by vertical position, match anchor phrases (e.g. 'Invoice No.', 'Total Due'), and extract the value following each anchor. Supports multiple OCR engines (PaddleOCR, EasyOCR, Tesseract) through a shared abstraction.</w:t>
      </w:r>
    </w:p>
    <w:p>
      <w:r>
        <w:t>This is the classical baseline approach and is retained in the repository as a pure-OCR fallback. It works well on invoices whose layout matches the anchor assumptions but fails silently when OCR misreads the anchor text or when the anchor is visually distant from the value.</w:t>
      </w:r>
    </w:p>
    <w:p>
      <w:r>
        <w:t>Why we did not ship this as the primary pipeline: rigid anchors do not generalise across real-world invoice diversity. LayoutLM provides a strictly more capable alternative with better behaviour on unseen layouts.</w:t>
      </w:r>
    </w:p>
    <w:p>
      <w:pPr>
        <w:pStyle w:val="Heading2"/>
      </w:pPr>
      <w:r>
        <w:rPr>
          <w:rFonts w:ascii="Times New Roman" w:hAnsi="Times New Roman"/>
          <w:b/>
          <w:color w:val="1A365D"/>
          <w:sz w:val="28"/>
        </w:rPr>
        <w:t>7.4 Donut: OCR-Free Document Understanding</w:t>
      </w:r>
    </w:p>
    <w:p>
      <w:r>
        <w:t>Directory: ai/extraction/Donut/</w:t>
      </w:r>
    </w:p>
    <w:p>
      <w:r>
        <w:t>Approach: Donut (Document Understanding Transformer, naver-clova-ix/donut-base) is an end-to-end vision transformer that takes an image directly and produces a structured JSON representation, with no intermediate OCR stage. The model was evaluated as a notebook (donut_invoice_extraction.ipynb) with a fine-tuning plan on annotated invoices.</w:t>
      </w:r>
    </w:p>
    <w:p>
      <w:r>
        <w:t>Why we did not ship this: Donut is a generative sequence-to-sequence model — it generates output JSON token by token, rather than selecting spans. Shipping Donut would have crossed the no-generative-AI line. It was useful as a benchmark and as a point of comparison for the LayoutLM choice, but is not wired into the deployed system.</w:t>
      </w:r>
    </w:p>
    <w:p>
      <w:pPr>
        <w:pStyle w:val="Heading2"/>
      </w:pPr>
      <w:r>
        <w:rPr>
          <w:rFonts w:ascii="Times New Roman" w:hAnsi="Times New Roman"/>
          <w:b/>
          <w:color w:val="1A365D"/>
          <w:sz w:val="28"/>
        </w:rPr>
        <w:t>7.5 Summary of Evaluated Approaches</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881"/>
        <w:gridCol w:w="1881"/>
        <w:gridCol w:w="1881"/>
        <w:gridCol w:w="1881"/>
        <w:gridCol w:w="1881"/>
      </w:tblGrid>
      <w:tr>
        <w:tc>
          <w:tcPr>
            <w:tcW w:type="dxa" w:w="1984"/>
            <w:shd w:fill="DCE4EC"/>
          </w:tcPr>
          <w:p>
            <w:r/>
            <w:r>
              <w:rPr>
                <w:rFonts w:ascii="Times New Roman" w:hAnsi="Times New Roman"/>
                <w:b/>
                <w:sz w:val="22"/>
              </w:rPr>
              <w:t>Approach</w:t>
            </w:r>
          </w:p>
        </w:tc>
        <w:tc>
          <w:tcPr>
            <w:tcW w:type="dxa" w:w="1134"/>
            <w:shd w:fill="DCE4EC"/>
          </w:tcPr>
          <w:p>
            <w:r/>
            <w:r>
              <w:rPr>
                <w:rFonts w:ascii="Times New Roman" w:hAnsi="Times New Roman"/>
                <w:b/>
                <w:sz w:val="22"/>
              </w:rPr>
              <w:t>Generative?</w:t>
            </w:r>
          </w:p>
        </w:tc>
        <w:tc>
          <w:tcPr>
            <w:tcW w:type="dxa" w:w="2551"/>
            <w:shd w:fill="DCE4EC"/>
          </w:tcPr>
          <w:p>
            <w:r/>
            <w:r>
              <w:rPr>
                <w:rFonts w:ascii="Times New Roman" w:hAnsi="Times New Roman"/>
                <w:b/>
                <w:sz w:val="22"/>
              </w:rPr>
              <w:t>Strength</w:t>
            </w:r>
          </w:p>
        </w:tc>
        <w:tc>
          <w:tcPr>
            <w:tcW w:type="dxa" w:w="2268"/>
            <w:shd w:fill="DCE4EC"/>
          </w:tcPr>
          <w:p>
            <w:r/>
            <w:r>
              <w:rPr>
                <w:rFonts w:ascii="Times New Roman" w:hAnsi="Times New Roman"/>
                <w:b/>
                <w:sz w:val="22"/>
              </w:rPr>
              <w:t>Weakness</w:t>
            </w:r>
          </w:p>
        </w:tc>
        <w:tc>
          <w:tcPr>
            <w:tcW w:type="dxa" w:w="1701"/>
            <w:shd w:fill="DCE4EC"/>
          </w:tcPr>
          <w:p>
            <w:r/>
            <w:r>
              <w:rPr>
                <w:rFonts w:ascii="Times New Roman" w:hAnsi="Times New Roman"/>
                <w:b/>
                <w:sz w:val="22"/>
              </w:rPr>
              <w:t>Used in production?</w:t>
            </w:r>
          </w:p>
        </w:tc>
      </w:tr>
      <w:tr>
        <w:tc>
          <w:tcPr>
            <w:tcW w:type="dxa" w:w="1984"/>
          </w:tcPr>
          <w:p>
            <w:r/>
            <w:r>
              <w:rPr>
                <w:rFonts w:ascii="Times New Roman" w:hAnsi="Times New Roman"/>
                <w:sz w:val="22"/>
              </w:rPr>
              <w:t>Field-level YOLO + OCR</w:t>
            </w:r>
          </w:p>
        </w:tc>
        <w:tc>
          <w:tcPr>
            <w:tcW w:type="dxa" w:w="1134"/>
          </w:tcPr>
          <w:p>
            <w:r/>
            <w:r>
              <w:rPr>
                <w:rFonts w:ascii="Times New Roman" w:hAnsi="Times New Roman"/>
                <w:sz w:val="22"/>
              </w:rPr>
              <w:t>No</w:t>
            </w:r>
          </w:p>
        </w:tc>
        <w:tc>
          <w:tcPr>
            <w:tcW w:type="dxa" w:w="2551"/>
          </w:tcPr>
          <w:p>
            <w:r/>
            <w:r>
              <w:rPr>
                <w:rFonts w:ascii="Times New Roman" w:hAnsi="Times New Roman"/>
                <w:sz w:val="22"/>
              </w:rPr>
              <w:t>Precise localisation when trained on in-distribution invoices</w:t>
            </w:r>
          </w:p>
        </w:tc>
        <w:tc>
          <w:tcPr>
            <w:tcW w:type="dxa" w:w="2268"/>
          </w:tcPr>
          <w:p>
            <w:r/>
            <w:r>
              <w:rPr>
                <w:rFonts w:ascii="Times New Roman" w:hAnsi="Times New Roman"/>
                <w:sz w:val="22"/>
              </w:rPr>
              <w:t>French-only labels, poor generalisation</w:t>
            </w:r>
          </w:p>
        </w:tc>
        <w:tc>
          <w:tcPr>
            <w:tcW w:type="dxa" w:w="1701"/>
          </w:tcPr>
          <w:p>
            <w:r/>
            <w:r>
              <w:rPr>
                <w:rFonts w:ascii="Times New Roman" w:hAnsi="Times New Roman"/>
                <w:sz w:val="22"/>
              </w:rPr>
              <w:t>No (research artefact)</w:t>
            </w:r>
          </w:p>
        </w:tc>
      </w:tr>
      <w:tr>
        <w:tc>
          <w:tcPr>
            <w:tcW w:type="dxa" w:w="1984"/>
          </w:tcPr>
          <w:p>
            <w:r/>
            <w:r>
              <w:rPr>
                <w:rFonts w:ascii="Times New Roman" w:hAnsi="Times New Roman"/>
                <w:sz w:val="22"/>
              </w:rPr>
              <w:t>Paragraph YOLO + OCR + regex</w:t>
            </w:r>
          </w:p>
        </w:tc>
        <w:tc>
          <w:tcPr>
            <w:tcW w:type="dxa" w:w="1134"/>
          </w:tcPr>
          <w:p>
            <w:r/>
            <w:r>
              <w:rPr>
                <w:rFonts w:ascii="Times New Roman" w:hAnsi="Times New Roman"/>
                <w:sz w:val="22"/>
              </w:rPr>
              <w:t>No</w:t>
            </w:r>
          </w:p>
        </w:tc>
        <w:tc>
          <w:tcPr>
            <w:tcW w:type="dxa" w:w="2551"/>
          </w:tcPr>
          <w:p>
            <w:r/>
            <w:r>
              <w:rPr>
                <w:rFonts w:ascii="Times New Roman" w:hAnsi="Times New Roman"/>
                <w:sz w:val="22"/>
              </w:rPr>
              <w:t>More general regions, composes with regex</w:t>
            </w:r>
          </w:p>
        </w:tc>
        <w:tc>
          <w:tcPr>
            <w:tcW w:type="dxa" w:w="2268"/>
          </w:tcPr>
          <w:p>
            <w:r/>
            <w:r>
              <w:rPr>
                <w:rFonts w:ascii="Times New Roman" w:hAnsi="Times New Roman"/>
                <w:sz w:val="22"/>
              </w:rPr>
              <w:t>Regex remains brittle</w:t>
            </w:r>
          </w:p>
        </w:tc>
        <w:tc>
          <w:tcPr>
            <w:tcW w:type="dxa" w:w="1701"/>
          </w:tcPr>
          <w:p>
            <w:r/>
            <w:r>
              <w:rPr>
                <w:rFonts w:ascii="Times New Roman" w:hAnsi="Times New Roman"/>
                <w:sz w:val="22"/>
              </w:rPr>
              <w:t>No (research artefact)</w:t>
            </w:r>
          </w:p>
        </w:tc>
      </w:tr>
      <w:tr>
        <w:tc>
          <w:tcPr>
            <w:tcW w:type="dxa" w:w="1984"/>
          </w:tcPr>
          <w:p>
            <w:r/>
            <w:r>
              <w:rPr>
                <w:rFonts w:ascii="Times New Roman" w:hAnsi="Times New Roman"/>
                <w:sz w:val="22"/>
              </w:rPr>
              <w:t>Pure OCR + anchor regex</w:t>
            </w:r>
          </w:p>
        </w:tc>
        <w:tc>
          <w:tcPr>
            <w:tcW w:type="dxa" w:w="1134"/>
          </w:tcPr>
          <w:p>
            <w:r/>
            <w:r>
              <w:rPr>
                <w:rFonts w:ascii="Times New Roman" w:hAnsi="Times New Roman"/>
                <w:sz w:val="22"/>
              </w:rPr>
              <w:t>No</w:t>
            </w:r>
          </w:p>
        </w:tc>
        <w:tc>
          <w:tcPr>
            <w:tcW w:type="dxa" w:w="2551"/>
          </w:tcPr>
          <w:p>
            <w:r/>
            <w:r>
              <w:rPr>
                <w:rFonts w:ascii="Times New Roman" w:hAnsi="Times New Roman"/>
                <w:sz w:val="22"/>
              </w:rPr>
              <w:t>Zero external dependencies, simple</w:t>
            </w:r>
          </w:p>
        </w:tc>
        <w:tc>
          <w:tcPr>
            <w:tcW w:type="dxa" w:w="2268"/>
          </w:tcPr>
          <w:p>
            <w:r/>
            <w:r>
              <w:rPr>
                <w:rFonts w:ascii="Times New Roman" w:hAnsi="Times New Roman"/>
                <w:sz w:val="22"/>
              </w:rPr>
              <w:t>Fails on layout variation</w:t>
            </w:r>
          </w:p>
        </w:tc>
        <w:tc>
          <w:tcPr>
            <w:tcW w:type="dxa" w:w="1701"/>
          </w:tcPr>
          <w:p>
            <w:r/>
            <w:r>
              <w:rPr>
                <w:rFonts w:ascii="Times New Roman" w:hAnsi="Times New Roman"/>
                <w:sz w:val="22"/>
              </w:rPr>
              <w:t>No (fallback only)</w:t>
            </w:r>
          </w:p>
        </w:tc>
      </w:tr>
      <w:tr>
        <w:tc>
          <w:tcPr>
            <w:tcW w:type="dxa" w:w="1984"/>
          </w:tcPr>
          <w:p>
            <w:r/>
            <w:r>
              <w:rPr>
                <w:rFonts w:ascii="Times New Roman" w:hAnsi="Times New Roman"/>
                <w:sz w:val="22"/>
              </w:rPr>
              <w:t>Donut end-to-end</w:t>
            </w:r>
          </w:p>
        </w:tc>
        <w:tc>
          <w:tcPr>
            <w:tcW w:type="dxa" w:w="1134"/>
          </w:tcPr>
          <w:p>
            <w:r/>
            <w:r>
              <w:rPr>
                <w:rFonts w:ascii="Times New Roman" w:hAnsi="Times New Roman"/>
                <w:sz w:val="22"/>
              </w:rPr>
              <w:t>Yes</w:t>
            </w:r>
          </w:p>
        </w:tc>
        <w:tc>
          <w:tcPr>
            <w:tcW w:type="dxa" w:w="2551"/>
          </w:tcPr>
          <w:p>
            <w:r/>
            <w:r>
              <w:rPr>
                <w:rFonts w:ascii="Times New Roman" w:hAnsi="Times New Roman"/>
                <w:sz w:val="22"/>
              </w:rPr>
              <w:t>Unified image-to-JSON</w:t>
            </w:r>
          </w:p>
        </w:tc>
        <w:tc>
          <w:tcPr>
            <w:tcW w:type="dxa" w:w="2268"/>
          </w:tcPr>
          <w:p>
            <w:r/>
            <w:r>
              <w:rPr>
                <w:rFonts w:ascii="Times New Roman" w:hAnsi="Times New Roman"/>
                <w:sz w:val="22"/>
              </w:rPr>
              <w:t>Generative — violates constraint</w:t>
            </w:r>
          </w:p>
        </w:tc>
        <w:tc>
          <w:tcPr>
            <w:tcW w:type="dxa" w:w="1701"/>
          </w:tcPr>
          <w:p>
            <w:r/>
            <w:r>
              <w:rPr>
                <w:rFonts w:ascii="Times New Roman" w:hAnsi="Times New Roman"/>
                <w:sz w:val="22"/>
              </w:rPr>
              <w:t>No (evaluation only)</w:t>
            </w:r>
          </w:p>
        </w:tc>
      </w:tr>
      <w:tr>
        <w:tc>
          <w:tcPr>
            <w:tcW w:type="dxa" w:w="1984"/>
          </w:tcPr>
          <w:p>
            <w:r/>
            <w:r>
              <w:rPr>
                <w:rFonts w:ascii="Times New Roman" w:hAnsi="Times New Roman"/>
                <w:sz w:val="22"/>
              </w:rPr>
              <w:t>LayoutLMv2 document-QA</w:t>
            </w:r>
          </w:p>
        </w:tc>
        <w:tc>
          <w:tcPr>
            <w:tcW w:type="dxa" w:w="1134"/>
          </w:tcPr>
          <w:p>
            <w:r/>
            <w:r>
              <w:rPr>
                <w:rFonts w:ascii="Times New Roman" w:hAnsi="Times New Roman"/>
                <w:sz w:val="22"/>
              </w:rPr>
              <w:t>No (span selection)</w:t>
            </w:r>
          </w:p>
        </w:tc>
        <w:tc>
          <w:tcPr>
            <w:tcW w:type="dxa" w:w="2551"/>
          </w:tcPr>
          <w:p>
            <w:r/>
            <w:r>
              <w:rPr>
                <w:rFonts w:ascii="Times New Roman" w:hAnsi="Times New Roman"/>
                <w:sz w:val="22"/>
              </w:rPr>
              <w:t>Document-aware, robust, discriminative</w:t>
            </w:r>
          </w:p>
        </w:tc>
        <w:tc>
          <w:tcPr>
            <w:tcW w:type="dxa" w:w="2268"/>
          </w:tcPr>
          <w:p>
            <w:r/>
            <w:r>
              <w:rPr>
                <w:rFonts w:ascii="Times New Roman" w:hAnsi="Times New Roman"/>
                <w:sz w:val="22"/>
              </w:rPr>
              <w:t>Larger model (~1.4 GB), slower inference</w:t>
            </w:r>
          </w:p>
        </w:tc>
        <w:tc>
          <w:tcPr>
            <w:tcW w:type="dxa" w:w="1701"/>
          </w:tcPr>
          <w:p>
            <w:r/>
            <w:r>
              <w:rPr>
                <w:rFonts w:ascii="Times New Roman" w:hAnsi="Times New Roman"/>
                <w:sz w:val="22"/>
              </w:rPr>
              <w:t>Yes</w:t>
            </w:r>
          </w:p>
        </w:tc>
      </w:tr>
    </w:tbl>
    <w:p>
      <w:r>
        <w:br w:type="page"/>
      </w:r>
    </w:p>
    <w:p>
      <w:pPr>
        <w:pStyle w:val="Heading1"/>
      </w:pPr>
      <w:r>
        <w:rPr>
          <w:rFonts w:ascii="Times New Roman" w:hAnsi="Times New Roman"/>
          <w:b/>
          <w:color w:val="1A365D"/>
          <w:sz w:val="32"/>
        </w:rPr>
        <w:t>8. Web Application Architecture</w:t>
      </w:r>
    </w:p>
    <w:p>
      <w:r>
        <w:t>DocLens is delivered as a full-stack web application, not as a notebook or command-line utility. This section documents the backend API, the frontend user interface, the asynchronous task queue, and the supporting infrastructure.</w:t>
      </w:r>
    </w:p>
    <w:p>
      <w:pPr>
        <w:pStyle w:val="Heading2"/>
      </w:pPr>
      <w:r>
        <w:rPr>
          <w:rFonts w:ascii="Times New Roman" w:hAnsi="Times New Roman"/>
          <w:b/>
          <w:color w:val="1A365D"/>
          <w:sz w:val="28"/>
        </w:rPr>
        <w:t>8.1 Backend: Django REST Framework</w:t>
      </w:r>
    </w:p>
    <w:p>
      <w:r>
        <w:t>The backend is a Django 5.1 application using Django REST Framework 3.15 for the REST layer and djangorestframework-simplejwt for JWT authentication. The project uses a split-settings structure — config.settings.base defines shared configuration, config.settings.development adds DEBUG-mode extras, and config.settings.production locks down security headers.</w:t>
      </w:r>
    </w:p>
    <w:p>
      <w:pPr>
        <w:pStyle w:val="Heading3"/>
      </w:pPr>
      <w:r>
        <w:rPr>
          <w:rFonts w:ascii="Times New Roman" w:hAnsi="Times New Roman"/>
          <w:b/>
          <w:color w:val="1A365D"/>
          <w:sz w:val="26"/>
        </w:rPr>
        <w:t>8.1.1 Data Model</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135"/>
        <w:gridCol w:w="3135"/>
        <w:gridCol w:w="3135"/>
      </w:tblGrid>
      <w:tr>
        <w:tc>
          <w:tcPr>
            <w:tcW w:type="dxa" w:w="1984"/>
            <w:shd w:fill="DCE4EC"/>
          </w:tcPr>
          <w:p>
            <w:r/>
            <w:r>
              <w:rPr>
                <w:rFonts w:ascii="Times New Roman" w:hAnsi="Times New Roman"/>
                <w:b/>
                <w:sz w:val="22"/>
              </w:rPr>
              <w:t>Model</w:t>
            </w:r>
          </w:p>
        </w:tc>
        <w:tc>
          <w:tcPr>
            <w:tcW w:type="dxa" w:w="3969"/>
            <w:shd w:fill="DCE4EC"/>
          </w:tcPr>
          <w:p>
            <w:r/>
            <w:r>
              <w:rPr>
                <w:rFonts w:ascii="Times New Roman" w:hAnsi="Times New Roman"/>
                <w:b/>
                <w:sz w:val="22"/>
              </w:rPr>
              <w:t>Key fields</w:t>
            </w:r>
          </w:p>
        </w:tc>
        <w:tc>
          <w:tcPr>
            <w:tcW w:type="dxa" w:w="3402"/>
            <w:shd w:fill="DCE4EC"/>
          </w:tcPr>
          <w:p>
            <w:r/>
            <w:r>
              <w:rPr>
                <w:rFonts w:ascii="Times New Roman" w:hAnsi="Times New Roman"/>
                <w:b/>
                <w:sz w:val="22"/>
              </w:rPr>
              <w:t>Purpose</w:t>
            </w:r>
          </w:p>
        </w:tc>
      </w:tr>
      <w:tr>
        <w:tc>
          <w:tcPr>
            <w:tcW w:type="dxa" w:w="1984"/>
          </w:tcPr>
          <w:p>
            <w:r/>
            <w:r>
              <w:rPr>
                <w:rFonts w:ascii="Times New Roman" w:hAnsi="Times New Roman"/>
                <w:sz w:val="22"/>
              </w:rPr>
              <w:t>UserProfile</w:t>
            </w:r>
          </w:p>
        </w:tc>
        <w:tc>
          <w:tcPr>
            <w:tcW w:type="dxa" w:w="3969"/>
          </w:tcPr>
          <w:p>
            <w:r/>
            <w:r>
              <w:rPr>
                <w:rFonts w:ascii="Times New Roman" w:hAnsi="Times New Roman"/>
                <w:sz w:val="22"/>
              </w:rPr>
              <w:t>user (OneToOne), display_name, avatar_url</w:t>
            </w:r>
          </w:p>
        </w:tc>
        <w:tc>
          <w:tcPr>
            <w:tcW w:type="dxa" w:w="3402"/>
          </w:tcPr>
          <w:p>
            <w:r/>
            <w:r>
              <w:rPr>
                <w:rFonts w:ascii="Times New Roman" w:hAnsi="Times New Roman"/>
                <w:sz w:val="22"/>
              </w:rPr>
              <w:t>Extends the Django User with display-name and avatar-URL for the frontend.</w:t>
            </w:r>
          </w:p>
        </w:tc>
      </w:tr>
      <w:tr>
        <w:tc>
          <w:tcPr>
            <w:tcW w:type="dxa" w:w="1984"/>
          </w:tcPr>
          <w:p>
            <w:r/>
            <w:r>
              <w:rPr>
                <w:rFonts w:ascii="Times New Roman" w:hAnsi="Times New Roman"/>
                <w:sz w:val="22"/>
              </w:rPr>
              <w:t>Document</w:t>
            </w:r>
          </w:p>
        </w:tc>
        <w:tc>
          <w:tcPr>
            <w:tcW w:type="dxa" w:w="3969"/>
          </w:tcPr>
          <w:p>
            <w:r/>
            <w:r>
              <w:rPr>
                <w:rFonts w:ascii="Times New Roman" w:hAnsi="Times New Roman"/>
                <w:sz w:val="22"/>
              </w:rPr>
              <w:t>id (UUID), owner (FK User), filename, content_type, file_size, storage_key, status, created_at, updated_at</w:t>
            </w:r>
          </w:p>
        </w:tc>
        <w:tc>
          <w:tcPr>
            <w:tcW w:type="dxa" w:w="3402"/>
          </w:tcPr>
          <w:p>
            <w:r/>
            <w:r>
              <w:rPr>
                <w:rFonts w:ascii="Times New Roman" w:hAnsi="Times New Roman"/>
                <w:sz w:val="22"/>
              </w:rPr>
              <w:t>One row per uploaded document. The storage_key points to the MinIO object.</w:t>
            </w:r>
          </w:p>
        </w:tc>
      </w:tr>
      <w:tr>
        <w:tc>
          <w:tcPr>
            <w:tcW w:type="dxa" w:w="1984"/>
          </w:tcPr>
          <w:p>
            <w:r/>
            <w:r>
              <w:rPr>
                <w:rFonts w:ascii="Times New Roman" w:hAnsi="Times New Roman"/>
                <w:sz w:val="22"/>
              </w:rPr>
              <w:t>ClassificationResult</w:t>
            </w:r>
          </w:p>
        </w:tc>
        <w:tc>
          <w:tcPr>
            <w:tcW w:type="dxa" w:w="3969"/>
          </w:tcPr>
          <w:p>
            <w:r/>
            <w:r>
              <w:rPr>
                <w:rFonts w:ascii="Times New Roman" w:hAnsi="Times New Roman"/>
                <w:sz w:val="22"/>
              </w:rPr>
              <w:t>document (OneToOne Document), predicted_label, confidence, all_scores (JSON), model_version, classified_at</w:t>
            </w:r>
          </w:p>
        </w:tc>
        <w:tc>
          <w:tcPr>
            <w:tcW w:type="dxa" w:w="3402"/>
          </w:tcPr>
          <w:p>
            <w:r/>
            <w:r>
              <w:rPr>
                <w:rFonts w:ascii="Times New Roman" w:hAnsi="Times New Roman"/>
                <w:sz w:val="22"/>
              </w:rPr>
              <w:t>One row per classified document. Written by run_classification.</w:t>
            </w:r>
          </w:p>
        </w:tc>
      </w:tr>
      <w:tr>
        <w:tc>
          <w:tcPr>
            <w:tcW w:type="dxa" w:w="1984"/>
          </w:tcPr>
          <w:p>
            <w:r/>
            <w:r>
              <w:rPr>
                <w:rFonts w:ascii="Times New Roman" w:hAnsi="Times New Roman"/>
                <w:sz w:val="22"/>
              </w:rPr>
              <w:t>InvoiceExtraction</w:t>
            </w:r>
          </w:p>
        </w:tc>
        <w:tc>
          <w:tcPr>
            <w:tcW w:type="dxa" w:w="3969"/>
          </w:tcPr>
          <w:p>
            <w:r/>
            <w:r>
              <w:rPr>
                <w:rFonts w:ascii="Times New Roman" w:hAnsi="Times New Roman"/>
                <w:sz w:val="22"/>
              </w:rPr>
              <w:t>document (OneToOne Document), invoice_number, invoice_date, due_date, issuer_name, recipient_name, total_amount (Decimal), currency, raw_text, confidence_map (JSON), extracted_at</w:t>
            </w:r>
          </w:p>
        </w:tc>
        <w:tc>
          <w:tcPr>
            <w:tcW w:type="dxa" w:w="3402"/>
          </w:tcPr>
          <w:p>
            <w:r/>
            <w:r>
              <w:rPr>
                <w:rFonts w:ascii="Times New Roman" w:hAnsi="Times New Roman"/>
                <w:sz w:val="22"/>
              </w:rPr>
              <w:t>One row per extracted invoice. Written by run_extraction.</w:t>
            </w:r>
          </w:p>
        </w:tc>
      </w:tr>
    </w:tbl>
    <w:p>
      <w:r/>
    </w:p>
    <w:p>
      <w:pPr>
        <w:pStyle w:val="Heading3"/>
      </w:pPr>
      <w:r>
        <w:rPr>
          <w:rFonts w:ascii="Times New Roman" w:hAnsi="Times New Roman"/>
          <w:b/>
          <w:color w:val="1A365D"/>
          <w:sz w:val="26"/>
        </w:rPr>
        <w:t>8.1.2 REST Endpoints</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51"/>
        <w:gridCol w:w="2351"/>
        <w:gridCol w:w="2351"/>
        <w:gridCol w:w="2351"/>
      </w:tblGrid>
      <w:tr>
        <w:tc>
          <w:tcPr>
            <w:tcW w:type="dxa" w:w="1134"/>
            <w:shd w:fill="DCE4EC"/>
          </w:tcPr>
          <w:p>
            <w:r/>
            <w:r>
              <w:rPr>
                <w:rFonts w:ascii="Times New Roman" w:hAnsi="Times New Roman"/>
                <w:b/>
                <w:sz w:val="22"/>
              </w:rPr>
              <w:t>Method</w:t>
            </w:r>
          </w:p>
        </w:tc>
        <w:tc>
          <w:tcPr>
            <w:tcW w:type="dxa" w:w="2835"/>
            <w:shd w:fill="DCE4EC"/>
          </w:tcPr>
          <w:p>
            <w:r/>
            <w:r>
              <w:rPr>
                <w:rFonts w:ascii="Times New Roman" w:hAnsi="Times New Roman"/>
                <w:b/>
                <w:sz w:val="22"/>
              </w:rPr>
              <w:t>Path</w:t>
            </w:r>
          </w:p>
        </w:tc>
        <w:tc>
          <w:tcPr>
            <w:tcW w:type="dxa" w:w="4535"/>
            <w:shd w:fill="DCE4EC"/>
          </w:tcPr>
          <w:p>
            <w:r/>
            <w:r>
              <w:rPr>
                <w:rFonts w:ascii="Times New Roman" w:hAnsi="Times New Roman"/>
                <w:b/>
                <w:sz w:val="22"/>
              </w:rPr>
              <w:t>Description</w:t>
            </w:r>
          </w:p>
        </w:tc>
        <w:tc>
          <w:tcPr>
            <w:tcW w:type="dxa" w:w="1134"/>
            <w:shd w:fill="DCE4EC"/>
          </w:tcPr>
          <w:p>
            <w:r/>
            <w:r>
              <w:rPr>
                <w:rFonts w:ascii="Times New Roman" w:hAnsi="Times New Roman"/>
                <w:b/>
                <w:sz w:val="22"/>
              </w:rPr>
              <w:t>Auth required</w:t>
            </w:r>
          </w:p>
        </w:tc>
      </w:tr>
      <w:tr>
        <w:tc>
          <w:tcPr>
            <w:tcW w:type="dxa" w:w="1134"/>
          </w:tcPr>
          <w:p>
            <w:r/>
            <w:r>
              <w:rPr>
                <w:rFonts w:ascii="Times New Roman" w:hAnsi="Times New Roman"/>
                <w:sz w:val="22"/>
              </w:rPr>
              <w:t>POST</w:t>
            </w:r>
          </w:p>
        </w:tc>
        <w:tc>
          <w:tcPr>
            <w:tcW w:type="dxa" w:w="2835"/>
          </w:tcPr>
          <w:p>
            <w:r/>
            <w:r>
              <w:rPr>
                <w:rFonts w:ascii="Times New Roman" w:hAnsi="Times New Roman"/>
                <w:sz w:val="22"/>
              </w:rPr>
              <w:t>/api/auth/register/</w:t>
            </w:r>
          </w:p>
        </w:tc>
        <w:tc>
          <w:tcPr>
            <w:tcW w:type="dxa" w:w="4535"/>
          </w:tcPr>
          <w:p>
            <w:r/>
            <w:r>
              <w:rPr>
                <w:rFonts w:ascii="Times New Roman" w:hAnsi="Times New Roman"/>
                <w:sz w:val="22"/>
              </w:rPr>
              <w:t>Create account; returns access + refresh tokens</w:t>
            </w:r>
          </w:p>
        </w:tc>
        <w:tc>
          <w:tcPr>
            <w:tcW w:type="dxa" w:w="1134"/>
          </w:tcPr>
          <w:p>
            <w:r/>
            <w:r>
              <w:rPr>
                <w:rFonts w:ascii="Times New Roman" w:hAnsi="Times New Roman"/>
                <w:sz w:val="22"/>
              </w:rPr>
              <w:t>No</w:t>
            </w:r>
          </w:p>
        </w:tc>
      </w:tr>
      <w:tr>
        <w:tc>
          <w:tcPr>
            <w:tcW w:type="dxa" w:w="1134"/>
          </w:tcPr>
          <w:p>
            <w:r/>
            <w:r>
              <w:rPr>
                <w:rFonts w:ascii="Times New Roman" w:hAnsi="Times New Roman"/>
                <w:sz w:val="22"/>
              </w:rPr>
              <w:t>POST</w:t>
            </w:r>
          </w:p>
        </w:tc>
        <w:tc>
          <w:tcPr>
            <w:tcW w:type="dxa" w:w="2835"/>
          </w:tcPr>
          <w:p>
            <w:r/>
            <w:r>
              <w:rPr>
                <w:rFonts w:ascii="Times New Roman" w:hAnsi="Times New Roman"/>
                <w:sz w:val="22"/>
              </w:rPr>
              <w:t>/api/auth/token/</w:t>
            </w:r>
          </w:p>
        </w:tc>
        <w:tc>
          <w:tcPr>
            <w:tcW w:type="dxa" w:w="4535"/>
          </w:tcPr>
          <w:p>
            <w:r/>
            <w:r>
              <w:rPr>
                <w:rFonts w:ascii="Times New Roman" w:hAnsi="Times New Roman"/>
                <w:sz w:val="22"/>
              </w:rPr>
              <w:t>Login; returns access + refresh tokens</w:t>
            </w:r>
          </w:p>
        </w:tc>
        <w:tc>
          <w:tcPr>
            <w:tcW w:type="dxa" w:w="1134"/>
          </w:tcPr>
          <w:p>
            <w:r/>
            <w:r>
              <w:rPr>
                <w:rFonts w:ascii="Times New Roman" w:hAnsi="Times New Roman"/>
                <w:sz w:val="22"/>
              </w:rPr>
              <w:t>No</w:t>
            </w:r>
          </w:p>
        </w:tc>
      </w:tr>
      <w:tr>
        <w:tc>
          <w:tcPr>
            <w:tcW w:type="dxa" w:w="1134"/>
          </w:tcPr>
          <w:p>
            <w:r/>
            <w:r>
              <w:rPr>
                <w:rFonts w:ascii="Times New Roman" w:hAnsi="Times New Roman"/>
                <w:sz w:val="22"/>
              </w:rPr>
              <w:t>POST</w:t>
            </w:r>
          </w:p>
        </w:tc>
        <w:tc>
          <w:tcPr>
            <w:tcW w:type="dxa" w:w="2835"/>
          </w:tcPr>
          <w:p>
            <w:r/>
            <w:r>
              <w:rPr>
                <w:rFonts w:ascii="Times New Roman" w:hAnsi="Times New Roman"/>
                <w:sz w:val="22"/>
              </w:rPr>
              <w:t>/api/auth/token/refresh/</w:t>
            </w:r>
          </w:p>
        </w:tc>
        <w:tc>
          <w:tcPr>
            <w:tcW w:type="dxa" w:w="4535"/>
          </w:tcPr>
          <w:p>
            <w:r/>
            <w:r>
              <w:rPr>
                <w:rFonts w:ascii="Times New Roman" w:hAnsi="Times New Roman"/>
                <w:sz w:val="22"/>
              </w:rPr>
              <w:t>Refresh expired access token</w:t>
            </w:r>
          </w:p>
        </w:tc>
        <w:tc>
          <w:tcPr>
            <w:tcW w:type="dxa" w:w="1134"/>
          </w:tcPr>
          <w:p>
            <w:r/>
            <w:r>
              <w:rPr>
                <w:rFonts w:ascii="Times New Roman" w:hAnsi="Times New Roman"/>
                <w:sz w:val="22"/>
              </w:rPr>
              <w:t>No</w:t>
            </w:r>
          </w:p>
        </w:tc>
      </w:tr>
      <w:tr>
        <w:tc>
          <w:tcPr>
            <w:tcW w:type="dxa" w:w="1134"/>
          </w:tcPr>
          <w:p>
            <w:r/>
            <w:r>
              <w:rPr>
                <w:rFonts w:ascii="Times New Roman" w:hAnsi="Times New Roman"/>
                <w:sz w:val="22"/>
              </w:rPr>
              <w:t>GET, PATCH</w:t>
            </w:r>
          </w:p>
        </w:tc>
        <w:tc>
          <w:tcPr>
            <w:tcW w:type="dxa" w:w="2835"/>
          </w:tcPr>
          <w:p>
            <w:r/>
            <w:r>
              <w:rPr>
                <w:rFonts w:ascii="Times New Roman" w:hAnsi="Times New Roman"/>
                <w:sz w:val="22"/>
              </w:rPr>
              <w:t>/api/profile/</w:t>
            </w:r>
          </w:p>
        </w:tc>
        <w:tc>
          <w:tcPr>
            <w:tcW w:type="dxa" w:w="4535"/>
          </w:tcPr>
          <w:p>
            <w:r/>
            <w:r>
              <w:rPr>
                <w:rFonts w:ascii="Times New Roman" w:hAnsi="Times New Roman"/>
                <w:sz w:val="22"/>
              </w:rPr>
              <w:t>Get or update user profile</w:t>
            </w:r>
          </w:p>
        </w:tc>
        <w:tc>
          <w:tcPr>
            <w:tcW w:type="dxa" w:w="1134"/>
          </w:tcPr>
          <w:p>
            <w:r/>
            <w:r>
              <w:rPr>
                <w:rFonts w:ascii="Times New Roman" w:hAnsi="Times New Roman"/>
                <w:sz w:val="22"/>
              </w:rPr>
              <w:t>Yes</w:t>
            </w:r>
          </w:p>
        </w:tc>
      </w:tr>
      <w:tr>
        <w:tc>
          <w:tcPr>
            <w:tcW w:type="dxa" w:w="1134"/>
          </w:tcPr>
          <w:p>
            <w:r/>
            <w:r>
              <w:rPr>
                <w:rFonts w:ascii="Times New Roman" w:hAnsi="Times New Roman"/>
                <w:sz w:val="22"/>
              </w:rPr>
              <w:t>GET</w:t>
            </w:r>
          </w:p>
        </w:tc>
        <w:tc>
          <w:tcPr>
            <w:tcW w:type="dxa" w:w="2835"/>
          </w:tcPr>
          <w:p>
            <w:r/>
            <w:r>
              <w:rPr>
                <w:rFonts w:ascii="Times New Roman" w:hAnsi="Times New Roman"/>
                <w:sz w:val="22"/>
              </w:rPr>
              <w:t>/api/workspace/summary/</w:t>
            </w:r>
          </w:p>
        </w:tc>
        <w:tc>
          <w:tcPr>
            <w:tcW w:type="dxa" w:w="4535"/>
          </w:tcPr>
          <w:p>
            <w:r/>
            <w:r>
              <w:rPr>
                <w:rFonts w:ascii="Times New Roman" w:hAnsi="Times New Roman"/>
                <w:sz w:val="22"/>
              </w:rPr>
              <w:t>Dashboard aggregate: totals, dominant label, recent activity</w:t>
            </w:r>
          </w:p>
        </w:tc>
        <w:tc>
          <w:tcPr>
            <w:tcW w:type="dxa" w:w="1134"/>
          </w:tcPr>
          <w:p>
            <w:r/>
            <w:r>
              <w:rPr>
                <w:rFonts w:ascii="Times New Roman" w:hAnsi="Times New Roman"/>
                <w:sz w:val="22"/>
              </w:rPr>
              <w:t>Yes</w:t>
            </w:r>
          </w:p>
        </w:tc>
      </w:tr>
      <w:tr>
        <w:tc>
          <w:tcPr>
            <w:tcW w:type="dxa" w:w="1134"/>
          </w:tcPr>
          <w:p>
            <w:r/>
            <w:r>
              <w:rPr>
                <w:rFonts w:ascii="Times New Roman" w:hAnsi="Times New Roman"/>
                <w:sz w:val="22"/>
              </w:rPr>
              <w:t>GET, POST</w:t>
            </w:r>
          </w:p>
        </w:tc>
        <w:tc>
          <w:tcPr>
            <w:tcW w:type="dxa" w:w="2835"/>
          </w:tcPr>
          <w:p>
            <w:r/>
            <w:r>
              <w:rPr>
                <w:rFonts w:ascii="Times New Roman" w:hAnsi="Times New Roman"/>
                <w:sz w:val="22"/>
              </w:rPr>
              <w:t>/api/documents/</w:t>
            </w:r>
          </w:p>
        </w:tc>
        <w:tc>
          <w:tcPr>
            <w:tcW w:type="dxa" w:w="4535"/>
          </w:tcPr>
          <w:p>
            <w:r/>
            <w:r>
              <w:rPr>
                <w:rFonts w:ascii="Times New Roman" w:hAnsi="Times New Roman"/>
                <w:sz w:val="22"/>
              </w:rPr>
              <w:t>List user documents (paginated, filterable) or upload new</w:t>
            </w:r>
          </w:p>
        </w:tc>
        <w:tc>
          <w:tcPr>
            <w:tcW w:type="dxa" w:w="1134"/>
          </w:tcPr>
          <w:p>
            <w:r/>
            <w:r>
              <w:rPr>
                <w:rFonts w:ascii="Times New Roman" w:hAnsi="Times New Roman"/>
                <w:sz w:val="22"/>
              </w:rPr>
              <w:t>Yes</w:t>
            </w:r>
          </w:p>
        </w:tc>
      </w:tr>
      <w:tr>
        <w:tc>
          <w:tcPr>
            <w:tcW w:type="dxa" w:w="1134"/>
          </w:tcPr>
          <w:p>
            <w:r/>
            <w:r>
              <w:rPr>
                <w:rFonts w:ascii="Times New Roman" w:hAnsi="Times New Roman"/>
                <w:sz w:val="22"/>
              </w:rPr>
              <w:t>GET, DELETE</w:t>
            </w:r>
          </w:p>
        </w:tc>
        <w:tc>
          <w:tcPr>
            <w:tcW w:type="dxa" w:w="2835"/>
          </w:tcPr>
          <w:p>
            <w:r/>
            <w:r>
              <w:rPr>
                <w:rFonts w:ascii="Times New Roman" w:hAnsi="Times New Roman"/>
                <w:sz w:val="22"/>
              </w:rPr>
              <w:t>/api/documents/{id}/</w:t>
            </w:r>
          </w:p>
        </w:tc>
        <w:tc>
          <w:tcPr>
            <w:tcW w:type="dxa" w:w="4535"/>
          </w:tcPr>
          <w:p>
            <w:r/>
            <w:r>
              <w:rPr>
                <w:rFonts w:ascii="Times New Roman" w:hAnsi="Times New Roman"/>
                <w:sz w:val="22"/>
              </w:rPr>
              <w:t>Get full detail (classification + extraction) or delete</w:t>
            </w:r>
          </w:p>
        </w:tc>
        <w:tc>
          <w:tcPr>
            <w:tcW w:type="dxa" w:w="1134"/>
          </w:tcPr>
          <w:p>
            <w:r/>
            <w:r>
              <w:rPr>
                <w:rFonts w:ascii="Times New Roman" w:hAnsi="Times New Roman"/>
                <w:sz w:val="22"/>
              </w:rPr>
              <w:t>Yes</w:t>
            </w:r>
          </w:p>
        </w:tc>
      </w:tr>
      <w:tr>
        <w:tc>
          <w:tcPr>
            <w:tcW w:type="dxa" w:w="1134"/>
          </w:tcPr>
          <w:p>
            <w:r/>
            <w:r>
              <w:rPr>
                <w:rFonts w:ascii="Times New Roman" w:hAnsi="Times New Roman"/>
                <w:sz w:val="22"/>
              </w:rPr>
              <w:t>GET</w:t>
            </w:r>
          </w:p>
        </w:tc>
        <w:tc>
          <w:tcPr>
            <w:tcW w:type="dxa" w:w="2835"/>
          </w:tcPr>
          <w:p>
            <w:r/>
            <w:r>
              <w:rPr>
                <w:rFonts w:ascii="Times New Roman" w:hAnsi="Times New Roman"/>
                <w:sz w:val="22"/>
              </w:rPr>
              <w:t>/api/documents/{id}/download/</w:t>
            </w:r>
          </w:p>
        </w:tc>
        <w:tc>
          <w:tcPr>
            <w:tcW w:type="dxa" w:w="4535"/>
          </w:tcPr>
          <w:p>
            <w:r/>
            <w:r>
              <w:rPr>
                <w:rFonts w:ascii="Times New Roman" w:hAnsi="Times New Roman"/>
                <w:sz w:val="22"/>
              </w:rPr>
              <w:t>Presigned MinIO download URL (TTL 300s)</w:t>
            </w:r>
          </w:p>
        </w:tc>
        <w:tc>
          <w:tcPr>
            <w:tcW w:type="dxa" w:w="1134"/>
          </w:tcPr>
          <w:p>
            <w:r/>
            <w:r>
              <w:rPr>
                <w:rFonts w:ascii="Times New Roman" w:hAnsi="Times New Roman"/>
                <w:sz w:val="22"/>
              </w:rPr>
              <w:t>Yes</w:t>
            </w:r>
          </w:p>
        </w:tc>
      </w:tr>
      <w:tr>
        <w:tc>
          <w:tcPr>
            <w:tcW w:type="dxa" w:w="1134"/>
          </w:tcPr>
          <w:p>
            <w:r/>
            <w:r>
              <w:rPr>
                <w:rFonts w:ascii="Times New Roman" w:hAnsi="Times New Roman"/>
                <w:sz w:val="22"/>
              </w:rPr>
              <w:t>POST</w:t>
            </w:r>
          </w:p>
        </w:tc>
        <w:tc>
          <w:tcPr>
            <w:tcW w:type="dxa" w:w="2835"/>
          </w:tcPr>
          <w:p>
            <w:r/>
            <w:r>
              <w:rPr>
                <w:rFonts w:ascii="Times New Roman" w:hAnsi="Times New Roman"/>
                <w:sz w:val="22"/>
              </w:rPr>
              <w:t>/api/documents/{id}/classify/</w:t>
            </w:r>
          </w:p>
        </w:tc>
        <w:tc>
          <w:tcPr>
            <w:tcW w:type="dxa" w:w="4535"/>
          </w:tcPr>
          <w:p>
            <w:r/>
            <w:r>
              <w:rPr>
                <w:rFonts w:ascii="Times New Roman" w:hAnsi="Times New Roman"/>
                <w:sz w:val="22"/>
              </w:rPr>
              <w:t>Re-trigger classification manually</w:t>
            </w:r>
          </w:p>
        </w:tc>
        <w:tc>
          <w:tcPr>
            <w:tcW w:type="dxa" w:w="1134"/>
          </w:tcPr>
          <w:p>
            <w:r/>
            <w:r>
              <w:rPr>
                <w:rFonts w:ascii="Times New Roman" w:hAnsi="Times New Roman"/>
                <w:sz w:val="22"/>
              </w:rPr>
              <w:t>Yes</w:t>
            </w:r>
          </w:p>
        </w:tc>
      </w:tr>
      <w:tr>
        <w:tc>
          <w:tcPr>
            <w:tcW w:type="dxa" w:w="1134"/>
          </w:tcPr>
          <w:p>
            <w:r/>
            <w:r>
              <w:rPr>
                <w:rFonts w:ascii="Times New Roman" w:hAnsi="Times New Roman"/>
                <w:sz w:val="22"/>
              </w:rPr>
              <w:t>GET</w:t>
            </w:r>
          </w:p>
        </w:tc>
        <w:tc>
          <w:tcPr>
            <w:tcW w:type="dxa" w:w="2835"/>
          </w:tcPr>
          <w:p>
            <w:r/>
            <w:r>
              <w:rPr>
                <w:rFonts w:ascii="Times New Roman" w:hAnsi="Times New Roman"/>
                <w:sz w:val="22"/>
              </w:rPr>
              <w:t>/api/documents/{id}/classify/status/</w:t>
            </w:r>
          </w:p>
        </w:tc>
        <w:tc>
          <w:tcPr>
            <w:tcW w:type="dxa" w:w="4535"/>
          </w:tcPr>
          <w:p>
            <w:r/>
            <w:r>
              <w:rPr>
                <w:rFonts w:ascii="Times New Roman" w:hAnsi="Times New Roman"/>
                <w:sz w:val="22"/>
              </w:rPr>
              <w:t>Poll classification status</w:t>
            </w:r>
          </w:p>
        </w:tc>
        <w:tc>
          <w:tcPr>
            <w:tcW w:type="dxa" w:w="1134"/>
          </w:tcPr>
          <w:p>
            <w:r/>
            <w:r>
              <w:rPr>
                <w:rFonts w:ascii="Times New Roman" w:hAnsi="Times New Roman"/>
                <w:sz w:val="22"/>
              </w:rPr>
              <w:t>Yes</w:t>
            </w:r>
          </w:p>
        </w:tc>
      </w:tr>
      <w:tr>
        <w:tc>
          <w:tcPr>
            <w:tcW w:type="dxa" w:w="1134"/>
          </w:tcPr>
          <w:p>
            <w:r/>
            <w:r>
              <w:rPr>
                <w:rFonts w:ascii="Times New Roman" w:hAnsi="Times New Roman"/>
                <w:sz w:val="22"/>
              </w:rPr>
              <w:t>GET</w:t>
            </w:r>
          </w:p>
        </w:tc>
        <w:tc>
          <w:tcPr>
            <w:tcW w:type="dxa" w:w="2835"/>
          </w:tcPr>
          <w:p>
            <w:r/>
            <w:r>
              <w:rPr>
                <w:rFonts w:ascii="Times New Roman" w:hAnsi="Times New Roman"/>
                <w:sz w:val="22"/>
              </w:rPr>
              <w:t>/api/documents/{id}/extraction/</w:t>
            </w:r>
          </w:p>
        </w:tc>
        <w:tc>
          <w:tcPr>
            <w:tcW w:type="dxa" w:w="4535"/>
          </w:tcPr>
          <w:p>
            <w:r/>
            <w:r>
              <w:rPr>
                <w:rFonts w:ascii="Times New Roman" w:hAnsi="Times New Roman"/>
                <w:sz w:val="22"/>
              </w:rPr>
              <w:t>Get extracted invoice fields</w:t>
            </w:r>
          </w:p>
        </w:tc>
        <w:tc>
          <w:tcPr>
            <w:tcW w:type="dxa" w:w="1134"/>
          </w:tcPr>
          <w:p>
            <w:r/>
            <w:r>
              <w:rPr>
                <w:rFonts w:ascii="Times New Roman" w:hAnsi="Times New Roman"/>
                <w:sz w:val="22"/>
              </w:rPr>
              <w:t>Yes</w:t>
            </w:r>
          </w:p>
        </w:tc>
      </w:tr>
    </w:tbl>
    <w:p>
      <w:r/>
    </w:p>
    <w:p>
      <w:pPr>
        <w:pStyle w:val="Heading3"/>
      </w:pPr>
      <w:r>
        <w:rPr>
          <w:rFonts w:ascii="Times New Roman" w:hAnsi="Times New Roman"/>
          <w:b/>
          <w:color w:val="1A365D"/>
          <w:sz w:val="26"/>
        </w:rPr>
        <w:t>8.1.3 Request/Response Conventions</w:t>
      </w:r>
    </w:p>
    <w:p>
      <w:r>
        <w:t>All API responses are envelope-wrapped. Successful responses are wrapped as {'data': ...} by a custom ApiRenderer. Errors are wrapped as {'error': {'code': ..., 'message': ..., 'field_errors': ...}} by a custom exception handler. This contract is consistent across every endpoint and every error class, simplifying the frontend's error-handling logic.</w:t>
      </w:r>
    </w:p>
    <w:p>
      <w:pPr>
        <w:pStyle w:val="Heading3"/>
      </w:pPr>
      <w:r>
        <w:rPr>
          <w:rFonts w:ascii="Times New Roman" w:hAnsi="Times New Roman"/>
          <w:b/>
          <w:color w:val="1A365D"/>
          <w:sz w:val="26"/>
        </w:rPr>
        <w:t>8.1.4 Asynchronous Task Queue</w:t>
      </w:r>
    </w:p>
    <w:p>
      <w:r>
        <w:t>Long-running work (OCR, feature extraction, LayoutLM inference) cannot run inside the request/response cycle. DocLens uses Django-Q2, a task queue that supports PostgreSQL as a broker — eliminating the need for Redis or RabbitMQ and reducing the operational footprint by one service.</w:t>
      </w:r>
    </w:p>
    <w:p>
      <w:r>
        <w:t>Two tasks are registered: run_classification(document_id) and run_extraction(document_id). The classification task automatically enqueues the extraction task when the predicted label is 'invoice', keeping the control flow entirely inside the worker.</w:t>
      </w:r>
    </w:p>
    <w:p>
      <w:pPr>
        <w:pStyle w:val="Heading2"/>
      </w:pPr>
      <w:r>
        <w:rPr>
          <w:rFonts w:ascii="Times New Roman" w:hAnsi="Times New Roman"/>
          <w:b/>
          <w:color w:val="1A365D"/>
          <w:sz w:val="28"/>
        </w:rPr>
        <w:t>8.2 Frontend: React 19 + TypeScript</w:t>
      </w:r>
    </w:p>
    <w:p>
      <w:r>
        <w:t>The frontend is a single-page application built with React 19, TypeScript 6.0, and Vite 8. It has two main routes:</w:t>
      </w:r>
    </w:p>
    <w:p>
      <w:pPr>
        <w:pStyle w:val="ListBullet"/>
      </w:pPr>
      <w:r>
        <w:t>Landing page (/) — public marketing and demo surface. Includes a hero section, a simulated upload workspace (for unauthenticated visitors), and a pipeline overview. This route uses useAnalysis for local-only document simulation.</w:t>
      </w:r>
    </w:p>
    <w:p>
      <w:pPr>
        <w:pStyle w:val="ListBullet"/>
      </w:pPr>
      <w:r>
        <w:t>Workspace dashboard (/workspace) — protected by ProtectedRoute, accessible only with a valid JWT token. Includes a searchable document library, a details panel showing classification and extraction results, and an upload control. This route uses useWorkspace which calls the real backend API.</w:t>
      </w:r>
    </w:p>
    <w:p>
      <w:pPr>
        <w:pStyle w:val="Heading3"/>
      </w:pPr>
      <w:r>
        <w:rPr>
          <w:rFonts w:ascii="Times New Roman" w:hAnsi="Times New Roman"/>
          <w:b/>
          <w:color w:val="1A365D"/>
          <w:sz w:val="26"/>
        </w:rPr>
        <w:t>8.2.1 Key Hooks</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703"/>
        <w:gridCol w:w="4703"/>
      </w:tblGrid>
      <w:tr>
        <w:tc>
          <w:tcPr>
            <w:tcW w:type="dxa" w:w="2268"/>
            <w:shd w:fill="DCE4EC"/>
          </w:tcPr>
          <w:p>
            <w:r/>
            <w:r>
              <w:rPr>
                <w:rFonts w:ascii="Times New Roman" w:hAnsi="Times New Roman"/>
                <w:b/>
                <w:sz w:val="22"/>
              </w:rPr>
              <w:t>Hook</w:t>
            </w:r>
          </w:p>
        </w:tc>
        <w:tc>
          <w:tcPr>
            <w:tcW w:type="dxa" w:w="6803"/>
            <w:shd w:fill="DCE4EC"/>
          </w:tcPr>
          <w:p>
            <w:r/>
            <w:r>
              <w:rPr>
                <w:rFonts w:ascii="Times New Roman" w:hAnsi="Times New Roman"/>
                <w:b/>
                <w:sz w:val="22"/>
              </w:rPr>
              <w:t>Responsibility</w:t>
            </w:r>
          </w:p>
        </w:tc>
      </w:tr>
      <w:tr>
        <w:tc>
          <w:tcPr>
            <w:tcW w:type="dxa" w:w="2268"/>
          </w:tcPr>
          <w:p>
            <w:r/>
            <w:r>
              <w:rPr>
                <w:rFonts w:ascii="Times New Roman" w:hAnsi="Times New Roman"/>
                <w:sz w:val="22"/>
              </w:rPr>
              <w:t>useAuth</w:t>
            </w:r>
          </w:p>
        </w:tc>
        <w:tc>
          <w:tcPr>
            <w:tcW w:type="dxa" w:w="6803"/>
          </w:tcPr>
          <w:p>
            <w:r/>
            <w:r>
              <w:rPr>
                <w:rFonts w:ascii="Times New Roman" w:hAnsi="Times New Roman"/>
                <w:sz w:val="22"/>
              </w:rPr>
              <w:t>Reads the JWT from localStorage, exposes isAuthenticated, login, logout.</w:t>
            </w:r>
          </w:p>
        </w:tc>
      </w:tr>
      <w:tr>
        <w:tc>
          <w:tcPr>
            <w:tcW w:type="dxa" w:w="2268"/>
          </w:tcPr>
          <w:p>
            <w:r/>
            <w:r>
              <w:rPr>
                <w:rFonts w:ascii="Times New Roman" w:hAnsi="Times New Roman"/>
                <w:sz w:val="22"/>
              </w:rPr>
              <w:t>useAnalysis</w:t>
            </w:r>
          </w:p>
        </w:tc>
        <w:tc>
          <w:tcPr>
            <w:tcW w:type="dxa" w:w="6803"/>
          </w:tcPr>
          <w:p>
            <w:r/>
            <w:r>
              <w:rPr>
                <w:rFonts w:ascii="Times New Roman" w:hAnsi="Times New Roman"/>
                <w:sz w:val="22"/>
              </w:rPr>
              <w:t>Local-only document processing simulation for the landing-page demo.</w:t>
            </w:r>
          </w:p>
        </w:tc>
      </w:tr>
      <w:tr>
        <w:tc>
          <w:tcPr>
            <w:tcW w:type="dxa" w:w="2268"/>
          </w:tcPr>
          <w:p>
            <w:r/>
            <w:r>
              <w:rPr>
                <w:rFonts w:ascii="Times New Roman" w:hAnsi="Times New Roman"/>
                <w:sz w:val="22"/>
              </w:rPr>
              <w:t>useWorkspace</w:t>
            </w:r>
          </w:p>
        </w:tc>
        <w:tc>
          <w:tcPr>
            <w:tcW w:type="dxa" w:w="6803"/>
          </w:tcPr>
          <w:p>
            <w:r/>
            <w:r>
              <w:rPr>
                <w:rFonts w:ascii="Times New Roman" w:hAnsi="Times New Roman"/>
                <w:sz w:val="22"/>
              </w:rPr>
              <w:t>Live API integration — fetches documents, polls status, handles filters, triggers actions.</w:t>
            </w:r>
          </w:p>
        </w:tc>
      </w:tr>
      <w:tr>
        <w:tc>
          <w:tcPr>
            <w:tcW w:type="dxa" w:w="2268"/>
          </w:tcPr>
          <w:p>
            <w:r/>
            <w:r>
              <w:rPr>
                <w:rFonts w:ascii="Times New Roman" w:hAnsi="Times New Roman"/>
                <w:sz w:val="22"/>
              </w:rPr>
              <w:t>useIntersectionReveal</w:t>
            </w:r>
          </w:p>
        </w:tc>
        <w:tc>
          <w:tcPr>
            <w:tcW w:type="dxa" w:w="6803"/>
          </w:tcPr>
          <w:p>
            <w:r/>
            <w:r>
              <w:rPr>
                <w:rFonts w:ascii="Times New Roman" w:hAnsi="Times New Roman"/>
                <w:sz w:val="22"/>
              </w:rPr>
              <w:t>Triggers reveal animations when sections scroll into view.</w:t>
            </w:r>
          </w:p>
        </w:tc>
      </w:tr>
      <w:tr>
        <w:tc>
          <w:tcPr>
            <w:tcW w:type="dxa" w:w="2268"/>
          </w:tcPr>
          <w:p>
            <w:r/>
            <w:r>
              <w:rPr>
                <w:rFonts w:ascii="Times New Roman" w:hAnsi="Times New Roman"/>
                <w:sz w:val="22"/>
              </w:rPr>
              <w:t>usePrefersReducedMotion</w:t>
            </w:r>
          </w:p>
        </w:tc>
        <w:tc>
          <w:tcPr>
            <w:tcW w:type="dxa" w:w="6803"/>
          </w:tcPr>
          <w:p>
            <w:r/>
            <w:r>
              <w:rPr>
                <w:rFonts w:ascii="Times New Roman" w:hAnsi="Times New Roman"/>
                <w:sz w:val="22"/>
              </w:rPr>
              <w:t>Honours the user's operating-system motion preference.</w:t>
            </w:r>
          </w:p>
        </w:tc>
      </w:tr>
    </w:tbl>
    <w:p>
      <w:r/>
    </w:p>
    <w:p>
      <w:pPr>
        <w:pStyle w:val="Heading3"/>
      </w:pPr>
      <w:r>
        <w:rPr>
          <w:rFonts w:ascii="Times New Roman" w:hAnsi="Times New Roman"/>
          <w:b/>
          <w:color w:val="1A365D"/>
          <w:sz w:val="26"/>
        </w:rPr>
        <w:t>8.2.2 API Client</w:t>
      </w:r>
    </w:p>
    <w:p>
      <w:r>
        <w:t>src/services/api.ts is the typed HTTP client. It automatically attaches the access token to every request, handles 401 responses by transparently refreshing the token via /api/auth/token/refresh/, and unwraps the response envelope before returning data to the caller.</w:t>
      </w:r>
    </w:p>
    <w:p>
      <w:pPr>
        <w:pStyle w:val="Heading2"/>
      </w:pPr>
      <w:r>
        <w:rPr>
          <w:rFonts w:ascii="Times New Roman" w:hAnsi="Times New Roman"/>
          <w:b/>
          <w:color w:val="1A365D"/>
          <w:sz w:val="28"/>
        </w:rPr>
        <w:t>8.3 Authentication</w:t>
      </w:r>
    </w:p>
    <w:p>
      <w:r>
        <w:t>Authentication uses JSON Web Tokens issued by djangorestframework-simplejwt. On login the server returns two tokens: an access token (15-minute lifetime) used for every authenticated request, and a refresh token (seven-day lifetime, rotating) used only to obtain new access tokens. Both tokens are stored in browser localStorage under dedicated keys and are cleared on logout. The token-rotation scheme means that a stolen refresh token becomes invalid the moment it is used to refresh once, limiting the attack window.</w:t>
      </w:r>
    </w:p>
    <w:p>
      <w:pPr>
        <w:pStyle w:val="Heading2"/>
      </w:pPr>
      <w:r>
        <w:rPr>
          <w:rFonts w:ascii="Times New Roman" w:hAnsi="Times New Roman"/>
          <w:b/>
          <w:color w:val="1A365D"/>
          <w:sz w:val="28"/>
        </w:rPr>
        <w:t>8.4 Object Storage</w:t>
      </w:r>
    </w:p>
    <w:p>
      <w:r>
        <w:t>All uploaded documents are stored in MinIO, an S3-compatible object store. Documents are never served directly through Django — instead, download requests return a pre-signed URL valid for five minutes, and the browser fetches directly from MinIO. This keeps the API server out of the document-download critical path.</w:t>
      </w:r>
    </w:p>
    <w:p>
      <w:pPr>
        <w:pStyle w:val="Heading2"/>
      </w:pPr>
      <w:r>
        <w:rPr>
          <w:rFonts w:ascii="Times New Roman" w:hAnsi="Times New Roman"/>
          <w:b/>
          <w:color w:val="1A365D"/>
          <w:sz w:val="28"/>
        </w:rPr>
        <w:t>8.5 Frontend Routing and Protected Routes</w:t>
      </w:r>
    </w:p>
    <w:p>
      <w:r>
        <w:t>Route /workspace is wrapped in a ProtectedRoute component that checks the useAuth state. Unauthenticated visitors are redirected to the landing page with an authIntent flag that triggers the login dialog on arrival — so after successful login they are returned to /workspace rather than left stranded.</w:t>
      </w:r>
    </w:p>
    <w:p>
      <w:r>
        <w:br w:type="page"/>
      </w:r>
    </w:p>
    <w:p>
      <w:pPr>
        <w:pStyle w:val="Heading1"/>
      </w:pPr>
      <w:r>
        <w:rPr>
          <w:rFonts w:ascii="Times New Roman" w:hAnsi="Times New Roman"/>
          <w:b/>
          <w:color w:val="1A365D"/>
          <w:sz w:val="32"/>
        </w:rPr>
        <w:t>9. Evaluation &amp; Results</w:t>
      </w:r>
    </w:p>
    <w:p>
      <w:pPr>
        <w:pStyle w:val="Heading2"/>
      </w:pPr>
      <w:r>
        <w:rPr>
          <w:rFonts w:ascii="Times New Roman" w:hAnsi="Times New Roman"/>
          <w:b/>
          <w:color w:val="1A365D"/>
          <w:sz w:val="28"/>
        </w:rPr>
        <w:t>9.1 Classification Accuracy</w:t>
      </w:r>
    </w:p>
    <w:p>
      <w:r>
        <w:t>The soft-voting ensemble achieves 93.8 percent accuracy on the RVL-CDIP validation split. All metrics are computed on documents the model has never seen during training.</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135"/>
        <w:gridCol w:w="3135"/>
        <w:gridCol w:w="3135"/>
      </w:tblGrid>
      <w:tr>
        <w:tc>
          <w:tcPr>
            <w:tcW w:type="dxa" w:w="2835"/>
            <w:shd w:fill="DCE4EC"/>
          </w:tcPr>
          <w:p>
            <w:r/>
            <w:r>
              <w:rPr>
                <w:rFonts w:ascii="Times New Roman" w:hAnsi="Times New Roman"/>
                <w:b/>
                <w:sz w:val="22"/>
              </w:rPr>
              <w:t>Metric</w:t>
            </w:r>
          </w:p>
        </w:tc>
        <w:tc>
          <w:tcPr>
            <w:tcW w:type="dxa" w:w="2268"/>
            <w:shd w:fill="DCE4EC"/>
          </w:tcPr>
          <w:p>
            <w:r/>
            <w:r>
              <w:rPr>
                <w:rFonts w:ascii="Times New Roman" w:hAnsi="Times New Roman"/>
                <w:b/>
                <w:sz w:val="22"/>
              </w:rPr>
              <w:t>Value</w:t>
            </w:r>
          </w:p>
        </w:tc>
        <w:tc>
          <w:tcPr>
            <w:tcW w:type="dxa" w:w="3969"/>
            <w:shd w:fill="DCE4EC"/>
          </w:tcPr>
          <w:p>
            <w:r/>
            <w:r>
              <w:rPr>
                <w:rFonts w:ascii="Times New Roman" w:hAnsi="Times New Roman"/>
                <w:b/>
                <w:sz w:val="22"/>
              </w:rPr>
              <w:t>Notes</w:t>
            </w:r>
          </w:p>
        </w:tc>
      </w:tr>
      <w:tr>
        <w:tc>
          <w:tcPr>
            <w:tcW w:type="dxa" w:w="2835"/>
          </w:tcPr>
          <w:p>
            <w:r/>
            <w:r>
              <w:rPr>
                <w:rFonts w:ascii="Times New Roman" w:hAnsi="Times New Roman"/>
                <w:sz w:val="22"/>
              </w:rPr>
              <w:t>Validation accuracy</w:t>
            </w:r>
          </w:p>
        </w:tc>
        <w:tc>
          <w:tcPr>
            <w:tcW w:type="dxa" w:w="2268"/>
          </w:tcPr>
          <w:p>
            <w:r/>
            <w:r>
              <w:rPr>
                <w:rFonts w:ascii="Times New Roman" w:hAnsi="Times New Roman"/>
                <w:sz w:val="22"/>
              </w:rPr>
              <w:t>93.75%</w:t>
            </w:r>
          </w:p>
        </w:tc>
        <w:tc>
          <w:tcPr>
            <w:tcW w:type="dxa" w:w="3969"/>
          </w:tcPr>
          <w:p>
            <w:r/>
            <w:r>
              <w:rPr>
                <w:rFonts w:ascii="Times New Roman" w:hAnsi="Times New Roman"/>
                <w:sz w:val="22"/>
              </w:rPr>
              <w:t>Weighted across four classes on the held-out validation split (approximately 40 samples per class from the vaclavpechtor/rvl_cdip-small-200 subset).</w:t>
            </w:r>
          </w:p>
        </w:tc>
      </w:tr>
      <w:tr>
        <w:tc>
          <w:tcPr>
            <w:tcW w:type="dxa" w:w="2835"/>
          </w:tcPr>
          <w:p>
            <w:r/>
            <w:r>
              <w:rPr>
                <w:rFonts w:ascii="Times New Roman" w:hAnsi="Times New Roman"/>
                <w:sz w:val="22"/>
              </w:rPr>
              <w:t>Model</w:t>
            </w:r>
          </w:p>
        </w:tc>
        <w:tc>
          <w:tcPr>
            <w:tcW w:type="dxa" w:w="2268"/>
          </w:tcPr>
          <w:p>
            <w:r/>
            <w:r>
              <w:rPr>
                <w:rFonts w:ascii="Times New Roman" w:hAnsi="Times New Roman"/>
                <w:sz w:val="22"/>
              </w:rPr>
              <w:t>Soft-voting ensemble</w:t>
            </w:r>
          </w:p>
        </w:tc>
        <w:tc>
          <w:tcPr>
            <w:tcW w:type="dxa" w:w="3969"/>
          </w:tcPr>
          <w:p>
            <w:r/>
            <w:r>
              <w:rPr>
                <w:rFonts w:ascii="Times New Roman" w:hAnsi="Times New Roman"/>
                <w:sz w:val="22"/>
              </w:rPr>
              <w:t>SVM-RBF (C=10) + Logistic Regression (C=1.0) + Random Forest (200 trees, max_depth=10)</w:t>
            </w:r>
          </w:p>
        </w:tc>
      </w:tr>
      <w:tr>
        <w:tc>
          <w:tcPr>
            <w:tcW w:type="dxa" w:w="2835"/>
          </w:tcPr>
          <w:p>
            <w:r/>
            <w:r>
              <w:rPr>
                <w:rFonts w:ascii="Times New Roman" w:hAnsi="Times New Roman"/>
                <w:sz w:val="22"/>
              </w:rPr>
              <w:t>Feature dimensionality</w:t>
            </w:r>
          </w:p>
        </w:tc>
        <w:tc>
          <w:tcPr>
            <w:tcW w:type="dxa" w:w="2268"/>
          </w:tcPr>
          <w:p>
            <w:r/>
            <w:r>
              <w:rPr>
                <w:rFonts w:ascii="Times New Roman" w:hAnsi="Times New Roman"/>
                <w:sz w:val="22"/>
              </w:rPr>
              <w:t>798</w:t>
            </w:r>
          </w:p>
        </w:tc>
        <w:tc>
          <w:tcPr>
            <w:tcW w:type="dxa" w:w="3969"/>
          </w:tcPr>
          <w:p>
            <w:r/>
            <w:r>
              <w:rPr>
                <w:rFonts w:ascii="Times New Roman" w:hAnsi="Times New Roman"/>
                <w:sz w:val="22"/>
              </w:rPr>
              <w:t>750 TF-IDF bigrams + 33 image features + 15 text meta-features</w:t>
            </w:r>
          </w:p>
        </w:tc>
      </w:tr>
    </w:tbl>
    <w:p>
      <w:r/>
    </w:p>
    <w:p>
      <w:pPr>
        <w:pStyle w:val="Heading2"/>
      </w:pPr>
      <w:r>
        <w:rPr>
          <w:rFonts w:ascii="Times New Roman" w:hAnsi="Times New Roman"/>
          <w:b/>
          <w:color w:val="1A365D"/>
          <w:sz w:val="28"/>
        </w:rPr>
        <w:t>9.2 Ablation Study</w:t>
      </w:r>
    </w:p>
    <w:p>
      <w:r>
        <w:t>To validate the hybrid multi-family feature approach, the team ran an ablation comparing four feature configurations:</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135"/>
        <w:gridCol w:w="3135"/>
        <w:gridCol w:w="3135"/>
      </w:tblGrid>
      <w:tr>
        <w:tc>
          <w:tcPr>
            <w:tcW w:type="dxa" w:w="3402"/>
            <w:shd w:fill="DCE4EC"/>
          </w:tcPr>
          <w:p>
            <w:r/>
            <w:r>
              <w:rPr>
                <w:rFonts w:ascii="Times New Roman" w:hAnsi="Times New Roman"/>
                <w:b/>
                <w:sz w:val="22"/>
              </w:rPr>
              <w:t>Configuration</w:t>
            </w:r>
          </w:p>
        </w:tc>
        <w:tc>
          <w:tcPr>
            <w:tcW w:type="dxa" w:w="3402"/>
            <w:shd w:fill="DCE4EC"/>
          </w:tcPr>
          <w:p>
            <w:r/>
            <w:r>
              <w:rPr>
                <w:rFonts w:ascii="Times New Roman" w:hAnsi="Times New Roman"/>
                <w:b/>
                <w:sz w:val="22"/>
              </w:rPr>
              <w:t>Features</w:t>
            </w:r>
          </w:p>
        </w:tc>
        <w:tc>
          <w:tcPr>
            <w:tcW w:type="dxa" w:w="2268"/>
            <w:shd w:fill="DCE4EC"/>
          </w:tcPr>
          <w:p>
            <w:r/>
            <w:r>
              <w:rPr>
                <w:rFonts w:ascii="Times New Roman" w:hAnsi="Times New Roman"/>
                <w:b/>
                <w:sz w:val="22"/>
              </w:rPr>
              <w:t>Accuracy</w:t>
            </w:r>
          </w:p>
        </w:tc>
      </w:tr>
      <w:tr>
        <w:tc>
          <w:tcPr>
            <w:tcW w:type="dxa" w:w="3402"/>
          </w:tcPr>
          <w:p>
            <w:r/>
            <w:r>
              <w:rPr>
                <w:rFonts w:ascii="Times New Roman" w:hAnsi="Times New Roman"/>
                <w:sz w:val="22"/>
              </w:rPr>
              <w:t>A: Unigrams + image</w:t>
            </w:r>
          </w:p>
        </w:tc>
        <w:tc>
          <w:tcPr>
            <w:tcW w:type="dxa" w:w="3402"/>
          </w:tcPr>
          <w:p>
            <w:r/>
            <w:r>
              <w:rPr>
                <w:rFonts w:ascii="Times New Roman" w:hAnsi="Times New Roman"/>
                <w:sz w:val="22"/>
              </w:rPr>
              <w:t>500 TF-IDF unigrams + 33 image = 533</w:t>
            </w:r>
          </w:p>
        </w:tc>
        <w:tc>
          <w:tcPr>
            <w:tcW w:type="dxa" w:w="2268"/>
          </w:tcPr>
          <w:p>
            <w:r/>
            <w:r>
              <w:rPr>
                <w:rFonts w:ascii="Times New Roman" w:hAnsi="Times New Roman"/>
                <w:sz w:val="22"/>
              </w:rPr>
              <w:t>82.5% (approx.)</w:t>
            </w:r>
          </w:p>
        </w:tc>
      </w:tr>
      <w:tr>
        <w:tc>
          <w:tcPr>
            <w:tcW w:type="dxa" w:w="3402"/>
          </w:tcPr>
          <w:p>
            <w:r/>
            <w:r>
              <w:rPr>
                <w:rFonts w:ascii="Times New Roman" w:hAnsi="Times New Roman"/>
                <w:sz w:val="22"/>
              </w:rPr>
              <w:t>B: Bigrams + image</w:t>
            </w:r>
          </w:p>
        </w:tc>
        <w:tc>
          <w:tcPr>
            <w:tcW w:type="dxa" w:w="3402"/>
          </w:tcPr>
          <w:p>
            <w:r/>
            <w:r>
              <w:rPr>
                <w:rFonts w:ascii="Times New Roman" w:hAnsi="Times New Roman"/>
                <w:sz w:val="22"/>
              </w:rPr>
              <w:t>500 TF-IDF bigrams + 33 image = 533</w:t>
            </w:r>
          </w:p>
        </w:tc>
        <w:tc>
          <w:tcPr>
            <w:tcW w:type="dxa" w:w="2268"/>
          </w:tcPr>
          <w:p>
            <w:r/>
            <w:r>
              <w:rPr>
                <w:rFonts w:ascii="Times New Roman" w:hAnsi="Times New Roman"/>
                <w:sz w:val="22"/>
              </w:rPr>
              <w:t>— (intermediate)</w:t>
            </w:r>
          </w:p>
        </w:tc>
      </w:tr>
      <w:tr>
        <w:tc>
          <w:tcPr>
            <w:tcW w:type="dxa" w:w="3402"/>
          </w:tcPr>
          <w:p>
            <w:r/>
            <w:r>
              <w:rPr>
                <w:rFonts w:ascii="Times New Roman" w:hAnsi="Times New Roman"/>
                <w:sz w:val="22"/>
              </w:rPr>
              <w:t>C: Bigrams + image + meta</w:t>
            </w:r>
          </w:p>
        </w:tc>
        <w:tc>
          <w:tcPr>
            <w:tcW w:type="dxa" w:w="3402"/>
          </w:tcPr>
          <w:p>
            <w:r/>
            <w:r>
              <w:rPr>
                <w:rFonts w:ascii="Times New Roman" w:hAnsi="Times New Roman"/>
                <w:sz w:val="22"/>
              </w:rPr>
              <w:t>500 TF-IDF bigrams + 33 image + 15 meta = 548</w:t>
            </w:r>
          </w:p>
        </w:tc>
        <w:tc>
          <w:tcPr>
            <w:tcW w:type="dxa" w:w="2268"/>
          </w:tcPr>
          <w:p>
            <w:r/>
            <w:r>
              <w:rPr>
                <w:rFonts w:ascii="Times New Roman" w:hAnsi="Times New Roman"/>
                <w:sz w:val="22"/>
              </w:rPr>
              <w:t>88.4% (approx.)</w:t>
            </w:r>
          </w:p>
        </w:tc>
      </w:tr>
      <w:tr>
        <w:tc>
          <w:tcPr>
            <w:tcW w:type="dxa" w:w="3402"/>
          </w:tcPr>
          <w:p>
            <w:r/>
            <w:r>
              <w:rPr>
                <w:rFonts w:ascii="Times New Roman" w:hAnsi="Times New Roman"/>
                <w:sz w:val="22"/>
              </w:rPr>
              <w:t>D: Bigrams (750) + image + meta (DEPLOYED)</w:t>
            </w:r>
          </w:p>
        </w:tc>
        <w:tc>
          <w:tcPr>
            <w:tcW w:type="dxa" w:w="3402"/>
          </w:tcPr>
          <w:p>
            <w:r/>
            <w:r>
              <w:rPr>
                <w:rFonts w:ascii="Times New Roman" w:hAnsi="Times New Roman"/>
                <w:sz w:val="22"/>
              </w:rPr>
              <w:t>750 TF-IDF bigrams + 33 image + 15 meta = 798</w:t>
            </w:r>
          </w:p>
        </w:tc>
        <w:tc>
          <w:tcPr>
            <w:tcW w:type="dxa" w:w="2268"/>
          </w:tcPr>
          <w:p>
            <w:r/>
            <w:r>
              <w:rPr>
                <w:rFonts w:ascii="Times New Roman" w:hAnsi="Times New Roman"/>
                <w:sz w:val="22"/>
              </w:rPr>
              <w:t>93.8%</w:t>
            </w:r>
          </w:p>
        </w:tc>
      </w:tr>
    </w:tbl>
    <w:p>
      <w:r/>
    </w:p>
    <w:p>
      <w:r>
        <w:t>Two findings emerge. First, bigrams plus meta-features together give a roughly six-percentage-point lift over unigrams alone — both contribute real signal. Second, image-only classification (omitted from the table but validated separately) reaches only about 63.8 percent, confirming that text is the dominant signal but that layout features provide a meaningful additional contribution.</w:t>
      </w:r>
    </w:p>
    <w:p>
      <w:pPr>
        <w:pStyle w:val="Heading2"/>
      </w:pPr>
      <w:r>
        <w:rPr>
          <w:rFonts w:ascii="Times New Roman" w:hAnsi="Times New Roman"/>
          <w:b/>
          <w:color w:val="1A365D"/>
          <w:sz w:val="28"/>
        </w:rPr>
        <w:t>9.3 Ensemble vs. Single Classifiers</w:t>
      </w:r>
    </w:p>
    <w:p>
      <w:r>
        <w:t>The soft-voting ensemble outperforms each individual base classifier on the same feature set. The improvement is modest but consistent, driven by error decorrelation — when one model misclassifies a document, the other two typically do not, and soft voting surfaces the majority view. The ensemble is marginally slower than a single classifier at inference time (three predictions instead of one), but remains well within interactive-latency budgets.</w:t>
      </w:r>
    </w:p>
    <w:p>
      <w:pPr>
        <w:pStyle w:val="Heading2"/>
      </w:pPr>
      <w:r>
        <w:rPr>
          <w:rFonts w:ascii="Times New Roman" w:hAnsi="Times New Roman"/>
          <w:b/>
          <w:color w:val="1A365D"/>
          <w:sz w:val="28"/>
        </w:rPr>
        <w:t>9.4 Invoice Extraction — Qualitative Evaluation</w:t>
      </w:r>
    </w:p>
    <w:p>
      <w:r>
        <w:t>Quantitative extraction evaluation is non-trivial because ground-truth labels for real-world invoices are not uniformly available and hand-curation does not scale to a meaningful sample size under project time constraints.</w:t>
      </w:r>
    </w:p>
    <w:p>
      <w:r>
        <w:t>The team's evaluation approach was qualitative, running real-world invoices (downloaded from public sources) through the deployed pipeline and inspecting each field by eye. Observations from this testing:</w:t>
      </w:r>
    </w:p>
    <w:p>
      <w:pPr>
        <w:pStyle w:val="ListBullet"/>
      </w:pPr>
      <w:r>
        <w:t>LayoutLM reliably recovers invoice numbers, invoice dates, and total amounts on most well-formed invoices, even when the layout differs substantially from training-distribution examples.</w:t>
      </w:r>
    </w:p>
    <w:p>
      <w:pPr>
        <w:pStyle w:val="ListBullet"/>
      </w:pPr>
      <w:r>
        <w:t>Fields with stable anchor language (Due Date, Invoice Date) are recovered successfully when clearly labelled in the document.</w:t>
      </w:r>
    </w:p>
    <w:p>
      <w:pPr>
        <w:pStyle w:val="ListBullet"/>
      </w:pPr>
      <w:r>
        <w:t>Fields whose position and formatting vary the most — Issuer Name, Recipient Name — are recovered when the document's visual layout matches training-distribution patterns, and missed when it diverges significantly.</w:t>
      </w:r>
    </w:p>
    <w:p>
      <w:pPr>
        <w:pStyle w:val="ListBullet"/>
      </w:pPr>
      <w:r>
        <w:t>On a representative unseen invoice, LayoutLM recovered approximately half of the six required fields (invoice number, invoice date, due date, issuer name, recipient name, total amount) correctly — demonstrating the system functions end-to-end on documents that never appeared in any training set.</w:t>
      </w:r>
    </w:p>
    <w:p>
      <w:r>
        <w:t>Future work (Section 11.2) includes a structured extraction-metric suite with a fixed benchmark set of 20-50 real invoices, hand-annotated, to produce per-field precision, recall, and F1 scores.</w:t>
      </w:r>
    </w:p>
    <w:p>
      <w:pPr>
        <w:pStyle w:val="Heading2"/>
      </w:pPr>
      <w:r>
        <w:rPr>
          <w:rFonts w:ascii="Times New Roman" w:hAnsi="Times New Roman"/>
          <w:b/>
          <w:color w:val="1A365D"/>
          <w:sz w:val="28"/>
        </w:rPr>
        <w:t>9.5 End-to-End Latency</w:t>
      </w:r>
    </w:p>
    <w:p>
      <w:r>
        <w:t>Measured on commodity hardware (laptop-class CPU plus integrated GPU), end-to-end processing time per document is approximately 4 to 8 seconds for a classified non-invoice and approximately 6 to 12 seconds for an invoice requiring both classification and extraction. Cold-start overhead for the first document after a worker restart is longer because the classifier pickle, TF-IDF vocabulary, and LayoutLM weights must all be loaded into memory; subsequent documents reuse the in-memory singletons. Latency is dominated by OCR (Tesseract) for classification and by LayoutLM inference for extraction.</w:t>
      </w:r>
    </w:p>
    <w:p>
      <w:r>
        <w:br w:type="page"/>
      </w:r>
    </w:p>
    <w:p>
      <w:pPr>
        <w:pStyle w:val="Heading1"/>
      </w:pPr>
      <w:r>
        <w:rPr>
          <w:rFonts w:ascii="Times New Roman" w:hAnsi="Times New Roman"/>
          <w:b/>
          <w:color w:val="1A365D"/>
          <w:sz w:val="32"/>
        </w:rPr>
        <w:t>10. Deployment &amp; Operations</w:t>
      </w:r>
    </w:p>
    <w:p>
      <w:pPr>
        <w:pStyle w:val="Heading2"/>
      </w:pPr>
      <w:r>
        <w:rPr>
          <w:rFonts w:ascii="Times New Roman" w:hAnsi="Times New Roman"/>
          <w:b/>
          <w:color w:val="1A365D"/>
          <w:sz w:val="28"/>
        </w:rPr>
        <w:t>10.1 Docker Compose Stack</w:t>
      </w:r>
    </w:p>
    <w:p>
      <w:r>
        <w:t>The entire system deploys with one command: docker compose up --build -d. The compose file defines five services:</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51"/>
        <w:gridCol w:w="2351"/>
        <w:gridCol w:w="2351"/>
        <w:gridCol w:w="2351"/>
      </w:tblGrid>
      <w:tr>
        <w:tc>
          <w:tcPr>
            <w:tcW w:type="dxa" w:w="1701"/>
            <w:shd w:fill="DCE4EC"/>
          </w:tcPr>
          <w:p>
            <w:r/>
            <w:r>
              <w:rPr>
                <w:rFonts w:ascii="Times New Roman" w:hAnsi="Times New Roman"/>
                <w:b/>
                <w:sz w:val="22"/>
              </w:rPr>
              <w:t>Service</w:t>
            </w:r>
          </w:p>
        </w:tc>
        <w:tc>
          <w:tcPr>
            <w:tcW w:type="dxa" w:w="2835"/>
            <w:shd w:fill="DCE4EC"/>
          </w:tcPr>
          <w:p>
            <w:r/>
            <w:r>
              <w:rPr>
                <w:rFonts w:ascii="Times New Roman" w:hAnsi="Times New Roman"/>
                <w:b/>
                <w:sz w:val="22"/>
              </w:rPr>
              <w:t>Image</w:t>
            </w:r>
          </w:p>
        </w:tc>
        <w:tc>
          <w:tcPr>
            <w:tcW w:type="dxa" w:w="1701"/>
            <w:shd w:fill="DCE4EC"/>
          </w:tcPr>
          <w:p>
            <w:r/>
            <w:r>
              <w:rPr>
                <w:rFonts w:ascii="Times New Roman" w:hAnsi="Times New Roman"/>
                <w:b/>
                <w:sz w:val="22"/>
              </w:rPr>
              <w:t>Exposed port</w:t>
            </w:r>
          </w:p>
        </w:tc>
        <w:tc>
          <w:tcPr>
            <w:tcW w:type="dxa" w:w="3402"/>
            <w:shd w:fill="DCE4EC"/>
          </w:tcPr>
          <w:p>
            <w:r/>
            <w:r>
              <w:rPr>
                <w:rFonts w:ascii="Times New Roman" w:hAnsi="Times New Roman"/>
                <w:b/>
                <w:sz w:val="22"/>
              </w:rPr>
              <w:t>Role</w:t>
            </w:r>
          </w:p>
        </w:tc>
      </w:tr>
      <w:tr>
        <w:tc>
          <w:tcPr>
            <w:tcW w:type="dxa" w:w="1701"/>
          </w:tcPr>
          <w:p>
            <w:r/>
            <w:r>
              <w:rPr>
                <w:rFonts w:ascii="Times New Roman" w:hAnsi="Times New Roman"/>
                <w:sz w:val="22"/>
              </w:rPr>
              <w:t>db</w:t>
            </w:r>
          </w:p>
        </w:tc>
        <w:tc>
          <w:tcPr>
            <w:tcW w:type="dxa" w:w="2835"/>
          </w:tcPr>
          <w:p>
            <w:r/>
            <w:r>
              <w:rPr>
                <w:rFonts w:ascii="Times New Roman" w:hAnsi="Times New Roman"/>
                <w:sz w:val="22"/>
              </w:rPr>
              <w:t>postgres:16-alpine</w:t>
            </w:r>
          </w:p>
        </w:tc>
        <w:tc>
          <w:tcPr>
            <w:tcW w:type="dxa" w:w="1701"/>
          </w:tcPr>
          <w:p>
            <w:r/>
            <w:r>
              <w:rPr>
                <w:rFonts w:ascii="Times New Roman" w:hAnsi="Times New Roman"/>
                <w:sz w:val="22"/>
              </w:rPr>
              <w:t>(internal)</w:t>
            </w:r>
          </w:p>
        </w:tc>
        <w:tc>
          <w:tcPr>
            <w:tcW w:type="dxa" w:w="3402"/>
          </w:tcPr>
          <w:p>
            <w:r/>
            <w:r>
              <w:rPr>
                <w:rFonts w:ascii="Times New Roman" w:hAnsi="Times New Roman"/>
                <w:sz w:val="22"/>
              </w:rPr>
              <w:t>PostgreSQL — metadata, users, task queue</w:t>
            </w:r>
          </w:p>
        </w:tc>
      </w:tr>
      <w:tr>
        <w:tc>
          <w:tcPr>
            <w:tcW w:type="dxa" w:w="1701"/>
          </w:tcPr>
          <w:p>
            <w:r/>
            <w:r>
              <w:rPr>
                <w:rFonts w:ascii="Times New Roman" w:hAnsi="Times New Roman"/>
                <w:sz w:val="22"/>
              </w:rPr>
              <w:t>minio</w:t>
            </w:r>
          </w:p>
        </w:tc>
        <w:tc>
          <w:tcPr>
            <w:tcW w:type="dxa" w:w="2835"/>
          </w:tcPr>
          <w:p>
            <w:r/>
            <w:r>
              <w:rPr>
                <w:rFonts w:ascii="Times New Roman" w:hAnsi="Times New Roman"/>
                <w:sz w:val="22"/>
              </w:rPr>
              <w:t>minio/minio</w:t>
            </w:r>
          </w:p>
        </w:tc>
        <w:tc>
          <w:tcPr>
            <w:tcW w:type="dxa" w:w="1701"/>
          </w:tcPr>
          <w:p>
            <w:r/>
            <w:r>
              <w:rPr>
                <w:rFonts w:ascii="Times New Roman" w:hAnsi="Times New Roman"/>
                <w:sz w:val="22"/>
              </w:rPr>
              <w:t>9000, 9001</w:t>
            </w:r>
          </w:p>
        </w:tc>
        <w:tc>
          <w:tcPr>
            <w:tcW w:type="dxa" w:w="3402"/>
          </w:tcPr>
          <w:p>
            <w:r/>
            <w:r>
              <w:rPr>
                <w:rFonts w:ascii="Times New Roman" w:hAnsi="Times New Roman"/>
                <w:sz w:val="22"/>
              </w:rPr>
              <w:t>Object storage — uploaded documents</w:t>
            </w:r>
          </w:p>
        </w:tc>
      </w:tr>
      <w:tr>
        <w:tc>
          <w:tcPr>
            <w:tcW w:type="dxa" w:w="1701"/>
          </w:tcPr>
          <w:p>
            <w:r/>
            <w:r>
              <w:rPr>
                <w:rFonts w:ascii="Times New Roman" w:hAnsi="Times New Roman"/>
                <w:sz w:val="22"/>
              </w:rPr>
              <w:t>api</w:t>
            </w:r>
          </w:p>
        </w:tc>
        <w:tc>
          <w:tcPr>
            <w:tcW w:type="dxa" w:w="2835"/>
          </w:tcPr>
          <w:p>
            <w:r/>
            <w:r>
              <w:rPr>
                <w:rFonts w:ascii="Times New Roman" w:hAnsi="Times New Roman"/>
                <w:sz w:val="22"/>
              </w:rPr>
              <w:t>Built from ./backend</w:t>
            </w:r>
          </w:p>
        </w:tc>
        <w:tc>
          <w:tcPr>
            <w:tcW w:type="dxa" w:w="1701"/>
          </w:tcPr>
          <w:p>
            <w:r/>
            <w:r>
              <w:rPr>
                <w:rFonts w:ascii="Times New Roman" w:hAnsi="Times New Roman"/>
                <w:sz w:val="22"/>
              </w:rPr>
              <w:t>8000</w:t>
            </w:r>
          </w:p>
        </w:tc>
        <w:tc>
          <w:tcPr>
            <w:tcW w:type="dxa" w:w="3402"/>
          </w:tcPr>
          <w:p>
            <w:r/>
            <w:r>
              <w:rPr>
                <w:rFonts w:ascii="Times New Roman" w:hAnsi="Times New Roman"/>
                <w:sz w:val="22"/>
              </w:rPr>
              <w:t>Django REST API</w:t>
            </w:r>
          </w:p>
        </w:tc>
      </w:tr>
      <w:tr>
        <w:tc>
          <w:tcPr>
            <w:tcW w:type="dxa" w:w="1701"/>
          </w:tcPr>
          <w:p>
            <w:r/>
            <w:r>
              <w:rPr>
                <w:rFonts w:ascii="Times New Roman" w:hAnsi="Times New Roman"/>
                <w:sz w:val="22"/>
              </w:rPr>
              <w:t>worker</w:t>
            </w:r>
          </w:p>
        </w:tc>
        <w:tc>
          <w:tcPr>
            <w:tcW w:type="dxa" w:w="2835"/>
          </w:tcPr>
          <w:p>
            <w:r/>
            <w:r>
              <w:rPr>
                <w:rFonts w:ascii="Times New Roman" w:hAnsi="Times New Roman"/>
                <w:sz w:val="22"/>
              </w:rPr>
              <w:t>Built from ./backend</w:t>
            </w:r>
          </w:p>
        </w:tc>
        <w:tc>
          <w:tcPr>
            <w:tcW w:type="dxa" w:w="1701"/>
          </w:tcPr>
          <w:p>
            <w:r/>
            <w:r>
              <w:rPr>
                <w:rFonts w:ascii="Times New Roman" w:hAnsi="Times New Roman"/>
                <w:sz w:val="22"/>
              </w:rPr>
              <w:t>(internal)</w:t>
            </w:r>
          </w:p>
        </w:tc>
        <w:tc>
          <w:tcPr>
            <w:tcW w:type="dxa" w:w="3402"/>
          </w:tcPr>
          <w:p>
            <w:r/>
            <w:r>
              <w:rPr>
                <w:rFonts w:ascii="Times New Roman" w:hAnsi="Times New Roman"/>
                <w:sz w:val="22"/>
              </w:rPr>
              <w:t>Django-Q2 worker for classification and extraction</w:t>
            </w:r>
          </w:p>
        </w:tc>
      </w:tr>
      <w:tr>
        <w:tc>
          <w:tcPr>
            <w:tcW w:type="dxa" w:w="1701"/>
          </w:tcPr>
          <w:p>
            <w:r/>
            <w:r>
              <w:rPr>
                <w:rFonts w:ascii="Times New Roman" w:hAnsi="Times New Roman"/>
                <w:sz w:val="22"/>
              </w:rPr>
              <w:t>frontend</w:t>
            </w:r>
          </w:p>
        </w:tc>
        <w:tc>
          <w:tcPr>
            <w:tcW w:type="dxa" w:w="2835"/>
          </w:tcPr>
          <w:p>
            <w:r/>
            <w:r>
              <w:rPr>
                <w:rFonts w:ascii="Times New Roman" w:hAnsi="Times New Roman"/>
                <w:sz w:val="22"/>
              </w:rPr>
              <w:t>Built from ./frontend</w:t>
            </w:r>
          </w:p>
        </w:tc>
        <w:tc>
          <w:tcPr>
            <w:tcW w:type="dxa" w:w="1701"/>
          </w:tcPr>
          <w:p>
            <w:r/>
            <w:r>
              <w:rPr>
                <w:rFonts w:ascii="Times New Roman" w:hAnsi="Times New Roman"/>
                <w:sz w:val="22"/>
              </w:rPr>
              <w:t>5173</w:t>
            </w:r>
          </w:p>
        </w:tc>
        <w:tc>
          <w:tcPr>
            <w:tcW w:type="dxa" w:w="3402"/>
          </w:tcPr>
          <w:p>
            <w:r/>
            <w:r>
              <w:rPr>
                <w:rFonts w:ascii="Times New Roman" w:hAnsi="Times New Roman"/>
                <w:sz w:val="22"/>
              </w:rPr>
              <w:t>React + Vite dev server</w:t>
            </w:r>
          </w:p>
        </w:tc>
      </w:tr>
    </w:tbl>
    <w:p>
      <w:r/>
    </w:p>
    <w:p>
      <w:r>
        <w:t>The api and worker share the same Docker image — both are built from ./backend/Dockerfile — but run different commands. Both services volume-mount ./backend as /app and ./ai as /app/ai, enabling live code reload during development and keeping the ai/ research tracks accessible from inside the container.</w:t>
      </w:r>
    </w:p>
    <w:p>
      <w:pPr>
        <w:pStyle w:val="Heading2"/>
      </w:pPr>
      <w:r>
        <w:rPr>
          <w:rFonts w:ascii="Times New Roman" w:hAnsi="Times New Roman"/>
          <w:b/>
          <w:color w:val="1A365D"/>
          <w:sz w:val="28"/>
        </w:rPr>
        <w:t>10.2 Environment Configuration</w:t>
      </w:r>
    </w:p>
    <w:p>
      <w:r>
        <w:t>Environment variables are loaded via python-decouple from a .env file at the project root. A .env.example template documents the required variables; sensitive values are never committed. Key variables:</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703"/>
        <w:gridCol w:w="4703"/>
      </w:tblGrid>
      <w:tr>
        <w:tc>
          <w:tcPr>
            <w:tcW w:type="dxa" w:w="3402"/>
            <w:shd w:fill="DCE4EC"/>
          </w:tcPr>
          <w:p>
            <w:r/>
            <w:r>
              <w:rPr>
                <w:rFonts w:ascii="Times New Roman" w:hAnsi="Times New Roman"/>
                <w:b/>
                <w:sz w:val="22"/>
              </w:rPr>
              <w:t>Variable</w:t>
            </w:r>
          </w:p>
        </w:tc>
        <w:tc>
          <w:tcPr>
            <w:tcW w:type="dxa" w:w="5669"/>
            <w:shd w:fill="DCE4EC"/>
          </w:tcPr>
          <w:p>
            <w:r/>
            <w:r>
              <w:rPr>
                <w:rFonts w:ascii="Times New Roman" w:hAnsi="Times New Roman"/>
                <w:b/>
                <w:sz w:val="22"/>
              </w:rPr>
              <w:t>Purpose</w:t>
            </w:r>
          </w:p>
        </w:tc>
      </w:tr>
      <w:tr>
        <w:tc>
          <w:tcPr>
            <w:tcW w:type="dxa" w:w="3402"/>
          </w:tcPr>
          <w:p>
            <w:r/>
            <w:r>
              <w:rPr>
                <w:rFonts w:ascii="Times New Roman" w:hAnsi="Times New Roman"/>
                <w:sz w:val="22"/>
              </w:rPr>
              <w:t>SECRET_KEY</w:t>
            </w:r>
          </w:p>
        </w:tc>
        <w:tc>
          <w:tcPr>
            <w:tcW w:type="dxa" w:w="5669"/>
          </w:tcPr>
          <w:p>
            <w:r/>
            <w:r>
              <w:rPr>
                <w:rFonts w:ascii="Times New Roman" w:hAnsi="Times New Roman"/>
                <w:sz w:val="22"/>
              </w:rPr>
              <w:t>Django cryptographic secret — must be unique per deployment</w:t>
            </w:r>
          </w:p>
        </w:tc>
      </w:tr>
      <w:tr>
        <w:tc>
          <w:tcPr>
            <w:tcW w:type="dxa" w:w="3402"/>
          </w:tcPr>
          <w:p>
            <w:r/>
            <w:r>
              <w:rPr>
                <w:rFonts w:ascii="Times New Roman" w:hAnsi="Times New Roman"/>
                <w:sz w:val="22"/>
              </w:rPr>
              <w:t>DEBUG</w:t>
            </w:r>
          </w:p>
        </w:tc>
        <w:tc>
          <w:tcPr>
            <w:tcW w:type="dxa" w:w="5669"/>
          </w:tcPr>
          <w:p>
            <w:r/>
            <w:r>
              <w:rPr>
                <w:rFonts w:ascii="Times New Roman" w:hAnsi="Times New Roman"/>
                <w:sz w:val="22"/>
              </w:rPr>
              <w:t>True for development, False for production</w:t>
            </w:r>
          </w:p>
        </w:tc>
      </w:tr>
      <w:tr>
        <w:tc>
          <w:tcPr>
            <w:tcW w:type="dxa" w:w="3402"/>
          </w:tcPr>
          <w:p>
            <w:r/>
            <w:r>
              <w:rPr>
                <w:rFonts w:ascii="Times New Roman" w:hAnsi="Times New Roman"/>
                <w:sz w:val="22"/>
              </w:rPr>
              <w:t>DB_* (NAME, USER, PASSWORD, HOST, PORT)</w:t>
            </w:r>
          </w:p>
        </w:tc>
        <w:tc>
          <w:tcPr>
            <w:tcW w:type="dxa" w:w="5669"/>
          </w:tcPr>
          <w:p>
            <w:r/>
            <w:r>
              <w:rPr>
                <w:rFonts w:ascii="Times New Roman" w:hAnsi="Times New Roman"/>
                <w:sz w:val="22"/>
              </w:rPr>
              <w:t>PostgreSQL connection</w:t>
            </w:r>
          </w:p>
        </w:tc>
      </w:tr>
      <w:tr>
        <w:tc>
          <w:tcPr>
            <w:tcW w:type="dxa" w:w="3402"/>
          </w:tcPr>
          <w:p>
            <w:r/>
            <w:r>
              <w:rPr>
                <w:rFonts w:ascii="Times New Roman" w:hAnsi="Times New Roman"/>
                <w:sz w:val="22"/>
              </w:rPr>
              <w:t>MINIO_USER, MINIO_PASSWORD</w:t>
            </w:r>
          </w:p>
        </w:tc>
        <w:tc>
          <w:tcPr>
            <w:tcW w:type="dxa" w:w="5669"/>
          </w:tcPr>
          <w:p>
            <w:r/>
            <w:r>
              <w:rPr>
                <w:rFonts w:ascii="Times New Roman" w:hAnsi="Times New Roman"/>
                <w:sz w:val="22"/>
              </w:rPr>
              <w:t>MinIO root credentials</w:t>
            </w:r>
          </w:p>
        </w:tc>
      </w:tr>
      <w:tr>
        <w:tc>
          <w:tcPr>
            <w:tcW w:type="dxa" w:w="3402"/>
          </w:tcPr>
          <w:p>
            <w:r/>
            <w:r>
              <w:rPr>
                <w:rFonts w:ascii="Times New Roman" w:hAnsi="Times New Roman"/>
                <w:sz w:val="22"/>
              </w:rPr>
              <w:t>MINIO_BUCKET, MINIO_ENDPOINT</w:t>
            </w:r>
          </w:p>
        </w:tc>
        <w:tc>
          <w:tcPr>
            <w:tcW w:type="dxa" w:w="5669"/>
          </w:tcPr>
          <w:p>
            <w:r/>
            <w:r>
              <w:rPr>
                <w:rFonts w:ascii="Times New Roman" w:hAnsi="Times New Roman"/>
                <w:sz w:val="22"/>
              </w:rPr>
              <w:t>Bucket and endpoint for document storage</w:t>
            </w:r>
          </w:p>
        </w:tc>
      </w:tr>
      <w:tr>
        <w:tc>
          <w:tcPr>
            <w:tcW w:type="dxa" w:w="3402"/>
          </w:tcPr>
          <w:p>
            <w:r/>
            <w:r>
              <w:rPr>
                <w:rFonts w:ascii="Times New Roman" w:hAnsi="Times New Roman"/>
                <w:sz w:val="22"/>
              </w:rPr>
              <w:t>MINIO_USE_HTTPS</w:t>
            </w:r>
          </w:p>
        </w:tc>
        <w:tc>
          <w:tcPr>
            <w:tcW w:type="dxa" w:w="5669"/>
          </w:tcPr>
          <w:p>
            <w:r/>
            <w:r>
              <w:rPr>
                <w:rFonts w:ascii="Times New Roman" w:hAnsi="Times New Roman"/>
                <w:sz w:val="22"/>
              </w:rPr>
              <w:t>Toggle HTTPS for MinIO</w:t>
            </w:r>
          </w:p>
        </w:tc>
      </w:tr>
      <w:tr>
        <w:tc>
          <w:tcPr>
            <w:tcW w:type="dxa" w:w="3402"/>
          </w:tcPr>
          <w:p>
            <w:r/>
            <w:r>
              <w:rPr>
                <w:rFonts w:ascii="Times New Roman" w:hAnsi="Times New Roman"/>
                <w:sz w:val="22"/>
              </w:rPr>
              <w:t>CORS_ALLOWED_ORIGINS</w:t>
            </w:r>
          </w:p>
        </w:tc>
        <w:tc>
          <w:tcPr>
            <w:tcW w:type="dxa" w:w="5669"/>
          </w:tcPr>
          <w:p>
            <w:r/>
            <w:r>
              <w:rPr>
                <w:rFonts w:ascii="Times New Roman" w:hAnsi="Times New Roman"/>
                <w:sz w:val="22"/>
              </w:rPr>
              <w:t>Comma-separated origins permitted for frontend-API CORS</w:t>
            </w:r>
          </w:p>
        </w:tc>
      </w:tr>
    </w:tbl>
    <w:p>
      <w:r/>
    </w:p>
    <w:p>
      <w:pPr>
        <w:pStyle w:val="Heading2"/>
      </w:pPr>
      <w:r>
        <w:rPr>
          <w:rFonts w:ascii="Times New Roman" w:hAnsi="Times New Roman"/>
          <w:b/>
          <w:color w:val="1A365D"/>
          <w:sz w:val="28"/>
        </w:rPr>
        <w:t>10.3 Backend Image Composition</w:t>
      </w:r>
    </w:p>
    <w:p>
      <w:r>
        <w:t>The backend Dockerfile starts from python:3.12-slim and installs system packages required by the ML and OCR stacks:</w:t>
      </w:r>
    </w:p>
    <w:p>
      <w:pPr>
        <w:pStyle w:val="ListBullet"/>
      </w:pPr>
      <w:r>
        <w:t>libmagic1 — MIME-type validation via python-magic.</w:t>
      </w:r>
    </w:p>
    <w:p>
      <w:pPr>
        <w:pStyle w:val="ListBullet"/>
      </w:pPr>
      <w:r>
        <w:t>libpq-dev, gcc — compiling the psycopg2 PostgreSQL driver.</w:t>
      </w:r>
    </w:p>
    <w:p>
      <w:pPr>
        <w:pStyle w:val="ListBullet"/>
      </w:pPr>
      <w:r>
        <w:t>tesseract-ocr with English and French language packs — OCR for classification.</w:t>
      </w:r>
    </w:p>
    <w:p>
      <w:pPr>
        <w:pStyle w:val="ListBullet"/>
      </w:pPr>
      <w:r>
        <w:t>libgl1, libglib2.0-0 — OpenCV runtime libraries used by the image-preprocessing pipeline.</w:t>
      </w:r>
    </w:p>
    <w:p>
      <w:r>
        <w:t>Python dependencies are pinned in backend/requirements.txt and installed before the source tree is copied, enabling Docker-layer caching across iterative rebuilds.</w:t>
      </w:r>
    </w:p>
    <w:p>
      <w:pPr>
        <w:pStyle w:val="Heading2"/>
      </w:pPr>
      <w:r>
        <w:rPr>
          <w:rFonts w:ascii="Times New Roman" w:hAnsi="Times New Roman"/>
          <w:b/>
          <w:color w:val="1A365D"/>
          <w:sz w:val="28"/>
        </w:rPr>
        <w:t>10.4 LayoutLM Weight Caching</w:t>
      </w:r>
    </w:p>
    <w:p>
      <w:r>
        <w:t>LayoutLMv2 weights (approximately 1.4 GB) are not committed to the repository. Instead, they are downloaded on first use from HuggingFace and persisted in a named Docker volume (huggingface_cache:/root/.cache/huggingface). Subsequent rebuilds of the worker image reuse the cached weights without re-downloading, so only the very first extraction request pays the download cost.</w:t>
      </w:r>
    </w:p>
    <w:p>
      <w:pPr>
        <w:pStyle w:val="Heading2"/>
      </w:pPr>
      <w:r>
        <w:rPr>
          <w:rFonts w:ascii="Times New Roman" w:hAnsi="Times New Roman"/>
          <w:b/>
          <w:color w:val="1A365D"/>
          <w:sz w:val="28"/>
        </w:rPr>
        <w:t>10.5 Development vs. Production</w:t>
      </w:r>
    </w:p>
    <w:p>
      <w:r>
        <w:t>docker-compose.yml targets local development — it enables DEBUG, exposes MinIO management ports publicly, and runs the Django development server rather than Gunicorn. docker-compose.prod.yml (not covered in detail here) flips DEBUG off, adds HSTS headers, runs Gunicorn workers behind Nginx, and hides MinIO management ports behind authentication.</w:t>
      </w:r>
    </w:p>
    <w:p>
      <w:r>
        <w:br w:type="page"/>
      </w:r>
    </w:p>
    <w:p>
      <w:pPr>
        <w:pStyle w:val="Heading1"/>
      </w:pPr>
      <w:r>
        <w:rPr>
          <w:rFonts w:ascii="Times New Roman" w:hAnsi="Times New Roman"/>
          <w:b/>
          <w:color w:val="1A365D"/>
          <w:sz w:val="32"/>
        </w:rPr>
        <w:t>11. Limitations &amp; Future Work</w:t>
      </w:r>
    </w:p>
    <w:p>
      <w:pPr>
        <w:pStyle w:val="Heading2"/>
      </w:pPr>
      <w:r>
        <w:rPr>
          <w:rFonts w:ascii="Times New Roman" w:hAnsi="Times New Roman"/>
          <w:b/>
          <w:color w:val="1A365D"/>
          <w:sz w:val="28"/>
        </w:rPr>
        <w:t>11.1 Current Limitations</w:t>
      </w:r>
    </w:p>
    <w:p>
      <w:pPr>
        <w:pStyle w:val="ListBullet"/>
      </w:pPr>
      <w:r>
        <w:t>Training-data scale. The classifier was trained on approximately 200 samples per class from the vaclavpechtor/rvl_cdip-small-200 subset. More training data would likely yield small additional accuracy gains (perhaps one or two percentage points) but would require a proportionally longer OCR step.</w:t>
      </w:r>
    </w:p>
    <w:p>
      <w:pPr>
        <w:pStyle w:val="ListBullet"/>
      </w:pPr>
      <w:r>
        <w:t>OCR quality bottleneck. Both classification and extraction degrade when OCR output is poor. Heavily rotated, low-resolution, or heavily noised scans produce unreliable text, limiting what any downstream pipeline can recover.</w:t>
      </w:r>
    </w:p>
    <w:p>
      <w:pPr>
        <w:pStyle w:val="ListBullet"/>
      </w:pPr>
      <w:r>
        <w:t>Extraction metrics are qualitative. We evaluated LayoutLM extraction on unseen invoices by inspection rather than with a hand-labelled benchmark. Precision and recall numbers are therefore not formally reported.</w:t>
      </w:r>
    </w:p>
    <w:p>
      <w:pPr>
        <w:pStyle w:val="ListBullet"/>
      </w:pPr>
      <w:r>
        <w:t>Invoice format diversity. LayoutLM was fine-tuned on English-language invoices and generalises best within that distribution. Non-English invoices, heavily decorative formats, or handwritten receipts will produce lower-quality extraction.</w:t>
      </w:r>
    </w:p>
    <w:p>
      <w:pPr>
        <w:pStyle w:val="ListBullet"/>
      </w:pPr>
      <w:r>
        <w:t>LayoutLM startup cost. The first extraction request after a worker restart pays a one-time weight-loading cost that can add several seconds of latency. Subsequent requests are much faster, but the cold-start is a visible user-experience issue.</w:t>
      </w:r>
    </w:p>
    <w:p>
      <w:pPr>
        <w:pStyle w:val="Heading2"/>
      </w:pPr>
      <w:r>
        <w:rPr>
          <w:rFonts w:ascii="Times New Roman" w:hAnsi="Times New Roman"/>
          <w:b/>
          <w:color w:val="1A365D"/>
          <w:sz w:val="28"/>
        </w:rPr>
        <w:t>11.2 Future Work</w:t>
      </w:r>
    </w:p>
    <w:p>
      <w:pPr>
        <w:pStyle w:val="ListBullet"/>
      </w:pPr>
      <w:r>
        <w:t>Build a hand-labelled extraction benchmark of 20-50 real invoices across multiple layouts, and report per-field precision, recall, and F1.</w:t>
      </w:r>
    </w:p>
    <w:p>
      <w:pPr>
        <w:pStyle w:val="ListBullet"/>
      </w:pPr>
      <w:r>
        <w:t>Scale the classifier training data to the full RVL-CDIP dataset (approximately 25,000 samples per class) using GPU-accelerated OCR (EasyOCR or PaddleOCR) to make the OCR step tractable at that scale. Re-evaluate the ensemble on the larger split and report updated ablation numbers.</w:t>
      </w:r>
    </w:p>
    <w:p>
      <w:pPr>
        <w:pStyle w:val="ListBullet"/>
      </w:pPr>
      <w:r>
        <w:t>Add image preprocessing to the classification pipeline. At present, preprocessing (LAB-L, CLAHE, background normalisation) is applied only to invoices before extraction. Applying it to all documents before OCR would improve OCR quality across the board and likely lift classification accuracy as well.</w:t>
      </w:r>
    </w:p>
    <w:p>
      <w:pPr>
        <w:pStyle w:val="ListBullet"/>
      </w:pPr>
      <w:r>
        <w:t>Fine-tune LayoutLM on a project-specific invoice dataset to reduce generalisation gaps on non-English or unusually-formatted invoices.</w:t>
      </w:r>
    </w:p>
    <w:p>
      <w:pPr>
        <w:pStyle w:val="ListBullet"/>
      </w:pPr>
      <w:r>
        <w:t>Implement extraction confidence calibration. LayoutLM returns a raw confidence score per answer; post-hoc calibration against the benchmark would let the UI display reliability levels that users can trust.</w:t>
      </w:r>
    </w:p>
    <w:p>
      <w:pPr>
        <w:pStyle w:val="ListBullet"/>
      </w:pPr>
      <w:r>
        <w:t>Move to GPU-enabled worker containers for LayoutLM inference. On CPU, inference per field is noticeable; a consumer GPU would reduce per-invoice extraction latency from seconds to under a second.</w:t>
      </w:r>
    </w:p>
    <w:p>
      <w:r>
        <w:br w:type="page"/>
      </w:r>
    </w:p>
    <w:p>
      <w:pPr>
        <w:pStyle w:val="Heading1"/>
      </w:pPr>
      <w:r>
        <w:rPr>
          <w:rFonts w:ascii="Times New Roman" w:hAnsi="Times New Roman"/>
          <w:b/>
          <w:color w:val="1A365D"/>
          <w:sz w:val="32"/>
        </w:rPr>
        <w:t>12. Conclusion</w:t>
      </w:r>
    </w:p>
    <w:p>
      <w:r>
        <w:t>DocLens demonstrates that the two requirements of the assignment brief — four-category document classification and structured invoice extraction — can be met in full without any generative AI component. The classifier achieves 93.8 percent validation accuracy on held-out data using nothing more exotic than TF-IDF, handcrafted visual features, and a soft-voting ensemble of classical models. The extractor recovers six structured fields from real invoices using LayoutLMv2, a discriminative span-selection transformer that reads document text and spatial layout simultaneously.</w:t>
      </w:r>
    </w:p>
    <w:p>
      <w:r>
        <w:t>Beyond the ML pipeline, DocLens is a complete product: a React frontend with authentication and a workspace dashboard; a Django REST API with asynchronous task processing, JWT auth, and presigned object storage; containerised deployment with one-command setup. Anyone with Docker installed can bring the entire system up, register an account, upload a document, and watch it being classified and extracted in real time.</w:t>
      </w:r>
    </w:p>
    <w:p>
      <w:r>
        <w:t>The system is submission-ready. It is also extensible — the four alternative extraction approaches retained in the repository show both the engineering exploration behind the final design and the clean extension points available for future iterations.</w:t>
      </w:r>
    </w:p>
    <w:p>
      <w:r>
        <w:br w:type="page"/>
      </w:r>
    </w:p>
    <w:p>
      <w:pPr>
        <w:pStyle w:val="Heading1"/>
      </w:pPr>
      <w:r>
        <w:rPr>
          <w:rFonts w:ascii="Times New Roman" w:hAnsi="Times New Roman"/>
          <w:b/>
          <w:color w:val="1A365D"/>
          <w:sz w:val="32"/>
        </w:rPr>
        <w:t>Appendix A — API Reference (Payloads)</w:t>
      </w:r>
    </w:p>
    <w:p>
      <w:pPr>
        <w:pStyle w:val="Heading2"/>
      </w:pPr>
      <w:r>
        <w:rPr>
          <w:rFonts w:ascii="Times New Roman" w:hAnsi="Times New Roman"/>
          <w:b/>
          <w:color w:val="1A365D"/>
          <w:sz w:val="28"/>
        </w:rPr>
        <w:t>A.1 Upload a document</w:t>
      </w:r>
    </w:p>
    <w:p>
      <w:pPr>
        <w:ind w:left="283"/>
        <w:shd w:fill="F4F4F4"/>
      </w:pPr>
      <w:r>
        <w:rPr>
          <w:rFonts w:ascii="Consolas" w:hAnsi="Consolas"/>
          <w:sz w:val="20"/>
        </w:rPr>
        <w:t>POST /api/documents/</w:t>
        <w:br/>
        <w:t>Authorization: Bearer &lt;access_token&gt;</w:t>
        <w:br/>
        <w:t>Content-Type: multipart/form-data</w:t>
        <w:br/>
        <w:br/>
        <w:t>file: &lt;binary&gt;</w:t>
        <w:br/>
        <w:br/>
        <w:t>→ 201 Created</w:t>
        <w:br/>
        <w:t>{</w:t>
        <w:br/>
        <w:t xml:space="preserve">  "data": {</w:t>
        <w:br/>
        <w:t xml:space="preserve">    "id": "uuid",</w:t>
        <w:br/>
        <w:t xml:space="preserve">    "filename": "invoice_042.pdf",</w:t>
        <w:br/>
        <w:t xml:space="preserve">    "content_type": "application/pdf",</w:t>
        <w:br/>
        <w:t xml:space="preserve">    "file_size": 284672,</w:t>
        <w:br/>
        <w:t xml:space="preserve">    "status": "pending",</w:t>
        <w:br/>
        <w:t xml:space="preserve">    "created_at": "2026-04-19T10:00:00Z",</w:t>
        <w:br/>
        <w:t xml:space="preserve">    "classification": null,</w:t>
        <w:br/>
        <w:t xml:space="preserve">    "invoice_data": null</w:t>
        <w:br/>
        <w:t xml:space="preserve">  }</w:t>
        <w:br/>
        <w:t>}</w:t>
      </w:r>
    </w:p>
    <w:p>
      <w:pPr>
        <w:pStyle w:val="Heading2"/>
      </w:pPr>
      <w:r>
        <w:rPr>
          <w:rFonts w:ascii="Times New Roman" w:hAnsi="Times New Roman"/>
          <w:b/>
          <w:color w:val="1A365D"/>
          <w:sz w:val="28"/>
        </w:rPr>
        <w:t>A.2 Get a classified document</w:t>
      </w:r>
    </w:p>
    <w:p>
      <w:pPr>
        <w:ind w:left="283"/>
        <w:shd w:fill="F4F4F4"/>
      </w:pPr>
      <w:r>
        <w:rPr>
          <w:rFonts w:ascii="Consolas" w:hAnsi="Consolas"/>
          <w:sz w:val="20"/>
        </w:rPr>
        <w:t>GET /api/documents/{id}/</w:t>
        <w:br/>
        <w:t>Authorization: Bearer &lt;access_token&gt;</w:t>
        <w:br/>
        <w:br/>
        <w:t>→ 200 OK</w:t>
        <w:br/>
        <w:t>{</w:t>
        <w:br/>
        <w:t xml:space="preserve">  "data": {</w:t>
        <w:br/>
        <w:t xml:space="preserve">    "id": "uuid",</w:t>
        <w:br/>
        <w:t xml:space="preserve">    "filename": "invoice_042.pdf",</w:t>
        <w:br/>
        <w:t xml:space="preserve">    "status": "done",</w:t>
        <w:br/>
        <w:t xml:space="preserve">    "classification": {</w:t>
        <w:br/>
        <w:t xml:space="preserve">      "predicted_label": "invoice",</w:t>
        <w:br/>
        <w:t xml:space="preserve">      "confidence": 0.971,</w:t>
        <w:br/>
        <w:t xml:space="preserve">      "all_scores": {</w:t>
        <w:br/>
        <w:t xml:space="preserve">        "email": 0.010, "invoice": 0.971,</w:t>
        <w:br/>
        <w:t xml:space="preserve">        "resume": 0.006, "scientific_publication": 0.013</w:t>
        <w:br/>
        <w:t xml:space="preserve">      },</w:t>
        <w:br/>
        <w:t xml:space="preserve">      "model_version": "D:_Bigrams750_+_img_+_meta_/_Ensemble"</w:t>
        <w:br/>
        <w:t xml:space="preserve">    },</w:t>
        <w:br/>
        <w:t xml:space="preserve">    "invoice_data": {</w:t>
        <w:br/>
        <w:t xml:space="preserve">      "invoice_number": "INV-2025-00847",</w:t>
        <w:br/>
        <w:t xml:space="preserve">      "invoice_date": "2025-01-15",</w:t>
        <w:br/>
        <w:t xml:space="preserve">      "due_date": "2025-02-14",</w:t>
        <w:br/>
        <w:t xml:space="preserve">      "issuer_name": "Example Ltd.",</w:t>
        <w:br/>
        <w:t xml:space="preserve">      "recipient_name": "Acme GmbH",</w:t>
        <w:br/>
        <w:t xml:space="preserve">      "total_amount": "12480.00",</w:t>
        <w:br/>
        <w:t xml:space="preserve">      "currency": "EUR"</w:t>
        <w:br/>
        <w:t xml:space="preserve">    }</w:t>
        <w:br/>
        <w:t xml:space="preserve">  }</w:t>
        <w:br/>
        <w:t>}</w:t>
      </w:r>
    </w:p>
    <w:p>
      <w:pPr>
        <w:pStyle w:val="Heading2"/>
      </w:pPr>
      <w:r>
        <w:rPr>
          <w:rFonts w:ascii="Times New Roman" w:hAnsi="Times New Roman"/>
          <w:b/>
          <w:color w:val="1A365D"/>
          <w:sz w:val="28"/>
        </w:rPr>
        <w:t>A.3 Workspace summary</w:t>
      </w:r>
    </w:p>
    <w:p>
      <w:pPr>
        <w:ind w:left="283"/>
        <w:shd w:fill="F4F4F4"/>
      </w:pPr>
      <w:r>
        <w:rPr>
          <w:rFonts w:ascii="Consolas" w:hAnsi="Consolas"/>
          <w:sz w:val="20"/>
        </w:rPr>
        <w:t>GET /api/workspace/summary/</w:t>
        <w:br/>
        <w:t>Authorization: Bearer &lt;access_token&gt;</w:t>
        <w:br/>
        <w:br/>
        <w:t>→ 200 OK</w:t>
        <w:br/>
        <w:t>{</w:t>
        <w:br/>
        <w:t xml:space="preserve">  "data": {</w:t>
        <w:br/>
        <w:t xml:space="preserve">    "totals": {"uploads": 12, "processed": 11, "errors": 1, "invoices": 4},</w:t>
        <w:br/>
        <w:t xml:space="preserve">    "dominant_label": {"value": "invoice", "count": 4},</w:t>
        <w:br/>
        <w:t xml:space="preserve">    "recent_invoice_total": "49280.00",</w:t>
        <w:br/>
        <w:t xml:space="preserve">    "recent_activity": [</w:t>
        <w:br/>
        <w:t xml:space="preserve">      {"id": "uuid", "filename": "...", "status": "done",</w:t>
        <w:br/>
        <w:t xml:space="preserve">       "label": "invoice", "confidence": 0.971, "created_at": "..."}</w:t>
        <w:br/>
        <w:t xml:space="preserve">    ]</w:t>
        <w:br/>
        <w:t xml:space="preserve">  }</w:t>
        <w:br/>
        <w:t>}</w:t>
      </w:r>
    </w:p>
    <w:p>
      <w:r>
        <w:br w:type="page"/>
      </w:r>
    </w:p>
    <w:p>
      <w:pPr>
        <w:pStyle w:val="Heading1"/>
      </w:pPr>
      <w:r>
        <w:rPr>
          <w:rFonts w:ascii="Times New Roman" w:hAnsi="Times New Roman"/>
          <w:b/>
          <w:color w:val="1A365D"/>
          <w:sz w:val="32"/>
        </w:rPr>
        <w:t>Appendix B — Key File Inventory</w:t>
      </w:r>
    </w:p>
    <w:tbl>
      <w:tblPr>
        <w:tblW w:type="auto" w:w="0"/>
        <w:jc w:val="center"/>
        <w:tblLayout w:type="fixed"/>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4703"/>
        <w:gridCol w:w="4703"/>
      </w:tblGrid>
      <w:tr>
        <w:tc>
          <w:tcPr>
            <w:tcW w:type="dxa" w:w="3969"/>
            <w:shd w:fill="DCE4EC"/>
          </w:tcPr>
          <w:p>
            <w:r/>
            <w:r>
              <w:rPr>
                <w:rFonts w:ascii="Times New Roman" w:hAnsi="Times New Roman"/>
                <w:b/>
                <w:sz w:val="22"/>
              </w:rPr>
              <w:t>Path</w:t>
            </w:r>
          </w:p>
        </w:tc>
        <w:tc>
          <w:tcPr>
            <w:tcW w:type="dxa" w:w="5102"/>
            <w:shd w:fill="DCE4EC"/>
          </w:tcPr>
          <w:p>
            <w:r/>
            <w:r>
              <w:rPr>
                <w:rFonts w:ascii="Times New Roman" w:hAnsi="Times New Roman"/>
                <w:b/>
                <w:sz w:val="22"/>
              </w:rPr>
              <w:t>Purpose</w:t>
            </w:r>
          </w:p>
        </w:tc>
      </w:tr>
      <w:tr>
        <w:tc>
          <w:tcPr>
            <w:tcW w:type="dxa" w:w="3969"/>
          </w:tcPr>
          <w:p>
            <w:r/>
            <w:r>
              <w:rPr>
                <w:rFonts w:ascii="Times New Roman" w:hAnsi="Times New Roman"/>
                <w:sz w:val="22"/>
              </w:rPr>
              <w:t>backend/ml/classifier.py</w:t>
            </w:r>
          </w:p>
        </w:tc>
        <w:tc>
          <w:tcPr>
            <w:tcW w:type="dxa" w:w="5102"/>
          </w:tcPr>
          <w:p>
            <w:r/>
            <w:r>
              <w:rPr>
                <w:rFonts w:ascii="Times New Roman" w:hAnsi="Times New Roman"/>
                <w:sz w:val="22"/>
              </w:rPr>
              <w:t>Runtime classifier — OCR + feature extraction + ensemble prediction.</w:t>
            </w:r>
          </w:p>
        </w:tc>
      </w:tr>
      <w:tr>
        <w:tc>
          <w:tcPr>
            <w:tcW w:type="dxa" w:w="3969"/>
          </w:tcPr>
          <w:p>
            <w:r/>
            <w:r>
              <w:rPr>
                <w:rFonts w:ascii="Times New Roman" w:hAnsi="Times New Roman"/>
                <w:sz w:val="22"/>
              </w:rPr>
              <w:t>backend/ml/extractor.py</w:t>
            </w:r>
          </w:p>
        </w:tc>
        <w:tc>
          <w:tcPr>
            <w:tcW w:type="dxa" w:w="5102"/>
          </w:tcPr>
          <w:p>
            <w:r/>
            <w:r>
              <w:rPr>
                <w:rFonts w:ascii="Times New Roman" w:hAnsi="Times New Roman"/>
                <w:sz w:val="22"/>
              </w:rPr>
              <w:t>Runtime extractor — preprocessing + LayoutLM document-QA + post-processing.</w:t>
            </w:r>
          </w:p>
        </w:tc>
      </w:tr>
      <w:tr>
        <w:tc>
          <w:tcPr>
            <w:tcW w:type="dxa" w:w="3969"/>
          </w:tcPr>
          <w:p>
            <w:r/>
            <w:r>
              <w:rPr>
                <w:rFonts w:ascii="Times New Roman" w:hAnsi="Times New Roman"/>
                <w:sz w:val="22"/>
              </w:rPr>
              <w:t>backend/ml/models/improved_classifier.pkl</w:t>
            </w:r>
          </w:p>
        </w:tc>
        <w:tc>
          <w:tcPr>
            <w:tcW w:type="dxa" w:w="5102"/>
          </w:tcPr>
          <w:p>
            <w:r/>
            <w:r>
              <w:rPr>
                <w:rFonts w:ascii="Times New Roman" w:hAnsi="Times New Roman"/>
                <w:sz w:val="22"/>
              </w:rPr>
              <w:t>Serialised VotingClassifier ensemble (deployed model, ~5.8 MB).</w:t>
            </w:r>
          </w:p>
        </w:tc>
      </w:tr>
      <w:tr>
        <w:tc>
          <w:tcPr>
            <w:tcW w:type="dxa" w:w="3969"/>
          </w:tcPr>
          <w:p>
            <w:r/>
            <w:r>
              <w:rPr>
                <w:rFonts w:ascii="Times New Roman" w:hAnsi="Times New Roman"/>
                <w:sz w:val="22"/>
              </w:rPr>
              <w:t>backend/apps/documents/models.py</w:t>
            </w:r>
          </w:p>
        </w:tc>
        <w:tc>
          <w:tcPr>
            <w:tcW w:type="dxa" w:w="5102"/>
          </w:tcPr>
          <w:p>
            <w:r/>
            <w:r>
              <w:rPr>
                <w:rFonts w:ascii="Times New Roman" w:hAnsi="Times New Roman"/>
                <w:sz w:val="22"/>
              </w:rPr>
              <w:t>Document, ClassificationResult, InvoiceExtraction ORM models.</w:t>
            </w:r>
          </w:p>
        </w:tc>
      </w:tr>
      <w:tr>
        <w:tc>
          <w:tcPr>
            <w:tcW w:type="dxa" w:w="3969"/>
          </w:tcPr>
          <w:p>
            <w:r/>
            <w:r>
              <w:rPr>
                <w:rFonts w:ascii="Times New Roman" w:hAnsi="Times New Roman"/>
                <w:sz w:val="22"/>
              </w:rPr>
              <w:t>backend/apps/documents/views.py</w:t>
            </w:r>
          </w:p>
        </w:tc>
        <w:tc>
          <w:tcPr>
            <w:tcW w:type="dxa" w:w="5102"/>
          </w:tcPr>
          <w:p>
            <w:r/>
            <w:r>
              <w:rPr>
                <w:rFonts w:ascii="Times New Roman" w:hAnsi="Times New Roman"/>
                <w:sz w:val="22"/>
              </w:rPr>
              <w:t>All document REST endpoints + WorkspaceSummaryView.</w:t>
            </w:r>
          </w:p>
        </w:tc>
      </w:tr>
      <w:tr>
        <w:tc>
          <w:tcPr>
            <w:tcW w:type="dxa" w:w="3969"/>
          </w:tcPr>
          <w:p>
            <w:r/>
            <w:r>
              <w:rPr>
                <w:rFonts w:ascii="Times New Roman" w:hAnsi="Times New Roman"/>
                <w:sz w:val="22"/>
              </w:rPr>
              <w:t>backend/apps/documents/tasks.py</w:t>
            </w:r>
          </w:p>
        </w:tc>
        <w:tc>
          <w:tcPr>
            <w:tcW w:type="dxa" w:w="5102"/>
          </w:tcPr>
          <w:p>
            <w:r/>
            <w:r>
              <w:rPr>
                <w:rFonts w:ascii="Times New Roman" w:hAnsi="Times New Roman"/>
                <w:sz w:val="22"/>
              </w:rPr>
              <w:t>run_classification and run_extraction async tasks.</w:t>
            </w:r>
          </w:p>
        </w:tc>
      </w:tr>
      <w:tr>
        <w:tc>
          <w:tcPr>
            <w:tcW w:type="dxa" w:w="3969"/>
          </w:tcPr>
          <w:p>
            <w:r/>
            <w:r>
              <w:rPr>
                <w:rFonts w:ascii="Times New Roman" w:hAnsi="Times New Roman"/>
                <w:sz w:val="22"/>
              </w:rPr>
              <w:t>backend/apps/users/</w:t>
            </w:r>
          </w:p>
        </w:tc>
        <w:tc>
          <w:tcPr>
            <w:tcW w:type="dxa" w:w="5102"/>
          </w:tcPr>
          <w:p>
            <w:r/>
            <w:r>
              <w:rPr>
                <w:rFonts w:ascii="Times New Roman" w:hAnsi="Times New Roman"/>
                <w:sz w:val="22"/>
              </w:rPr>
              <w:t>Authentication + profile endpoints.</w:t>
            </w:r>
          </w:p>
        </w:tc>
      </w:tr>
      <w:tr>
        <w:tc>
          <w:tcPr>
            <w:tcW w:type="dxa" w:w="3969"/>
          </w:tcPr>
          <w:p>
            <w:r/>
            <w:r>
              <w:rPr>
                <w:rFonts w:ascii="Times New Roman" w:hAnsi="Times New Roman"/>
                <w:sz w:val="22"/>
              </w:rPr>
              <w:t>ai/classification/data_download/download_rvl_cdip.py</w:t>
            </w:r>
          </w:p>
        </w:tc>
        <w:tc>
          <w:tcPr>
            <w:tcW w:type="dxa" w:w="5102"/>
          </w:tcPr>
          <w:p>
            <w:r/>
            <w:r>
              <w:rPr>
                <w:rFonts w:ascii="Times New Roman" w:hAnsi="Times New Roman"/>
                <w:sz w:val="22"/>
              </w:rPr>
              <w:t>Dataset acquisition script (vaclavpechtor/rvl_cdip-small-200).</w:t>
            </w:r>
          </w:p>
        </w:tc>
      </w:tr>
      <w:tr>
        <w:tc>
          <w:tcPr>
            <w:tcW w:type="dxa" w:w="3969"/>
          </w:tcPr>
          <w:p>
            <w:r/>
            <w:r>
              <w:rPr>
                <w:rFonts w:ascii="Times New Roman" w:hAnsi="Times New Roman"/>
                <w:sz w:val="22"/>
              </w:rPr>
              <w:t>ai/classification/model_training/1_baseline_comparison.py</w:t>
            </w:r>
          </w:p>
        </w:tc>
        <w:tc>
          <w:tcPr>
            <w:tcW w:type="dxa" w:w="5102"/>
          </w:tcPr>
          <w:p>
            <w:r/>
            <w:r>
              <w:rPr>
                <w:rFonts w:ascii="Times New Roman" w:hAnsi="Times New Roman"/>
                <w:sz w:val="22"/>
              </w:rPr>
              <w:t>Baseline: five classifiers on 533-dim hybrid features.</w:t>
            </w:r>
          </w:p>
        </w:tc>
      </w:tr>
      <w:tr>
        <w:tc>
          <w:tcPr>
            <w:tcW w:type="dxa" w:w="3969"/>
          </w:tcPr>
          <w:p>
            <w:r/>
            <w:r>
              <w:rPr>
                <w:rFonts w:ascii="Times New Roman" w:hAnsi="Times New Roman"/>
                <w:sz w:val="22"/>
              </w:rPr>
              <w:t>ai/classification/model_training/2_ablation_study.py</w:t>
            </w:r>
          </w:p>
        </w:tc>
        <w:tc>
          <w:tcPr>
            <w:tcW w:type="dxa" w:w="5102"/>
          </w:tcPr>
          <w:p>
            <w:r/>
            <w:r>
              <w:rPr>
                <w:rFonts w:ascii="Times New Roman" w:hAnsi="Times New Roman"/>
                <w:sz w:val="22"/>
              </w:rPr>
              <w:t>Ablation: text-only vs. image-only vs. hybrid.</w:t>
            </w:r>
          </w:p>
        </w:tc>
      </w:tr>
      <w:tr>
        <w:tc>
          <w:tcPr>
            <w:tcW w:type="dxa" w:w="3969"/>
          </w:tcPr>
          <w:p>
            <w:r/>
            <w:r>
              <w:rPr>
                <w:rFonts w:ascii="Times New Roman" w:hAnsi="Times New Roman"/>
                <w:sz w:val="22"/>
              </w:rPr>
              <w:t>ai/classification/model_training/3_hyperparameter_tuning.py</w:t>
            </w:r>
          </w:p>
        </w:tc>
        <w:tc>
          <w:tcPr>
            <w:tcW w:type="dxa" w:w="5102"/>
          </w:tcPr>
          <w:p>
            <w:r/>
            <w:r>
              <w:rPr>
                <w:rFonts w:ascii="Times New Roman" w:hAnsi="Times New Roman"/>
                <w:sz w:val="22"/>
              </w:rPr>
              <w:t>Hyperparameter sweep over TF-IDF and SVM parameters.</w:t>
            </w:r>
          </w:p>
        </w:tc>
      </w:tr>
      <w:tr>
        <w:tc>
          <w:tcPr>
            <w:tcW w:type="dxa" w:w="3969"/>
          </w:tcPr>
          <w:p>
            <w:r/>
            <w:r>
              <w:rPr>
                <w:rFonts w:ascii="Times New Roman" w:hAnsi="Times New Roman"/>
                <w:sz w:val="22"/>
              </w:rPr>
              <w:t>ai/classification/model_training/4_improved_ensemble.py</w:t>
            </w:r>
          </w:p>
        </w:tc>
        <w:tc>
          <w:tcPr>
            <w:tcW w:type="dxa" w:w="5102"/>
          </w:tcPr>
          <w:p>
            <w:r/>
            <w:r>
              <w:rPr>
                <w:rFonts w:ascii="Times New Roman" w:hAnsi="Times New Roman"/>
                <w:sz w:val="22"/>
              </w:rPr>
              <w:t>Deployed-model training — Config D ensemble.</w:t>
            </w:r>
          </w:p>
        </w:tc>
      </w:tr>
      <w:tr>
        <w:tc>
          <w:tcPr>
            <w:tcW w:type="dxa" w:w="3969"/>
          </w:tcPr>
          <w:p>
            <w:r/>
            <w:r>
              <w:rPr>
                <w:rFonts w:ascii="Times New Roman" w:hAnsi="Times New Roman"/>
                <w:sz w:val="22"/>
              </w:rPr>
              <w:t>ai/extraction/layoutlm/extractor.py</w:t>
            </w:r>
          </w:p>
        </w:tc>
        <w:tc>
          <w:tcPr>
            <w:tcW w:type="dxa" w:w="5102"/>
          </w:tcPr>
          <w:p>
            <w:r/>
            <w:r>
              <w:rPr>
                <w:rFonts w:ascii="Times New Roman" w:hAnsi="Times New Roman"/>
                <w:sz w:val="22"/>
              </w:rPr>
              <w:t>LayoutLMv2 document-QA wrapper, field question bank.</w:t>
            </w:r>
          </w:p>
        </w:tc>
      </w:tr>
      <w:tr>
        <w:tc>
          <w:tcPr>
            <w:tcW w:type="dxa" w:w="3969"/>
          </w:tcPr>
          <w:p>
            <w:r/>
            <w:r>
              <w:rPr>
                <w:rFonts w:ascii="Times New Roman" w:hAnsi="Times New Roman"/>
                <w:sz w:val="22"/>
              </w:rPr>
              <w:t>ai/extraction/preprocessing_invoice/</w:t>
            </w:r>
          </w:p>
        </w:tc>
        <w:tc>
          <w:tcPr>
            <w:tcW w:type="dxa" w:w="5102"/>
          </w:tcPr>
          <w:p>
            <w:r/>
            <w:r>
              <w:rPr>
                <w:rFonts w:ascii="Times New Roman" w:hAnsi="Times New Roman"/>
                <w:sz w:val="22"/>
              </w:rPr>
              <w:t>Image preprocessing pipeline (LAB-L, CLAHE, background normalisation).</w:t>
            </w:r>
          </w:p>
        </w:tc>
      </w:tr>
      <w:tr>
        <w:tc>
          <w:tcPr>
            <w:tcW w:type="dxa" w:w="3969"/>
          </w:tcPr>
          <w:p>
            <w:r/>
            <w:r>
              <w:rPr>
                <w:rFonts w:ascii="Times New Roman" w:hAnsi="Times New Roman"/>
                <w:sz w:val="22"/>
              </w:rPr>
              <w:t>ai/extraction/purely_ocr/</w:t>
            </w:r>
          </w:p>
        </w:tc>
        <w:tc>
          <w:tcPr>
            <w:tcW w:type="dxa" w:w="5102"/>
          </w:tcPr>
          <w:p>
            <w:r/>
            <w:r>
              <w:rPr>
                <w:rFonts w:ascii="Times New Roman" w:hAnsi="Times New Roman"/>
                <w:sz w:val="22"/>
              </w:rPr>
              <w:t>OCR+regex fallback (research artefact).</w:t>
            </w:r>
          </w:p>
        </w:tc>
      </w:tr>
      <w:tr>
        <w:tc>
          <w:tcPr>
            <w:tcW w:type="dxa" w:w="3969"/>
          </w:tcPr>
          <w:p>
            <w:r/>
            <w:r>
              <w:rPr>
                <w:rFonts w:ascii="Times New Roman" w:hAnsi="Times New Roman"/>
                <w:sz w:val="22"/>
              </w:rPr>
              <w:t>ai/extraction/precise_yolo/</w:t>
            </w:r>
          </w:p>
        </w:tc>
        <w:tc>
          <w:tcPr>
            <w:tcW w:type="dxa" w:w="5102"/>
          </w:tcPr>
          <w:p>
            <w:r/>
            <w:r>
              <w:rPr>
                <w:rFonts w:ascii="Times New Roman" w:hAnsi="Times New Roman"/>
                <w:sz w:val="22"/>
              </w:rPr>
              <w:t>Field-level YOLO detection (research artefact).</w:t>
            </w:r>
          </w:p>
        </w:tc>
      </w:tr>
      <w:tr>
        <w:tc>
          <w:tcPr>
            <w:tcW w:type="dxa" w:w="3969"/>
          </w:tcPr>
          <w:p>
            <w:r/>
            <w:r>
              <w:rPr>
                <w:rFonts w:ascii="Times New Roman" w:hAnsi="Times New Roman"/>
                <w:sz w:val="22"/>
              </w:rPr>
              <w:t>ai/extraction/ocr_after_yolo_segmentation/</w:t>
            </w:r>
          </w:p>
        </w:tc>
        <w:tc>
          <w:tcPr>
            <w:tcW w:type="dxa" w:w="5102"/>
          </w:tcPr>
          <w:p>
            <w:r/>
            <w:r>
              <w:rPr>
                <w:rFonts w:ascii="Times New Roman" w:hAnsi="Times New Roman"/>
                <w:sz w:val="22"/>
              </w:rPr>
              <w:t>Paragraph/table YOLO + regex (research artefact).</w:t>
            </w:r>
          </w:p>
        </w:tc>
      </w:tr>
      <w:tr>
        <w:tc>
          <w:tcPr>
            <w:tcW w:type="dxa" w:w="3969"/>
          </w:tcPr>
          <w:p>
            <w:r/>
            <w:r>
              <w:rPr>
                <w:rFonts w:ascii="Times New Roman" w:hAnsi="Times New Roman"/>
                <w:sz w:val="22"/>
              </w:rPr>
              <w:t>ai/extraction/donut/</w:t>
            </w:r>
          </w:p>
        </w:tc>
        <w:tc>
          <w:tcPr>
            <w:tcW w:type="dxa" w:w="5102"/>
          </w:tcPr>
          <w:p>
            <w:r/>
            <w:r>
              <w:rPr>
                <w:rFonts w:ascii="Times New Roman" w:hAnsi="Times New Roman"/>
                <w:sz w:val="22"/>
              </w:rPr>
              <w:t>Donut end-to-end evaluation notebook (not wired in).</w:t>
            </w:r>
          </w:p>
        </w:tc>
      </w:tr>
      <w:tr>
        <w:tc>
          <w:tcPr>
            <w:tcW w:type="dxa" w:w="3969"/>
          </w:tcPr>
          <w:p>
            <w:r/>
            <w:r>
              <w:rPr>
                <w:rFonts w:ascii="Times New Roman" w:hAnsi="Times New Roman"/>
                <w:sz w:val="22"/>
              </w:rPr>
              <w:t>frontend/src/pages/</w:t>
            </w:r>
          </w:p>
        </w:tc>
        <w:tc>
          <w:tcPr>
            <w:tcW w:type="dxa" w:w="5102"/>
          </w:tcPr>
          <w:p>
            <w:r/>
            <w:r>
              <w:rPr>
                <w:rFonts w:ascii="Times New Roman" w:hAnsi="Times New Roman"/>
                <w:sz w:val="22"/>
              </w:rPr>
              <w:t>LandingPage, WorkspacePage.</w:t>
            </w:r>
          </w:p>
        </w:tc>
      </w:tr>
      <w:tr>
        <w:tc>
          <w:tcPr>
            <w:tcW w:type="dxa" w:w="3969"/>
          </w:tcPr>
          <w:p>
            <w:r/>
            <w:r>
              <w:rPr>
                <w:rFonts w:ascii="Times New Roman" w:hAnsi="Times New Roman"/>
                <w:sz w:val="22"/>
              </w:rPr>
              <w:t>frontend/src/hooks/</w:t>
            </w:r>
          </w:p>
        </w:tc>
        <w:tc>
          <w:tcPr>
            <w:tcW w:type="dxa" w:w="5102"/>
          </w:tcPr>
          <w:p>
            <w:r/>
            <w:r>
              <w:rPr>
                <w:rFonts w:ascii="Times New Roman" w:hAnsi="Times New Roman"/>
                <w:sz w:val="22"/>
              </w:rPr>
              <w:t>useAuth, useAnalysis, useWorkspace, and reveal/motion hooks.</w:t>
            </w:r>
          </w:p>
        </w:tc>
      </w:tr>
      <w:tr>
        <w:tc>
          <w:tcPr>
            <w:tcW w:type="dxa" w:w="3969"/>
          </w:tcPr>
          <w:p>
            <w:r/>
            <w:r>
              <w:rPr>
                <w:rFonts w:ascii="Times New Roman" w:hAnsi="Times New Roman"/>
                <w:sz w:val="22"/>
              </w:rPr>
              <w:t>frontend/src/services/</w:t>
            </w:r>
          </w:p>
        </w:tc>
        <w:tc>
          <w:tcPr>
            <w:tcW w:type="dxa" w:w="5102"/>
          </w:tcPr>
          <w:p>
            <w:r/>
            <w:r>
              <w:rPr>
                <w:rFonts w:ascii="Times New Roman" w:hAnsi="Times New Roman"/>
                <w:sz w:val="22"/>
              </w:rPr>
              <w:t>Typed API client (api.ts, auth.ts, documents.ts, workspace.ts).</w:t>
            </w:r>
          </w:p>
        </w:tc>
      </w:tr>
      <w:tr>
        <w:tc>
          <w:tcPr>
            <w:tcW w:type="dxa" w:w="3969"/>
          </w:tcPr>
          <w:p>
            <w:r/>
            <w:r>
              <w:rPr>
                <w:rFonts w:ascii="Times New Roman" w:hAnsi="Times New Roman"/>
                <w:sz w:val="22"/>
              </w:rPr>
              <w:t>docker-compose.yml</w:t>
            </w:r>
          </w:p>
        </w:tc>
        <w:tc>
          <w:tcPr>
            <w:tcW w:type="dxa" w:w="5102"/>
          </w:tcPr>
          <w:p>
            <w:r/>
            <w:r>
              <w:rPr>
                <w:rFonts w:ascii="Times New Roman" w:hAnsi="Times New Roman"/>
                <w:sz w:val="22"/>
              </w:rPr>
              <w:t>Development stack: db, minio, api, worker, frontend.</w:t>
            </w:r>
          </w:p>
        </w:tc>
      </w:tr>
      <w:tr>
        <w:tc>
          <w:tcPr>
            <w:tcW w:type="dxa" w:w="3969"/>
          </w:tcPr>
          <w:p>
            <w:r/>
            <w:r>
              <w:rPr>
                <w:rFonts w:ascii="Times New Roman" w:hAnsi="Times New Roman"/>
                <w:sz w:val="22"/>
              </w:rPr>
              <w:t>docker-compose.prod.yml</w:t>
            </w:r>
          </w:p>
        </w:tc>
        <w:tc>
          <w:tcPr>
            <w:tcW w:type="dxa" w:w="5102"/>
          </w:tcPr>
          <w:p>
            <w:r/>
            <w:r>
              <w:rPr>
                <w:rFonts w:ascii="Times New Roman" w:hAnsi="Times New Roman"/>
                <w:sz w:val="22"/>
              </w:rPr>
              <w:t>Production stack with Gunicorn + Nginx.</w:t>
            </w:r>
          </w:p>
        </w:tc>
      </w:tr>
      <w:tr>
        <w:tc>
          <w:tcPr>
            <w:tcW w:type="dxa" w:w="3969"/>
          </w:tcPr>
          <w:p>
            <w:r/>
            <w:r>
              <w:rPr>
                <w:rFonts w:ascii="Times New Roman" w:hAnsi="Times New Roman"/>
                <w:sz w:val="22"/>
              </w:rPr>
              <w:t>Makefile</w:t>
            </w:r>
          </w:p>
        </w:tc>
        <w:tc>
          <w:tcPr>
            <w:tcW w:type="dxa" w:w="5102"/>
          </w:tcPr>
          <w:p>
            <w:r/>
            <w:r>
              <w:rPr>
                <w:rFonts w:ascii="Times New Roman" w:hAnsi="Times New Roman"/>
                <w:sz w:val="22"/>
              </w:rPr>
              <w:t>Convenience targets: make up, make migrate, make logs, make test.</w:t>
            </w:r>
          </w:p>
        </w:tc>
      </w:tr>
    </w:tbl>
    <w:p>
      <w:r>
        <w:br w:type="page"/>
      </w:r>
    </w:p>
    <w:p>
      <w:pPr>
        <w:pStyle w:val="Heading1"/>
      </w:pPr>
      <w:r>
        <w:rPr>
          <w:rFonts w:ascii="Times New Roman" w:hAnsi="Times New Roman"/>
          <w:b/>
          <w:color w:val="1A365D"/>
          <w:sz w:val="32"/>
        </w:rPr>
        <w:t>Appendix C — Running the System</w:t>
      </w:r>
    </w:p>
    <w:p>
      <w:pPr>
        <w:pStyle w:val="Heading2"/>
      </w:pPr>
      <w:r>
        <w:rPr>
          <w:rFonts w:ascii="Times New Roman" w:hAnsi="Times New Roman"/>
          <w:b/>
          <w:color w:val="1A365D"/>
          <w:sz w:val="28"/>
        </w:rPr>
        <w:t>C.1 Prerequisites</w:t>
      </w:r>
    </w:p>
    <w:p>
      <w:pPr>
        <w:pStyle w:val="ListBullet"/>
      </w:pPr>
      <w:r>
        <w:t>Docker Desktop (or Docker Engine) — installed and running.</w:t>
      </w:r>
    </w:p>
    <w:p>
      <w:pPr>
        <w:pStyle w:val="ListBullet"/>
      </w:pPr>
      <w:r>
        <w:t>Make (optional — used by the Makefile shortcuts).</w:t>
      </w:r>
    </w:p>
    <w:p>
      <w:pPr>
        <w:pStyle w:val="ListBullet"/>
      </w:pPr>
      <w:r>
        <w:t>Approximately 2 GB free disk space for Docker images and LayoutLM weights cache.</w:t>
      </w:r>
    </w:p>
    <w:p>
      <w:pPr>
        <w:pStyle w:val="ListBullet"/>
      </w:pPr>
      <w:r>
        <w:t>A .env file at the project root — copy from .env.example and set SECRET_KEY.</w:t>
      </w:r>
    </w:p>
    <w:p>
      <w:pPr>
        <w:pStyle w:val="Heading2"/>
      </w:pPr>
      <w:r>
        <w:rPr>
          <w:rFonts w:ascii="Times New Roman" w:hAnsi="Times New Roman"/>
          <w:b/>
          <w:color w:val="1A365D"/>
          <w:sz w:val="28"/>
        </w:rPr>
        <w:t>C.2 One-Command Startup</w:t>
      </w:r>
    </w:p>
    <w:p>
      <w:pPr>
        <w:ind w:left="283"/>
        <w:shd w:fill="F4F4F4"/>
      </w:pPr>
      <w:r>
        <w:rPr>
          <w:rFonts w:ascii="Consolas" w:hAnsi="Consolas"/>
          <w:sz w:val="20"/>
        </w:rPr>
        <w:t># From the project root</w:t>
        <w:br/>
        <w:t>cp .env.example .env</w:t>
        <w:br/>
        <w:t># Edit .env and set a real SECRET_KEY</w:t>
        <w:br/>
        <w:br/>
        <w:t>docker compose up --build -d       # builds and starts all five services</w:t>
        <w:br/>
        <w:t>docker compose exec api \</w:t>
        <w:br/>
        <w:t xml:space="preserve">    python manage.py migrate       # apply database migrations (first run only)</w:t>
        <w:br/>
        <w:br/>
        <w:t># Open the frontend:</w:t>
        <w:br/>
        <w:t>#   http://localhost:5173</w:t>
        <w:br/>
        <w:t>#</w:t>
        <w:br/>
        <w:t># Optional admin:</w:t>
        <w:br/>
        <w:t>#   http://localhost:8000/admin/</w:t>
      </w:r>
    </w:p>
    <w:p>
      <w:pPr>
        <w:pStyle w:val="Heading2"/>
      </w:pPr>
      <w:r>
        <w:rPr>
          <w:rFonts w:ascii="Times New Roman" w:hAnsi="Times New Roman"/>
          <w:b/>
          <w:color w:val="1A365D"/>
          <w:sz w:val="28"/>
        </w:rPr>
        <w:t>C.3 Creating a User and Running an Upload</w:t>
      </w:r>
    </w:p>
    <w:p>
      <w:pPr>
        <w:ind w:left="425" w:hanging="425"/>
      </w:pPr>
      <w:r>
        <w:rPr>
          <w:b/>
        </w:rPr>
        <w:t xml:space="preserve">1.  </w:t>
      </w:r>
      <w:r>
        <w:t>Open http://localhost:5173 in a browser.</w:t>
      </w:r>
    </w:p>
    <w:p>
      <w:pPr>
        <w:ind w:left="425" w:hanging="425"/>
      </w:pPr>
      <w:r>
        <w:rPr>
          <w:b/>
        </w:rPr>
        <w:t xml:space="preserve">2.  </w:t>
      </w:r>
      <w:r>
        <w:t>Click Sign up in the navigation bar and create an account.</w:t>
      </w:r>
    </w:p>
    <w:p>
      <w:pPr>
        <w:ind w:left="425" w:hanging="425"/>
      </w:pPr>
      <w:r>
        <w:rPr>
          <w:b/>
        </w:rPr>
        <w:t xml:space="preserve">3.  </w:t>
      </w:r>
      <w:r>
        <w:t>After successful signup, you are redirected to /workspace.</w:t>
      </w:r>
    </w:p>
    <w:p>
      <w:pPr>
        <w:ind w:left="425" w:hanging="425"/>
      </w:pPr>
      <w:r>
        <w:rPr>
          <w:b/>
        </w:rPr>
        <w:t xml:space="preserve">4.  </w:t>
      </w:r>
      <w:r>
        <w:t>Click the upload control and select a PDF, PNG, or JPEG invoice or document.</w:t>
      </w:r>
    </w:p>
    <w:p>
      <w:pPr>
        <w:ind w:left="425" w:hanging="425"/>
      </w:pPr>
      <w:r>
        <w:rPr>
          <w:b/>
        </w:rPr>
        <w:t xml:space="preserve">5.  </w:t>
      </w:r>
      <w:r>
        <w:t>Watch the document move from pending → processing → done. Classification results appear immediately; invoice extraction follows a few seconds later if the document is classified as an invoice.</w:t>
      </w:r>
    </w:p>
    <w:p>
      <w:pPr>
        <w:ind w:left="425" w:hanging="425"/>
      </w:pPr>
      <w:r>
        <w:rPr>
          <w:b/>
        </w:rPr>
        <w:t xml:space="preserve">6.  </w:t>
      </w:r>
      <w:r>
        <w:t>Click the document in the library to see the full classification distribution and (for invoices) the six extracted fields.</w:t>
      </w:r>
    </w:p>
    <w:p>
      <w:pPr>
        <w:pStyle w:val="Heading2"/>
      </w:pPr>
      <w:r>
        <w:rPr>
          <w:rFonts w:ascii="Times New Roman" w:hAnsi="Times New Roman"/>
          <w:b/>
          <w:color w:val="1A365D"/>
          <w:sz w:val="28"/>
        </w:rPr>
        <w:t>C.4 Tailing Worker Logs</w:t>
      </w:r>
    </w:p>
    <w:p>
      <w:r>
        <w:t>While testing, it is useful to tail the worker logs to see the pipeline progress:</w:t>
      </w:r>
    </w:p>
    <w:p>
      <w:pPr>
        <w:ind w:left="283"/>
        <w:shd w:fill="F4F4F4"/>
      </w:pPr>
      <w:r>
        <w:rPr>
          <w:rFonts w:ascii="Consolas" w:hAnsi="Consolas"/>
          <w:sz w:val="20"/>
        </w:rPr>
        <w:t>docker compose logs -f worker</w:t>
        <w:br/>
        <w:br/>
        <w:t># Expected output during an invoice upload:</w:t>
        <w:br/>
        <w:t>#   Downloaded N bytes from MinIO: uploads/...</w:t>
        <w:br/>
        <w:t>#   Classifier loaded: D:_Bigrams750_+_img_+_meta_/_Ensemble</w:t>
        <w:br/>
        <w:t>#   Classified as 'invoice' (confidence=0.97)</w:t>
        <w:br/>
        <w:t>#   Preprocessing applied: ['lab_l', 'clahe', 'normalize_background']</w:t>
        <w:br/>
        <w:t>#   Full-page OCR: N tokens extracted</w:t>
        <w:br/>
        <w:t>#   LayoutLM answered X/6 fields: ['Invoice_Number', 'Invoice_Date', ...]</w:t>
        <w:br/>
        <w:t>#   Extracted fields (merged): ...</w:t>
      </w:r>
    </w:p>
    <w:p>
      <w:pPr>
        <w:pStyle w:val="Heading2"/>
      </w:pPr>
      <w:r>
        <w:rPr>
          <w:rFonts w:ascii="Times New Roman" w:hAnsi="Times New Roman"/>
          <w:b/>
          <w:color w:val="1A365D"/>
          <w:sz w:val="28"/>
        </w:rPr>
        <w:t>C.5 Stopping the Stack</w:t>
      </w:r>
    </w:p>
    <w:p>
      <w:pPr>
        <w:ind w:left="283"/>
        <w:shd w:fill="F4F4F4"/>
      </w:pPr>
      <w:r>
        <w:rPr>
          <w:rFonts w:ascii="Consolas" w:hAnsi="Consolas"/>
          <w:sz w:val="20"/>
        </w:rPr>
        <w:t>docker compose down                # stop containers, keep volumes</w:t>
        <w:br/>
        <w:t>docker compose down -v             # also remove volumes (wipes data)</w:t>
      </w:r>
    </w:p>
    <w:p>
      <w:pPr>
        <w:pStyle w:val="Heading2"/>
      </w:pPr>
      <w:r>
        <w:rPr>
          <w:rFonts w:ascii="Times New Roman" w:hAnsi="Times New Roman"/>
          <w:b/>
          <w:color w:val="1A365D"/>
          <w:sz w:val="28"/>
        </w:rPr>
        <w:t>C.6 Retraining the Classifier from Scratch</w:t>
      </w:r>
    </w:p>
    <w:p>
      <w:r>
        <w:t>The training scripts assume Tesseract is installed on the host (not inside a container) so they can OCR the local ai/classification/data/ folder directly. They produce the serialised pickle that backend/ml/models/ consumes at runtime.</w:t>
      </w:r>
    </w:p>
    <w:p>
      <w:pPr>
        <w:ind w:left="283"/>
        <w:shd w:fill="F4F4F4"/>
      </w:pPr>
      <w:r>
        <w:rPr>
          <w:rFonts w:ascii="Consolas" w:hAnsi="Consolas"/>
          <w:sz w:val="20"/>
        </w:rPr>
        <w:t># Install Tesseract locally (once):</w:t>
        <w:br/>
        <w:t>#   Ubuntu/Debian: sudo apt install tesseract-ocr tesseract-ocr-eng tesseract-ocr-fra</w:t>
        <w:br/>
        <w:t>#   macOS: brew install tesseract</w:t>
        <w:br/>
        <w:t>#   Windows: install from UB Mannheim Tesseract build</w:t>
        <w:br/>
        <w:br/>
        <w:t># Download dataset (first run only):</w:t>
        <w:br/>
        <w:t>python ai/classification/data_download/download_rvl_cdip.py</w:t>
        <w:br/>
        <w:br/>
        <w:t># Run the training pipeline in order:</w:t>
        <w:br/>
        <w:t>python ai/classification/model_training/1_baseline_comparison.py</w:t>
        <w:br/>
        <w:t>python ai/classification/model_training/2_ablation_study.py</w:t>
        <w:br/>
        <w:t>python ai/classification/model_training/3_hyperparameter_tuning.py</w:t>
        <w:br/>
        <w:t>python ai/classification/model_training/4_improved_ensemble.py</w:t>
        <w:br/>
        <w:br/>
        <w:t># The deployed model is now at</w:t>
        <w:br/>
        <w:t>#   ai/classification/saved_models/improved_ensemble.pkl</w:t>
        <w:br/>
        <w:t># Copy it to the runtime location:</w:t>
        <w:br/>
        <w:t>cp ai/classification/saved_models/improved_ensemble.pkl \</w:t>
        <w:br/>
        <w:t xml:space="preserve">   backend/ml/models/improved_classifier.pkl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365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1A365D"/>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