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F4D1F" w14:textId="5A4938C4" w:rsidR="000B2F93" w:rsidRPr="00F27891" w:rsidRDefault="00556AF5" w:rsidP="00556AF5">
      <w:pPr>
        <w:jc w:val="center"/>
        <w:rPr>
          <w:rFonts w:ascii="Calibri Light" w:hAnsi="Calibri Light" w:cs="Calibri Light"/>
          <w:b/>
          <w:bCs/>
          <w:sz w:val="32"/>
          <w:szCs w:val="32"/>
          <w:lang w:val="en-US"/>
        </w:rPr>
      </w:pPr>
      <w:r w:rsidRPr="007B7439">
        <w:rPr>
          <w:rFonts w:ascii="Calibri Light" w:hAnsi="Calibri Light" w:cs="Calibri Light"/>
          <w:b/>
          <w:bCs/>
          <w:sz w:val="32"/>
          <w:szCs w:val="32"/>
          <w:lang w:val="en-US"/>
        </w:rPr>
        <w:t xml:space="preserve">SECTION 1 </w:t>
      </w:r>
      <w:r w:rsidR="00DD084A" w:rsidRPr="007B7439">
        <w:rPr>
          <w:rFonts w:ascii="Calibri Light" w:hAnsi="Calibri Light" w:cs="Calibri Light"/>
          <w:b/>
          <w:bCs/>
          <w:sz w:val="32"/>
          <w:szCs w:val="32"/>
          <w:lang w:val="en-US"/>
        </w:rPr>
        <w:t>–</w:t>
      </w:r>
      <w:r w:rsidRPr="007B7439">
        <w:rPr>
          <w:rFonts w:ascii="Calibri Light" w:hAnsi="Calibri Light" w:cs="Calibri Light"/>
          <w:b/>
          <w:bCs/>
          <w:sz w:val="32"/>
          <w:szCs w:val="32"/>
          <w:lang w:val="en-US"/>
        </w:rPr>
        <w:t xml:space="preserve"> </w:t>
      </w:r>
      <w:r w:rsidR="006A5C43">
        <w:rPr>
          <w:rFonts w:ascii="Calibri Light" w:hAnsi="Calibri Light" w:cs="Calibri Light"/>
          <w:b/>
          <w:bCs/>
          <w:sz w:val="32"/>
          <w:szCs w:val="32"/>
          <w:lang w:val="en-US"/>
        </w:rPr>
        <w:t>INTRODUCTION</w:t>
      </w:r>
    </w:p>
    <w:p w14:paraId="049D4A48" w14:textId="77777777" w:rsidR="007B7439" w:rsidRPr="00893BFA" w:rsidRDefault="007B7439" w:rsidP="007B7439">
      <w:pPr>
        <w:rPr>
          <w:rFonts w:ascii="Calibri Light" w:hAnsi="Calibri Light" w:cs="Calibri Light"/>
          <w:b/>
          <w:bCs/>
          <w:sz w:val="24"/>
          <w:szCs w:val="24"/>
          <w:lang w:val="en-US"/>
        </w:rPr>
      </w:pPr>
    </w:p>
    <w:p w14:paraId="62966FF5" w14:textId="425F191D" w:rsidR="007B7439" w:rsidRPr="00893BFA" w:rsidRDefault="007B7439" w:rsidP="007B7439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78393049" w14:textId="03F6BC30" w:rsidR="00D83849" w:rsidRDefault="00D83849" w:rsidP="007B7439">
      <w:pPr>
        <w:rPr>
          <w:rFonts w:ascii="Calibri Light" w:hAnsi="Calibri Light" w:cs="Calibri Light"/>
          <w:b/>
          <w:bCs/>
          <w:sz w:val="28"/>
          <w:szCs w:val="28"/>
          <w:lang w:val="en-US"/>
        </w:rPr>
      </w:pPr>
      <w:r w:rsidRPr="00D83849">
        <w:rPr>
          <w:rFonts w:ascii="Calibri Light" w:hAnsi="Calibri Light" w:cs="Calibri Light"/>
          <w:b/>
          <w:bCs/>
          <w:sz w:val="28"/>
          <w:szCs w:val="28"/>
          <w:lang w:val="en-US"/>
        </w:rPr>
        <w:t>Background:</w:t>
      </w:r>
    </w:p>
    <w:p w14:paraId="4A166BE9" w14:textId="77777777" w:rsidR="00D83849" w:rsidRDefault="00D83849" w:rsidP="007B7439">
      <w:pPr>
        <w:rPr>
          <w:rFonts w:ascii="Calibri Light" w:hAnsi="Calibri Light" w:cs="Calibri Light"/>
          <w:b/>
          <w:bCs/>
          <w:sz w:val="28"/>
          <w:szCs w:val="28"/>
          <w:lang w:val="en-US"/>
        </w:rPr>
      </w:pPr>
    </w:p>
    <w:p w14:paraId="78CE4B71" w14:textId="5F153BB9" w:rsidR="00B367C2" w:rsidRDefault="00D83849" w:rsidP="007B743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lang w:val="en-US"/>
        </w:rPr>
        <w:t xml:space="preserve">Market </w:t>
      </w:r>
      <w:r w:rsidRPr="008E4699">
        <w:rPr>
          <w:rFonts w:ascii="Calibri Light" w:hAnsi="Calibri Light" w:cs="Calibri Light"/>
          <w:sz w:val="24"/>
          <w:szCs w:val="24"/>
        </w:rPr>
        <w:t>Capitalisation</w:t>
      </w:r>
      <w:r w:rsidR="008E4699">
        <w:rPr>
          <w:rFonts w:ascii="Calibri Light" w:hAnsi="Calibri Light" w:cs="Calibri Light"/>
          <w:sz w:val="24"/>
          <w:szCs w:val="24"/>
        </w:rPr>
        <w:t xml:space="preserve"> refers to the total dollar value of all of </w:t>
      </w:r>
      <w:r w:rsidR="001A5BB6">
        <w:rPr>
          <w:rFonts w:ascii="Calibri Light" w:hAnsi="Calibri Light" w:cs="Calibri Light"/>
          <w:sz w:val="24"/>
          <w:szCs w:val="24"/>
        </w:rPr>
        <w:t xml:space="preserve">the </w:t>
      </w:r>
      <w:r w:rsidR="008E4699">
        <w:rPr>
          <w:rFonts w:ascii="Calibri Light" w:hAnsi="Calibri Light" w:cs="Calibri Light"/>
          <w:sz w:val="24"/>
          <w:szCs w:val="24"/>
        </w:rPr>
        <w:t>outstanding shares</w:t>
      </w:r>
      <w:r w:rsidR="001A5BB6">
        <w:rPr>
          <w:rFonts w:ascii="Calibri Light" w:hAnsi="Calibri Light" w:cs="Calibri Light"/>
          <w:sz w:val="24"/>
          <w:szCs w:val="24"/>
        </w:rPr>
        <w:t xml:space="preserve"> of a company. </w:t>
      </w:r>
      <w:r w:rsidR="0075482B">
        <w:rPr>
          <w:rFonts w:ascii="Calibri Light" w:hAnsi="Calibri Light" w:cs="Calibri Light"/>
          <w:sz w:val="24"/>
          <w:szCs w:val="24"/>
        </w:rPr>
        <w:t>Market researchers</w:t>
      </w:r>
      <w:r w:rsidR="00757EED">
        <w:rPr>
          <w:rFonts w:ascii="Calibri Light" w:hAnsi="Calibri Light" w:cs="Calibri Light"/>
          <w:sz w:val="24"/>
          <w:szCs w:val="24"/>
        </w:rPr>
        <w:t xml:space="preserve"> use this</w:t>
      </w:r>
      <w:r w:rsidR="00C335A3">
        <w:rPr>
          <w:rFonts w:ascii="Calibri Light" w:hAnsi="Calibri Light" w:cs="Calibri Light"/>
          <w:sz w:val="24"/>
          <w:szCs w:val="24"/>
        </w:rPr>
        <w:t xml:space="preserve"> for two reasons: to find out how much a company is worth and to</w:t>
      </w:r>
      <w:r w:rsidR="0064706D">
        <w:rPr>
          <w:rFonts w:ascii="Calibri Light" w:hAnsi="Calibri Light" w:cs="Calibri Light"/>
          <w:sz w:val="24"/>
          <w:szCs w:val="24"/>
        </w:rPr>
        <w:t xml:space="preserve"> </w:t>
      </w:r>
      <w:r w:rsidR="00757EED">
        <w:rPr>
          <w:rFonts w:ascii="Calibri Light" w:hAnsi="Calibri Light" w:cs="Calibri Light"/>
          <w:sz w:val="24"/>
          <w:szCs w:val="24"/>
        </w:rPr>
        <w:t>determine the value of a stock</w:t>
      </w:r>
      <w:r w:rsidR="002D0BFE">
        <w:rPr>
          <w:rFonts w:ascii="Calibri Light" w:hAnsi="Calibri Light" w:cs="Calibri Light"/>
          <w:sz w:val="24"/>
          <w:szCs w:val="24"/>
        </w:rPr>
        <w:t xml:space="preserve">. </w:t>
      </w:r>
      <w:r w:rsidR="00B367C2">
        <w:rPr>
          <w:rFonts w:ascii="Calibri Light" w:hAnsi="Calibri Light" w:cs="Calibri Light"/>
          <w:sz w:val="24"/>
          <w:szCs w:val="24"/>
        </w:rPr>
        <w:t>The following formula is used to calculate the market capitalisation value:</w:t>
      </w:r>
    </w:p>
    <w:p w14:paraId="7F2AAF00" w14:textId="77777777" w:rsidR="00B367C2" w:rsidRDefault="00B367C2" w:rsidP="007B7439">
      <w:pPr>
        <w:rPr>
          <w:rFonts w:ascii="Calibri Light" w:hAnsi="Calibri Light" w:cs="Calibri Light"/>
          <w:sz w:val="24"/>
          <w:szCs w:val="24"/>
        </w:rPr>
      </w:pPr>
    </w:p>
    <w:p w14:paraId="66A47328" w14:textId="67C2F1B2" w:rsidR="002F73CE" w:rsidRDefault="0046071F" w:rsidP="0046071F">
      <w:pPr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Market </w:t>
      </w:r>
      <w:r w:rsidR="00780225">
        <w:rPr>
          <w:rFonts w:ascii="Calibri Light" w:hAnsi="Calibri Light" w:cs="Calibri Light"/>
          <w:b/>
          <w:bCs/>
          <w:sz w:val="24"/>
          <w:szCs w:val="24"/>
        </w:rPr>
        <w:t>C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apitalisation = </w:t>
      </w:r>
      <w:r w:rsidR="00780225">
        <w:rPr>
          <w:rFonts w:ascii="Calibri Light" w:hAnsi="Calibri Light" w:cs="Calibri Light"/>
          <w:b/>
          <w:bCs/>
          <w:sz w:val="24"/>
          <w:szCs w:val="24"/>
        </w:rPr>
        <w:t>O</w:t>
      </w:r>
      <w:r w:rsidR="0016701F">
        <w:rPr>
          <w:rFonts w:ascii="Calibri Light" w:hAnsi="Calibri Light" w:cs="Calibri Light"/>
          <w:b/>
          <w:bCs/>
          <w:sz w:val="24"/>
          <w:szCs w:val="24"/>
        </w:rPr>
        <w:t xml:space="preserve">utstanding </w:t>
      </w:r>
      <w:r w:rsidR="00780225">
        <w:rPr>
          <w:rFonts w:ascii="Calibri Light" w:hAnsi="Calibri Light" w:cs="Calibri Light"/>
          <w:b/>
          <w:bCs/>
          <w:sz w:val="24"/>
          <w:szCs w:val="24"/>
        </w:rPr>
        <w:t>S</w:t>
      </w:r>
      <w:r w:rsidR="0016701F">
        <w:rPr>
          <w:rFonts w:ascii="Calibri Light" w:hAnsi="Calibri Light" w:cs="Calibri Light"/>
          <w:b/>
          <w:bCs/>
          <w:sz w:val="24"/>
          <w:szCs w:val="24"/>
        </w:rPr>
        <w:t xml:space="preserve">hares </w:t>
      </w:r>
      <w:r w:rsidR="005424F8">
        <w:rPr>
          <w:rFonts w:ascii="Calibri Light" w:hAnsi="Calibri Light" w:cs="Calibri Light"/>
          <w:b/>
          <w:bCs/>
          <w:sz w:val="24"/>
          <w:szCs w:val="24"/>
        </w:rPr>
        <w:t>X</w:t>
      </w:r>
      <w:r w:rsidR="0016701F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780225">
        <w:rPr>
          <w:rFonts w:ascii="Calibri Light" w:hAnsi="Calibri Light" w:cs="Calibri Light"/>
          <w:b/>
          <w:bCs/>
          <w:sz w:val="24"/>
          <w:szCs w:val="24"/>
        </w:rPr>
        <w:t>S</w:t>
      </w:r>
      <w:r w:rsidR="0016701F">
        <w:rPr>
          <w:rFonts w:ascii="Calibri Light" w:hAnsi="Calibri Light" w:cs="Calibri Light"/>
          <w:b/>
          <w:bCs/>
          <w:sz w:val="24"/>
          <w:szCs w:val="24"/>
        </w:rPr>
        <w:t xml:space="preserve">tock </w:t>
      </w:r>
      <w:r w:rsidR="00780225">
        <w:rPr>
          <w:rFonts w:ascii="Calibri Light" w:hAnsi="Calibri Light" w:cs="Calibri Light"/>
          <w:b/>
          <w:bCs/>
          <w:sz w:val="24"/>
          <w:szCs w:val="24"/>
        </w:rPr>
        <w:t>P</w:t>
      </w:r>
      <w:r w:rsidR="0016701F">
        <w:rPr>
          <w:rFonts w:ascii="Calibri Light" w:hAnsi="Calibri Light" w:cs="Calibri Light"/>
          <w:b/>
          <w:bCs/>
          <w:sz w:val="24"/>
          <w:szCs w:val="24"/>
        </w:rPr>
        <w:t>rice</w:t>
      </w:r>
    </w:p>
    <w:p w14:paraId="7E14D030" w14:textId="77777777" w:rsidR="00B20D19" w:rsidRDefault="00B20D19" w:rsidP="00B20D19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7D189D5A" w14:textId="185C0C2D" w:rsidR="00B20D19" w:rsidRPr="00B20D19" w:rsidRDefault="00B20D19" w:rsidP="00B20D19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 the analysis, the Top 1</w:t>
      </w:r>
      <w:r w:rsidR="006B6F9E">
        <w:rPr>
          <w:rFonts w:ascii="Calibri Light" w:hAnsi="Calibri Light" w:cs="Calibri Light"/>
          <w:sz w:val="24"/>
          <w:szCs w:val="24"/>
        </w:rPr>
        <w:t xml:space="preserve">0 companies refer to the 10 companies with the highest market capitalisation values, whereas the Top 500 </w:t>
      </w:r>
      <w:r w:rsidR="00675DEA">
        <w:rPr>
          <w:rFonts w:ascii="Calibri Light" w:hAnsi="Calibri Light" w:cs="Calibri Light"/>
          <w:sz w:val="24"/>
          <w:szCs w:val="24"/>
        </w:rPr>
        <w:t xml:space="preserve">companies are the 500 companies with the highest market capitalisation values. </w:t>
      </w:r>
    </w:p>
    <w:p w14:paraId="0943A1FB" w14:textId="77777777" w:rsidR="00591AA5" w:rsidRPr="00712CC5" w:rsidRDefault="00591AA5" w:rsidP="00591AA5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1FB8F4DD" w14:textId="77777777" w:rsidR="00BD05E8" w:rsidRPr="00712CC5" w:rsidRDefault="00BD05E8" w:rsidP="002F73CE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47E7672C" w14:textId="3A3F0BEA" w:rsidR="0098617A" w:rsidRDefault="0098617A" w:rsidP="002F73CE">
      <w:pPr>
        <w:rPr>
          <w:rFonts w:ascii="Calibri Light" w:hAnsi="Calibri Light" w:cs="Calibri Light"/>
          <w:b/>
          <w:bCs/>
          <w:sz w:val="28"/>
          <w:szCs w:val="28"/>
        </w:rPr>
      </w:pPr>
      <w:r w:rsidRPr="00BC661B">
        <w:rPr>
          <w:rFonts w:ascii="Calibri Light" w:hAnsi="Calibri Light" w:cs="Calibri Light"/>
          <w:b/>
          <w:bCs/>
          <w:sz w:val="28"/>
          <w:szCs w:val="28"/>
        </w:rPr>
        <w:t>Objectives of th</w:t>
      </w:r>
      <w:r w:rsidR="00490DC3" w:rsidRPr="00BC661B">
        <w:rPr>
          <w:rFonts w:ascii="Calibri Light" w:hAnsi="Calibri Light" w:cs="Calibri Light"/>
          <w:b/>
          <w:bCs/>
          <w:sz w:val="28"/>
          <w:szCs w:val="28"/>
        </w:rPr>
        <w:t>is</w:t>
      </w:r>
      <w:r w:rsidRPr="00BC661B">
        <w:rPr>
          <w:rFonts w:ascii="Calibri Light" w:hAnsi="Calibri Light" w:cs="Calibri Light"/>
          <w:b/>
          <w:bCs/>
          <w:sz w:val="28"/>
          <w:szCs w:val="28"/>
        </w:rPr>
        <w:t xml:space="preserve"> analysis</w:t>
      </w:r>
      <w:r w:rsidR="00BC661B">
        <w:rPr>
          <w:rFonts w:ascii="Calibri Light" w:hAnsi="Calibri Light" w:cs="Calibri Light"/>
          <w:b/>
          <w:bCs/>
          <w:sz w:val="28"/>
          <w:szCs w:val="28"/>
        </w:rPr>
        <w:t>:</w:t>
      </w:r>
    </w:p>
    <w:p w14:paraId="0C89557A" w14:textId="77777777" w:rsidR="00BC661B" w:rsidRPr="00A93825" w:rsidRDefault="00BC661B" w:rsidP="002F73CE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33A56268" w14:textId="5B79FC96" w:rsidR="00BC661B" w:rsidRDefault="005A00DD" w:rsidP="002F73CE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main objectives of this analysis </w:t>
      </w:r>
      <w:r w:rsidR="008F6166">
        <w:rPr>
          <w:rFonts w:ascii="Calibri Light" w:hAnsi="Calibri Light" w:cs="Calibri Light"/>
          <w:sz w:val="24"/>
          <w:szCs w:val="24"/>
        </w:rPr>
        <w:t>were to find out the following information:</w:t>
      </w:r>
    </w:p>
    <w:p w14:paraId="11B4D184" w14:textId="5F4C6807" w:rsidR="005A00DD" w:rsidRDefault="001F3135" w:rsidP="005A00D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</w:t>
      </w:r>
      <w:r w:rsidR="00C57ED9">
        <w:rPr>
          <w:rFonts w:ascii="Calibri Light" w:hAnsi="Calibri Light" w:cs="Calibri Light"/>
          <w:sz w:val="24"/>
          <w:szCs w:val="24"/>
        </w:rPr>
        <w:t>he market capitalisation</w:t>
      </w:r>
      <w:r w:rsidR="00F7404D">
        <w:rPr>
          <w:rFonts w:ascii="Calibri Light" w:hAnsi="Calibri Light" w:cs="Calibri Light"/>
          <w:sz w:val="24"/>
          <w:szCs w:val="24"/>
        </w:rPr>
        <w:t xml:space="preserve">s </w:t>
      </w:r>
      <w:r w:rsidR="00C55958">
        <w:rPr>
          <w:rFonts w:ascii="Calibri Light" w:hAnsi="Calibri Light" w:cs="Calibri Light"/>
          <w:sz w:val="24"/>
          <w:szCs w:val="24"/>
        </w:rPr>
        <w:t>of the Top 10 companies in the world.</w:t>
      </w:r>
    </w:p>
    <w:p w14:paraId="38E98A85" w14:textId="7F43CCAB" w:rsidR="00C55958" w:rsidRDefault="00B35DF6" w:rsidP="005A00D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</w:t>
      </w:r>
      <w:r w:rsidR="00F17C07">
        <w:rPr>
          <w:rFonts w:ascii="Calibri Light" w:hAnsi="Calibri Light" w:cs="Calibri Light"/>
          <w:sz w:val="24"/>
          <w:szCs w:val="24"/>
        </w:rPr>
        <w:t xml:space="preserve"> total percentage of the number of shares </w:t>
      </w:r>
      <w:r w:rsidR="00290A12">
        <w:rPr>
          <w:rFonts w:ascii="Calibri Light" w:hAnsi="Calibri Light" w:cs="Calibri Light"/>
          <w:sz w:val="24"/>
          <w:szCs w:val="24"/>
        </w:rPr>
        <w:t>for each market capitalisation category.</w:t>
      </w:r>
    </w:p>
    <w:p w14:paraId="7B08A7DF" w14:textId="0BD85485" w:rsidR="00290A12" w:rsidRDefault="00336388" w:rsidP="005A00D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number of companies, in the Top 500, that belong to different stock price ranges.</w:t>
      </w:r>
    </w:p>
    <w:p w14:paraId="2363989B" w14:textId="63F080B7" w:rsidR="00D83849" w:rsidRDefault="00C64457" w:rsidP="002F73C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number of companies that belong to each of the G20 countries.</w:t>
      </w:r>
    </w:p>
    <w:p w14:paraId="4AFF2B2E" w14:textId="77777777" w:rsidR="00BD05E8" w:rsidRDefault="00BD05E8" w:rsidP="00BD05E8">
      <w:pPr>
        <w:rPr>
          <w:rFonts w:ascii="Calibri Light" w:hAnsi="Calibri Light" w:cs="Calibri Light"/>
          <w:sz w:val="24"/>
          <w:szCs w:val="24"/>
        </w:rPr>
      </w:pPr>
    </w:p>
    <w:p w14:paraId="5FC84BD1" w14:textId="77777777" w:rsidR="00BD05E8" w:rsidRDefault="00BD05E8" w:rsidP="00BD05E8">
      <w:pPr>
        <w:rPr>
          <w:rFonts w:ascii="Calibri Light" w:hAnsi="Calibri Light" w:cs="Calibri Light"/>
          <w:sz w:val="24"/>
          <w:szCs w:val="24"/>
        </w:rPr>
      </w:pPr>
    </w:p>
    <w:p w14:paraId="1823B7E0" w14:textId="77777777" w:rsidR="000B1917" w:rsidRDefault="000B1917" w:rsidP="00BD05E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525CF73E" w14:textId="77777777" w:rsidR="006A5C43" w:rsidRDefault="006A5C43" w:rsidP="00BD05E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51C8651A" w14:textId="77777777" w:rsidR="006A5C43" w:rsidRDefault="006A5C43" w:rsidP="00BD05E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7374AF66" w14:textId="77777777" w:rsidR="006A5C43" w:rsidRDefault="006A5C43" w:rsidP="00BD05E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048ABBB9" w14:textId="77777777" w:rsidR="006A5C43" w:rsidRDefault="006A5C43" w:rsidP="00BD05E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7C97A632" w14:textId="77777777" w:rsidR="006A5C43" w:rsidRDefault="006A5C43" w:rsidP="00BD05E8">
      <w:pPr>
        <w:rPr>
          <w:rFonts w:ascii="Calibri Light" w:hAnsi="Calibri Light" w:cs="Calibri Light"/>
          <w:sz w:val="24"/>
          <w:szCs w:val="24"/>
        </w:rPr>
      </w:pPr>
    </w:p>
    <w:p w14:paraId="5B31818D" w14:textId="77777777" w:rsidR="0051760D" w:rsidRDefault="0051760D" w:rsidP="00BD05E8">
      <w:pPr>
        <w:rPr>
          <w:rFonts w:ascii="Calibri Light" w:hAnsi="Calibri Light" w:cs="Calibri Light"/>
          <w:sz w:val="24"/>
          <w:szCs w:val="24"/>
        </w:rPr>
      </w:pPr>
    </w:p>
    <w:p w14:paraId="35DD8CFD" w14:textId="77777777" w:rsidR="000B1917" w:rsidRDefault="000B1917" w:rsidP="00BD05E8">
      <w:pPr>
        <w:rPr>
          <w:rFonts w:ascii="Calibri Light" w:hAnsi="Calibri Light" w:cs="Calibri Light"/>
          <w:sz w:val="24"/>
          <w:szCs w:val="24"/>
        </w:rPr>
      </w:pPr>
    </w:p>
    <w:p w14:paraId="50DC0876" w14:textId="77777777" w:rsidR="000B1917" w:rsidRDefault="000B1917" w:rsidP="00BD05E8">
      <w:pPr>
        <w:rPr>
          <w:rFonts w:ascii="Calibri Light" w:hAnsi="Calibri Light" w:cs="Calibri Light"/>
          <w:sz w:val="24"/>
          <w:szCs w:val="24"/>
        </w:rPr>
      </w:pPr>
    </w:p>
    <w:p w14:paraId="656CD22A" w14:textId="77777777" w:rsidR="000B1917" w:rsidRDefault="000B1917" w:rsidP="00BD05E8">
      <w:pPr>
        <w:rPr>
          <w:rFonts w:ascii="Calibri Light" w:hAnsi="Calibri Light" w:cs="Calibri Light"/>
          <w:sz w:val="24"/>
          <w:szCs w:val="24"/>
        </w:rPr>
      </w:pPr>
    </w:p>
    <w:p w14:paraId="71C9CF0F" w14:textId="77777777" w:rsidR="000B1917" w:rsidRDefault="000B1917" w:rsidP="00BD05E8">
      <w:pPr>
        <w:rPr>
          <w:rFonts w:ascii="Calibri Light" w:hAnsi="Calibri Light" w:cs="Calibri Light"/>
          <w:sz w:val="24"/>
          <w:szCs w:val="24"/>
        </w:rPr>
      </w:pPr>
    </w:p>
    <w:p w14:paraId="782B0F9A" w14:textId="77777777" w:rsidR="000B1917" w:rsidRDefault="000B1917" w:rsidP="00BD05E8">
      <w:pPr>
        <w:rPr>
          <w:rFonts w:ascii="Calibri Light" w:hAnsi="Calibri Light" w:cs="Calibri Light"/>
          <w:sz w:val="24"/>
          <w:szCs w:val="24"/>
        </w:rPr>
      </w:pPr>
    </w:p>
    <w:p w14:paraId="27C26612" w14:textId="77777777" w:rsidR="000B1917" w:rsidRDefault="000B1917" w:rsidP="00BD05E8">
      <w:pPr>
        <w:rPr>
          <w:rFonts w:ascii="Calibri Light" w:hAnsi="Calibri Light" w:cs="Calibri Light"/>
          <w:sz w:val="24"/>
          <w:szCs w:val="24"/>
        </w:rPr>
      </w:pPr>
    </w:p>
    <w:p w14:paraId="666A06D9" w14:textId="77777777" w:rsidR="00884DE0" w:rsidRDefault="00884DE0" w:rsidP="00BD05E8">
      <w:pPr>
        <w:rPr>
          <w:rFonts w:ascii="Calibri Light" w:hAnsi="Calibri Light" w:cs="Calibri Light"/>
          <w:sz w:val="24"/>
          <w:szCs w:val="24"/>
        </w:rPr>
      </w:pPr>
    </w:p>
    <w:p w14:paraId="60D7ED6E" w14:textId="77777777" w:rsidR="00884DE0" w:rsidRDefault="00884DE0" w:rsidP="00BD05E8">
      <w:pPr>
        <w:rPr>
          <w:rFonts w:ascii="Calibri Light" w:hAnsi="Calibri Light" w:cs="Calibri Light"/>
          <w:sz w:val="24"/>
          <w:szCs w:val="24"/>
        </w:rPr>
      </w:pPr>
    </w:p>
    <w:p w14:paraId="635DA0E9" w14:textId="77777777" w:rsidR="00686F1D" w:rsidRDefault="00686F1D" w:rsidP="00BD05E8">
      <w:pPr>
        <w:rPr>
          <w:rFonts w:ascii="Calibri Light" w:hAnsi="Calibri Light" w:cs="Calibri Light"/>
          <w:sz w:val="24"/>
          <w:szCs w:val="24"/>
        </w:rPr>
      </w:pPr>
    </w:p>
    <w:p w14:paraId="1843A582" w14:textId="77777777" w:rsidR="00884DE0" w:rsidRDefault="00884DE0" w:rsidP="00BD05E8">
      <w:pPr>
        <w:rPr>
          <w:rFonts w:ascii="Calibri Light" w:hAnsi="Calibri Light" w:cs="Calibri Light"/>
          <w:sz w:val="24"/>
          <w:szCs w:val="24"/>
        </w:rPr>
      </w:pPr>
    </w:p>
    <w:p w14:paraId="5217689A" w14:textId="77777777" w:rsidR="0037797F" w:rsidRDefault="0037797F" w:rsidP="00BD05E8">
      <w:pPr>
        <w:rPr>
          <w:rFonts w:ascii="Calibri Light" w:hAnsi="Calibri Light" w:cs="Calibri Light"/>
          <w:sz w:val="24"/>
          <w:szCs w:val="24"/>
        </w:rPr>
      </w:pPr>
    </w:p>
    <w:p w14:paraId="39BDF81B" w14:textId="77777777" w:rsidR="000B1917" w:rsidRDefault="000B1917" w:rsidP="00BD05E8">
      <w:pPr>
        <w:rPr>
          <w:rFonts w:ascii="Calibri Light" w:hAnsi="Calibri Light" w:cs="Calibri Light"/>
          <w:sz w:val="24"/>
          <w:szCs w:val="24"/>
        </w:rPr>
      </w:pPr>
    </w:p>
    <w:p w14:paraId="7689CD21" w14:textId="09CD6AFD" w:rsidR="000B1917" w:rsidRDefault="000B1917" w:rsidP="000B1917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C01DBA">
        <w:rPr>
          <w:rFonts w:ascii="Calibri Light" w:hAnsi="Calibri Light" w:cs="Calibri Light"/>
          <w:b/>
          <w:bCs/>
          <w:sz w:val="32"/>
          <w:szCs w:val="32"/>
        </w:rPr>
        <w:lastRenderedPageBreak/>
        <w:t xml:space="preserve">SECTION 2 </w:t>
      </w:r>
      <w:r w:rsidR="003B133F" w:rsidRPr="00C01DBA">
        <w:rPr>
          <w:rFonts w:ascii="Calibri Light" w:hAnsi="Calibri Light" w:cs="Calibri Light"/>
          <w:b/>
          <w:bCs/>
          <w:sz w:val="32"/>
          <w:szCs w:val="32"/>
        </w:rPr>
        <w:t>–</w:t>
      </w:r>
      <w:r w:rsidRPr="00C01DBA">
        <w:rPr>
          <w:rFonts w:ascii="Calibri Light" w:hAnsi="Calibri Light" w:cs="Calibri Light"/>
          <w:b/>
          <w:bCs/>
          <w:sz w:val="32"/>
          <w:szCs w:val="32"/>
        </w:rPr>
        <w:t xml:space="preserve"> </w:t>
      </w:r>
      <w:r w:rsidR="004628B3">
        <w:rPr>
          <w:rFonts w:ascii="Calibri Light" w:hAnsi="Calibri Light" w:cs="Calibri Light"/>
          <w:b/>
          <w:bCs/>
          <w:sz w:val="32"/>
          <w:szCs w:val="32"/>
        </w:rPr>
        <w:t>DATASET DETAILS</w:t>
      </w:r>
    </w:p>
    <w:p w14:paraId="68F53643" w14:textId="77777777" w:rsidR="0051760D" w:rsidRPr="00893BFA" w:rsidRDefault="0051760D" w:rsidP="0051760D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199E0B74" w14:textId="77777777" w:rsidR="0051760D" w:rsidRPr="00893BFA" w:rsidRDefault="0051760D" w:rsidP="0051760D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709BB292" w14:textId="30914063" w:rsidR="0051760D" w:rsidRPr="00D0636A" w:rsidRDefault="00A4112A" w:rsidP="0051760D">
      <w:pPr>
        <w:rPr>
          <w:rFonts w:ascii="Calibri Light" w:hAnsi="Calibri Light" w:cs="Calibri Light"/>
          <w:b/>
          <w:bCs/>
          <w:sz w:val="28"/>
          <w:szCs w:val="28"/>
        </w:rPr>
      </w:pPr>
      <w:r w:rsidRPr="00D0636A">
        <w:rPr>
          <w:rFonts w:ascii="Calibri Light" w:hAnsi="Calibri Light" w:cs="Calibri Light"/>
          <w:b/>
          <w:bCs/>
          <w:sz w:val="28"/>
          <w:szCs w:val="28"/>
        </w:rPr>
        <w:t xml:space="preserve">Data </w:t>
      </w:r>
      <w:r w:rsidR="001C57A5">
        <w:rPr>
          <w:rFonts w:ascii="Calibri Light" w:hAnsi="Calibri Light" w:cs="Calibri Light"/>
          <w:b/>
          <w:bCs/>
          <w:sz w:val="28"/>
          <w:szCs w:val="28"/>
        </w:rPr>
        <w:t>s</w:t>
      </w:r>
      <w:r w:rsidRPr="00D0636A">
        <w:rPr>
          <w:rFonts w:ascii="Calibri Light" w:hAnsi="Calibri Light" w:cs="Calibri Light"/>
          <w:b/>
          <w:bCs/>
          <w:sz w:val="28"/>
          <w:szCs w:val="28"/>
        </w:rPr>
        <w:t>ource:</w:t>
      </w:r>
    </w:p>
    <w:p w14:paraId="6962170F" w14:textId="77777777" w:rsidR="00A4112A" w:rsidRPr="00C878D0" w:rsidRDefault="00A4112A" w:rsidP="0051760D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5CF819D4" w14:textId="3F915D7B" w:rsidR="00241ECC" w:rsidRDefault="00026591" w:rsidP="0051760D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dataset is called “Top Global Companies by Market Capitalisation”. </w:t>
      </w:r>
      <w:r w:rsidR="00241ECC">
        <w:rPr>
          <w:rFonts w:ascii="Calibri Light" w:hAnsi="Calibri Light" w:cs="Calibri Light"/>
          <w:sz w:val="24"/>
          <w:szCs w:val="24"/>
        </w:rPr>
        <w:t>It was originally created on 29</w:t>
      </w:r>
      <w:r w:rsidR="00241ECC" w:rsidRPr="00241ECC">
        <w:rPr>
          <w:rFonts w:ascii="Calibri Light" w:hAnsi="Calibri Light" w:cs="Calibri Light"/>
          <w:sz w:val="24"/>
          <w:szCs w:val="24"/>
          <w:vertAlign w:val="superscript"/>
        </w:rPr>
        <w:t>th</w:t>
      </w:r>
      <w:r w:rsidR="00241ECC">
        <w:rPr>
          <w:rFonts w:ascii="Calibri Light" w:hAnsi="Calibri Light" w:cs="Calibri Light"/>
          <w:sz w:val="24"/>
          <w:szCs w:val="24"/>
        </w:rPr>
        <w:t xml:space="preserve"> January 2024 </w:t>
      </w:r>
      <w:r w:rsidR="000A1A2F">
        <w:rPr>
          <w:rFonts w:ascii="Calibri Light" w:hAnsi="Calibri Light" w:cs="Calibri Light"/>
          <w:sz w:val="24"/>
          <w:szCs w:val="24"/>
        </w:rPr>
        <w:t xml:space="preserve">on </w:t>
      </w:r>
      <w:hyperlink r:id="rId8" w:history="1">
        <w:r w:rsidR="000A1A2F" w:rsidRPr="00E95830">
          <w:rPr>
            <w:rStyle w:val="Hyperlink"/>
            <w:rFonts w:ascii="Calibri Light" w:hAnsi="Calibri Light" w:cs="Calibri Light"/>
            <w:sz w:val="24"/>
            <w:szCs w:val="24"/>
          </w:rPr>
          <w:t>www.companiesmarketcap.com</w:t>
        </w:r>
      </w:hyperlink>
      <w:r w:rsidR="000A1A2F">
        <w:rPr>
          <w:rFonts w:ascii="Calibri Light" w:hAnsi="Calibri Light" w:cs="Calibri Light"/>
          <w:sz w:val="24"/>
          <w:szCs w:val="24"/>
        </w:rPr>
        <w:t xml:space="preserve"> </w:t>
      </w:r>
      <w:r w:rsidR="00241ECC">
        <w:rPr>
          <w:rFonts w:ascii="Calibri Light" w:hAnsi="Calibri Light" w:cs="Calibri Light"/>
          <w:sz w:val="24"/>
          <w:szCs w:val="24"/>
        </w:rPr>
        <w:t>and was made available on Kaggle</w:t>
      </w:r>
      <w:r w:rsidR="000A1A2F">
        <w:rPr>
          <w:rFonts w:ascii="Calibri Light" w:hAnsi="Calibri Light" w:cs="Calibri Light"/>
          <w:sz w:val="24"/>
          <w:szCs w:val="24"/>
        </w:rPr>
        <w:t xml:space="preserve">. </w:t>
      </w:r>
      <w:r w:rsidR="0051163F">
        <w:rPr>
          <w:rFonts w:ascii="Calibri Light" w:hAnsi="Calibri Light" w:cs="Calibri Light"/>
          <w:sz w:val="24"/>
          <w:szCs w:val="24"/>
        </w:rPr>
        <w:t xml:space="preserve">The dataset was downloaded </w:t>
      </w:r>
      <w:r w:rsidR="0021641E">
        <w:rPr>
          <w:rFonts w:ascii="Calibri Light" w:hAnsi="Calibri Light" w:cs="Calibri Light"/>
          <w:sz w:val="24"/>
          <w:szCs w:val="24"/>
        </w:rPr>
        <w:t xml:space="preserve">from Kaggle </w:t>
      </w:r>
      <w:r w:rsidR="0051163F">
        <w:rPr>
          <w:rFonts w:ascii="Calibri Light" w:hAnsi="Calibri Light" w:cs="Calibri Light"/>
          <w:sz w:val="24"/>
          <w:szCs w:val="24"/>
        </w:rPr>
        <w:t xml:space="preserve">into Microsoft Excel for data transformation, analysis and visualisation on </w:t>
      </w:r>
      <w:r w:rsidR="00204729">
        <w:rPr>
          <w:rFonts w:ascii="Calibri Light" w:hAnsi="Calibri Light" w:cs="Calibri Light"/>
          <w:sz w:val="24"/>
          <w:szCs w:val="24"/>
        </w:rPr>
        <w:t>22</w:t>
      </w:r>
      <w:r w:rsidR="00204729" w:rsidRPr="00204729">
        <w:rPr>
          <w:rFonts w:ascii="Calibri Light" w:hAnsi="Calibri Light" w:cs="Calibri Light"/>
          <w:sz w:val="24"/>
          <w:szCs w:val="24"/>
          <w:vertAlign w:val="superscript"/>
        </w:rPr>
        <w:t>nd</w:t>
      </w:r>
      <w:r w:rsidR="00204729">
        <w:rPr>
          <w:rFonts w:ascii="Calibri Light" w:hAnsi="Calibri Light" w:cs="Calibri Light"/>
          <w:sz w:val="24"/>
          <w:szCs w:val="24"/>
        </w:rPr>
        <w:t xml:space="preserve"> March 2024. </w:t>
      </w:r>
    </w:p>
    <w:p w14:paraId="22D7245A" w14:textId="77777777" w:rsidR="00FC5688" w:rsidRDefault="00FC5688" w:rsidP="00FC5688">
      <w:pPr>
        <w:rPr>
          <w:rFonts w:ascii="Calibri Light" w:hAnsi="Calibri Light" w:cs="Calibri Light"/>
          <w:sz w:val="24"/>
          <w:szCs w:val="24"/>
        </w:rPr>
      </w:pPr>
    </w:p>
    <w:p w14:paraId="50AD32A0" w14:textId="77777777" w:rsidR="00755440" w:rsidRDefault="00755440" w:rsidP="00FC5688">
      <w:pPr>
        <w:rPr>
          <w:rFonts w:ascii="Calibri Light" w:hAnsi="Calibri Light" w:cs="Calibri Light"/>
          <w:sz w:val="24"/>
          <w:szCs w:val="24"/>
        </w:rPr>
      </w:pPr>
    </w:p>
    <w:p w14:paraId="17BDEB91" w14:textId="21C72B8B" w:rsidR="00E05CCA" w:rsidRPr="00D0636A" w:rsidRDefault="000465AC" w:rsidP="00FC5688">
      <w:pPr>
        <w:rPr>
          <w:rFonts w:ascii="Calibri Light" w:hAnsi="Calibri Light" w:cs="Calibri Light"/>
          <w:b/>
          <w:bCs/>
          <w:sz w:val="28"/>
          <w:szCs w:val="28"/>
        </w:rPr>
      </w:pPr>
      <w:r w:rsidRPr="00D0636A">
        <w:rPr>
          <w:rFonts w:ascii="Calibri Light" w:hAnsi="Calibri Light" w:cs="Calibri Light"/>
          <w:b/>
          <w:bCs/>
          <w:sz w:val="28"/>
          <w:szCs w:val="28"/>
        </w:rPr>
        <w:t>Variables:</w:t>
      </w:r>
    </w:p>
    <w:p w14:paraId="188AC8DB" w14:textId="77777777" w:rsidR="005E1A7A" w:rsidRDefault="005E1A7A" w:rsidP="00FC5688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133E03CB" w14:textId="7F1BF355" w:rsidR="00EE7A4A" w:rsidRDefault="008F1F49" w:rsidP="00FC568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dataset </w:t>
      </w:r>
      <w:r w:rsidR="00A364B7">
        <w:rPr>
          <w:rFonts w:ascii="Calibri Light" w:hAnsi="Calibri Light" w:cs="Calibri Light"/>
          <w:sz w:val="24"/>
          <w:szCs w:val="24"/>
        </w:rPr>
        <w:t>contains the following variables:</w:t>
      </w:r>
    </w:p>
    <w:p w14:paraId="77250512" w14:textId="70264D64" w:rsidR="00811893" w:rsidRDefault="00FC014A" w:rsidP="00FC014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Rank (i.e. company ranking)</w:t>
      </w:r>
    </w:p>
    <w:p w14:paraId="629F5FBC" w14:textId="275285BE" w:rsidR="00FC014A" w:rsidRDefault="00FC014A" w:rsidP="00FC014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Company </w:t>
      </w:r>
      <w:r w:rsidR="0038551E">
        <w:rPr>
          <w:rFonts w:ascii="Calibri Light" w:hAnsi="Calibri Light" w:cs="Calibri Light"/>
          <w:sz w:val="24"/>
          <w:szCs w:val="24"/>
        </w:rPr>
        <w:t>n</w:t>
      </w:r>
      <w:r>
        <w:rPr>
          <w:rFonts w:ascii="Calibri Light" w:hAnsi="Calibri Light" w:cs="Calibri Light"/>
          <w:sz w:val="24"/>
          <w:szCs w:val="24"/>
        </w:rPr>
        <w:t>ame</w:t>
      </w:r>
    </w:p>
    <w:p w14:paraId="578D5E00" w14:textId="2269662F" w:rsidR="00FC014A" w:rsidRDefault="00FC014A" w:rsidP="00FC014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Company </w:t>
      </w:r>
      <w:r w:rsidR="0038551E">
        <w:rPr>
          <w:rFonts w:ascii="Calibri Light" w:hAnsi="Calibri Light" w:cs="Calibri Light"/>
          <w:sz w:val="24"/>
          <w:szCs w:val="24"/>
        </w:rPr>
        <w:t>c</w:t>
      </w:r>
      <w:r>
        <w:rPr>
          <w:rFonts w:ascii="Calibri Light" w:hAnsi="Calibri Light" w:cs="Calibri Light"/>
          <w:sz w:val="24"/>
          <w:szCs w:val="24"/>
        </w:rPr>
        <w:t>ode</w:t>
      </w:r>
    </w:p>
    <w:p w14:paraId="7859C1A5" w14:textId="5055F4D2" w:rsidR="00FC014A" w:rsidRDefault="00FC014A" w:rsidP="00FC014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Market</w:t>
      </w:r>
      <w:r w:rsidR="009768B4">
        <w:rPr>
          <w:rFonts w:ascii="Calibri Light" w:hAnsi="Calibri Light" w:cs="Calibri Light"/>
          <w:sz w:val="24"/>
          <w:szCs w:val="24"/>
        </w:rPr>
        <w:t xml:space="preserve"> capitalisation (in $s)</w:t>
      </w:r>
    </w:p>
    <w:p w14:paraId="6124802C" w14:textId="1F43F977" w:rsidR="009768B4" w:rsidRDefault="009768B4" w:rsidP="00FC014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Stock price (in $</w:t>
      </w:r>
      <w:r w:rsidR="00B70756">
        <w:rPr>
          <w:rFonts w:ascii="Calibri Light" w:hAnsi="Calibri Light" w:cs="Calibri Light"/>
          <w:sz w:val="24"/>
          <w:szCs w:val="24"/>
        </w:rPr>
        <w:t>s</w:t>
      </w:r>
      <w:r>
        <w:rPr>
          <w:rFonts w:ascii="Calibri Light" w:hAnsi="Calibri Light" w:cs="Calibri Light"/>
          <w:sz w:val="24"/>
          <w:szCs w:val="24"/>
        </w:rPr>
        <w:t>)</w:t>
      </w:r>
    </w:p>
    <w:p w14:paraId="521639C2" w14:textId="7D9A1D7F" w:rsidR="009768B4" w:rsidRDefault="00FE05AD" w:rsidP="00FC014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Origin</w:t>
      </w:r>
      <w:r w:rsidR="00466994">
        <w:rPr>
          <w:rFonts w:ascii="Calibri Light" w:hAnsi="Calibri Light" w:cs="Calibri Light"/>
          <w:sz w:val="24"/>
          <w:szCs w:val="24"/>
        </w:rPr>
        <w:t xml:space="preserve"> Flag</w:t>
      </w:r>
    </w:p>
    <w:p w14:paraId="0051CA00" w14:textId="7B3BE31D" w:rsidR="006C20DA" w:rsidRDefault="006C20DA" w:rsidP="00FC014A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Country (in which company was originally founded in).</w:t>
      </w:r>
    </w:p>
    <w:p w14:paraId="735E00C6" w14:textId="77777777" w:rsidR="00F43EFF" w:rsidRDefault="00F43EFF" w:rsidP="00F43EFF">
      <w:pPr>
        <w:rPr>
          <w:rFonts w:ascii="Calibri Light" w:hAnsi="Calibri Light" w:cs="Calibri Light"/>
          <w:sz w:val="24"/>
          <w:szCs w:val="24"/>
        </w:rPr>
      </w:pPr>
    </w:p>
    <w:p w14:paraId="7772C4B8" w14:textId="77777777" w:rsidR="00E12E3A" w:rsidRPr="00D0636A" w:rsidRDefault="00E12E3A" w:rsidP="00F43EFF">
      <w:pPr>
        <w:rPr>
          <w:rFonts w:ascii="Calibri Light" w:hAnsi="Calibri Light" w:cs="Calibri Light"/>
          <w:sz w:val="24"/>
          <w:szCs w:val="24"/>
        </w:rPr>
      </w:pPr>
    </w:p>
    <w:p w14:paraId="3FE6783D" w14:textId="230D45FB" w:rsidR="00E12E3A" w:rsidRDefault="001B02D0" w:rsidP="00F43EFF">
      <w:pPr>
        <w:rPr>
          <w:rFonts w:ascii="Calibri Light" w:hAnsi="Calibri Light" w:cs="Calibri Light"/>
          <w:b/>
          <w:bCs/>
          <w:sz w:val="28"/>
          <w:szCs w:val="28"/>
        </w:rPr>
      </w:pPr>
      <w:r w:rsidRPr="00D0636A">
        <w:rPr>
          <w:rFonts w:ascii="Calibri Light" w:hAnsi="Calibri Light" w:cs="Calibri Light"/>
          <w:b/>
          <w:bCs/>
          <w:sz w:val="28"/>
          <w:szCs w:val="28"/>
        </w:rPr>
        <w:t>Type of analysis:</w:t>
      </w:r>
    </w:p>
    <w:p w14:paraId="44A5D428" w14:textId="77777777" w:rsidR="00D0636A" w:rsidRDefault="00D0636A" w:rsidP="00F43EFF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74B5A486" w14:textId="21E920C1" w:rsidR="005C34B5" w:rsidRDefault="00BD6D3F" w:rsidP="00F43EFF">
      <w:pPr>
        <w:rPr>
          <w:rFonts w:ascii="Calibri Light" w:hAnsi="Calibri Light" w:cs="Calibri Light"/>
          <w:sz w:val="24"/>
          <w:szCs w:val="24"/>
        </w:rPr>
      </w:pPr>
      <w:r w:rsidRPr="004B358F">
        <w:rPr>
          <w:rFonts w:ascii="Calibri Light" w:hAnsi="Calibri Light" w:cs="Calibri Light"/>
          <w:sz w:val="24"/>
          <w:szCs w:val="24"/>
        </w:rPr>
        <w:t>Quantitative analysis</w:t>
      </w:r>
      <w:r w:rsidR="00EB69F3">
        <w:rPr>
          <w:rFonts w:ascii="Calibri Light" w:hAnsi="Calibri Light" w:cs="Calibri Light"/>
          <w:sz w:val="24"/>
          <w:szCs w:val="24"/>
        </w:rPr>
        <w:t>.</w:t>
      </w:r>
      <w:r w:rsidR="007A742E" w:rsidRPr="004B358F">
        <w:rPr>
          <w:rFonts w:ascii="Calibri Light" w:hAnsi="Calibri Light" w:cs="Calibri Light"/>
          <w:sz w:val="24"/>
          <w:szCs w:val="24"/>
        </w:rPr>
        <w:t xml:space="preserve"> </w:t>
      </w:r>
    </w:p>
    <w:p w14:paraId="7B6D0F19" w14:textId="77777777" w:rsidR="00EB69F3" w:rsidRDefault="00EB69F3" w:rsidP="00F43EFF">
      <w:pPr>
        <w:rPr>
          <w:rFonts w:ascii="Calibri Light" w:hAnsi="Calibri Light" w:cs="Calibri Light"/>
          <w:sz w:val="24"/>
          <w:szCs w:val="24"/>
        </w:rPr>
      </w:pPr>
    </w:p>
    <w:p w14:paraId="7794DB27" w14:textId="77777777" w:rsidR="005C34B5" w:rsidRDefault="005C34B5" w:rsidP="00F43EFF">
      <w:pPr>
        <w:rPr>
          <w:rFonts w:ascii="Calibri Light" w:hAnsi="Calibri Light" w:cs="Calibri Light"/>
          <w:sz w:val="24"/>
          <w:szCs w:val="24"/>
        </w:rPr>
      </w:pPr>
    </w:p>
    <w:p w14:paraId="7C43BE55" w14:textId="23DAC238" w:rsidR="00AA65E9" w:rsidRDefault="007B4159" w:rsidP="00F43EFF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Dataset chosen:</w:t>
      </w:r>
    </w:p>
    <w:p w14:paraId="7D1E8A36" w14:textId="77777777" w:rsidR="007B4159" w:rsidRPr="00E92898" w:rsidRDefault="007B4159" w:rsidP="00F43EFF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43E8051D" w14:textId="0E0C1B79" w:rsidR="00AA47A0" w:rsidRDefault="00E8630F" w:rsidP="00F43EF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Prior to being uploaded </w:t>
      </w:r>
      <w:r w:rsidR="00CC028C">
        <w:rPr>
          <w:rFonts w:ascii="Calibri Light" w:hAnsi="Calibri Light" w:cs="Calibri Light"/>
          <w:sz w:val="24"/>
          <w:szCs w:val="24"/>
        </w:rPr>
        <w:t>on</w:t>
      </w:r>
      <w:r>
        <w:rPr>
          <w:rFonts w:ascii="Calibri Light" w:hAnsi="Calibri Light" w:cs="Calibri Light"/>
          <w:sz w:val="24"/>
          <w:szCs w:val="24"/>
        </w:rPr>
        <w:t xml:space="preserve">to Kaggle, the dataset comes from a reputable, reliable and up-to-date source. </w:t>
      </w:r>
      <w:r w:rsidR="0084498B">
        <w:rPr>
          <w:rFonts w:ascii="Calibri Light" w:hAnsi="Calibri Light" w:cs="Calibri Light"/>
          <w:sz w:val="24"/>
          <w:szCs w:val="24"/>
        </w:rPr>
        <w:t>The dataset contains information for approximately 8,000 companies worldwide.</w:t>
      </w:r>
    </w:p>
    <w:p w14:paraId="6C5F77F8" w14:textId="77777777" w:rsidR="004B2BEE" w:rsidRDefault="004B2BEE" w:rsidP="00F43EFF">
      <w:pPr>
        <w:rPr>
          <w:rFonts w:ascii="Calibri Light" w:hAnsi="Calibri Light" w:cs="Calibri Light"/>
          <w:sz w:val="24"/>
          <w:szCs w:val="24"/>
        </w:rPr>
      </w:pPr>
    </w:p>
    <w:p w14:paraId="46D34395" w14:textId="77777777" w:rsidR="004B2BEE" w:rsidRDefault="004B2BEE" w:rsidP="00F43EFF">
      <w:pPr>
        <w:rPr>
          <w:rFonts w:ascii="Calibri Light" w:hAnsi="Calibri Light" w:cs="Calibri Light"/>
          <w:sz w:val="24"/>
          <w:szCs w:val="24"/>
        </w:rPr>
      </w:pPr>
    </w:p>
    <w:p w14:paraId="04057ED8" w14:textId="39FE0A27" w:rsidR="00E11935" w:rsidRDefault="00E11935" w:rsidP="00F43EFF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Tools:</w:t>
      </w:r>
    </w:p>
    <w:p w14:paraId="43D0BA40" w14:textId="77777777" w:rsidR="00E11935" w:rsidRDefault="00E11935" w:rsidP="00F43EFF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6F87D6F1" w14:textId="7246322A" w:rsidR="00D9055A" w:rsidRDefault="00940705" w:rsidP="00F43EF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Microsoft Excel was used for data transformation, analysis and visualisation</w:t>
      </w:r>
      <w:r w:rsidR="00ED39E0">
        <w:rPr>
          <w:rFonts w:ascii="Calibri Light" w:hAnsi="Calibri Light" w:cs="Calibri Light"/>
          <w:sz w:val="24"/>
          <w:szCs w:val="24"/>
        </w:rPr>
        <w:t>.</w:t>
      </w:r>
    </w:p>
    <w:p w14:paraId="59C18113" w14:textId="77777777" w:rsidR="00AF4275" w:rsidRDefault="00AF4275" w:rsidP="00F43EFF">
      <w:pPr>
        <w:rPr>
          <w:rFonts w:ascii="Calibri Light" w:hAnsi="Calibri Light" w:cs="Calibri Light"/>
          <w:sz w:val="24"/>
          <w:szCs w:val="24"/>
        </w:rPr>
      </w:pPr>
    </w:p>
    <w:p w14:paraId="02BFE3E2" w14:textId="77777777" w:rsidR="00144F5E" w:rsidRDefault="00144F5E" w:rsidP="00F43EFF">
      <w:pPr>
        <w:rPr>
          <w:rFonts w:ascii="Calibri Light" w:hAnsi="Calibri Light" w:cs="Calibri Light"/>
          <w:sz w:val="24"/>
          <w:szCs w:val="24"/>
        </w:rPr>
      </w:pPr>
    </w:p>
    <w:p w14:paraId="17188D52" w14:textId="77777777" w:rsidR="00144F5E" w:rsidRDefault="00144F5E" w:rsidP="00F43EFF">
      <w:pPr>
        <w:rPr>
          <w:rFonts w:ascii="Calibri Light" w:hAnsi="Calibri Light" w:cs="Calibri Light"/>
          <w:sz w:val="24"/>
          <w:szCs w:val="24"/>
        </w:rPr>
      </w:pPr>
    </w:p>
    <w:p w14:paraId="1D74C7C0" w14:textId="77777777" w:rsidR="00144F5E" w:rsidRDefault="00144F5E" w:rsidP="00F43EFF">
      <w:pPr>
        <w:rPr>
          <w:rFonts w:ascii="Calibri Light" w:hAnsi="Calibri Light" w:cs="Calibri Light"/>
          <w:sz w:val="24"/>
          <w:szCs w:val="24"/>
        </w:rPr>
      </w:pPr>
    </w:p>
    <w:p w14:paraId="5B972666" w14:textId="77777777" w:rsidR="00DE0EAA" w:rsidRDefault="00DE0EAA" w:rsidP="00F43EFF">
      <w:pPr>
        <w:rPr>
          <w:rFonts w:ascii="Calibri Light" w:hAnsi="Calibri Light" w:cs="Calibri Light"/>
          <w:sz w:val="24"/>
          <w:szCs w:val="24"/>
        </w:rPr>
      </w:pPr>
    </w:p>
    <w:p w14:paraId="7FF14789" w14:textId="77777777" w:rsidR="00DE0EAA" w:rsidRDefault="00DE0EAA" w:rsidP="00F43EFF">
      <w:pPr>
        <w:rPr>
          <w:rFonts w:ascii="Calibri Light" w:hAnsi="Calibri Light" w:cs="Calibri Light"/>
          <w:sz w:val="24"/>
          <w:szCs w:val="24"/>
        </w:rPr>
      </w:pPr>
    </w:p>
    <w:p w14:paraId="7F48CBFF" w14:textId="77777777" w:rsidR="00DE0EAA" w:rsidRDefault="00DE0EAA" w:rsidP="00F43EFF">
      <w:pPr>
        <w:rPr>
          <w:rFonts w:ascii="Calibri Light" w:hAnsi="Calibri Light" w:cs="Calibri Light"/>
          <w:sz w:val="24"/>
          <w:szCs w:val="24"/>
        </w:rPr>
      </w:pPr>
    </w:p>
    <w:p w14:paraId="33DAB767" w14:textId="77777777" w:rsidR="0037797F" w:rsidRDefault="0037797F" w:rsidP="00DE0EAA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501F213E" w14:textId="3AE30F9C" w:rsidR="00DE0EAA" w:rsidRDefault="00DE0EAA" w:rsidP="00DE0EAA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F6389D">
        <w:rPr>
          <w:rFonts w:ascii="Calibri Light" w:hAnsi="Calibri Light" w:cs="Calibri Light"/>
          <w:b/>
          <w:bCs/>
          <w:sz w:val="32"/>
          <w:szCs w:val="32"/>
        </w:rPr>
        <w:lastRenderedPageBreak/>
        <w:t>SECTION 3 – DATA TRANSFORMATION</w:t>
      </w:r>
    </w:p>
    <w:p w14:paraId="25A89DE2" w14:textId="77777777" w:rsidR="00F6389D" w:rsidRDefault="00F6389D" w:rsidP="00F6389D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16F69963" w14:textId="77777777" w:rsidR="00F6389D" w:rsidRDefault="00F6389D" w:rsidP="00F6389D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E4E5CC0" w14:textId="70CE25D0" w:rsidR="00ED76A4" w:rsidRDefault="00CD4DF7" w:rsidP="00F6389D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Here is a </w:t>
      </w:r>
      <w:r w:rsidR="00FC3C5F">
        <w:rPr>
          <w:rFonts w:ascii="Calibri Light" w:hAnsi="Calibri Light" w:cs="Calibri Light"/>
          <w:sz w:val="24"/>
          <w:szCs w:val="24"/>
        </w:rPr>
        <w:t>high-level</w:t>
      </w:r>
      <w:r>
        <w:rPr>
          <w:rFonts w:ascii="Calibri Light" w:hAnsi="Calibri Light" w:cs="Calibri Light"/>
          <w:sz w:val="24"/>
          <w:szCs w:val="24"/>
        </w:rPr>
        <w:t xml:space="preserve"> overview of the data </w:t>
      </w:r>
      <w:r w:rsidR="006D65E7">
        <w:rPr>
          <w:rFonts w:ascii="Calibri Light" w:hAnsi="Calibri Light" w:cs="Calibri Light"/>
          <w:sz w:val="24"/>
          <w:szCs w:val="24"/>
        </w:rPr>
        <w:t>transformation steps taken:</w:t>
      </w:r>
    </w:p>
    <w:p w14:paraId="7496B123" w14:textId="77777777" w:rsidR="00ED76A4" w:rsidRDefault="00ED76A4" w:rsidP="00F6389D">
      <w:pPr>
        <w:rPr>
          <w:rFonts w:ascii="Calibri Light" w:hAnsi="Calibri Light" w:cs="Calibri Light"/>
          <w:sz w:val="24"/>
          <w:szCs w:val="24"/>
        </w:rPr>
      </w:pPr>
    </w:p>
    <w:p w14:paraId="60A7FEB0" w14:textId="30863F12" w:rsidR="00105A96" w:rsidRPr="000A6597" w:rsidRDefault="00DF4BDA" w:rsidP="00F6389D">
      <w:pPr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hAnsiTheme="majorHAnsi" w:cs="Calibri Light"/>
          <w:sz w:val="24"/>
          <w:szCs w:val="24"/>
        </w:rPr>
        <w:t xml:space="preserve">## </w:t>
      </w:r>
      <w:r w:rsidR="00D24F60" w:rsidRPr="000A6597">
        <w:rPr>
          <w:rFonts w:asciiTheme="majorHAnsi" w:hAnsiTheme="majorHAnsi" w:cs="Calibri Light"/>
          <w:sz w:val="24"/>
          <w:szCs w:val="24"/>
        </w:rPr>
        <w:t>Added</w:t>
      </w:r>
    </w:p>
    <w:p w14:paraId="3C1A4D37" w14:textId="35A4FD3D" w:rsidR="008A3688" w:rsidRPr="000A6597" w:rsidRDefault="00E84D3D" w:rsidP="00E84D3D">
      <w:pPr>
        <w:ind w:left="720"/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- </w:t>
      </w:r>
      <w:r w:rsidR="0083315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1 </w:t>
      </w:r>
      <w:r w:rsidR="00667577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c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olumn for classifying companies by their Market Capitalisation category</w:t>
      </w:r>
      <w:r w:rsidR="000B6DAB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3385E792" w14:textId="1593DA90" w:rsidR="00871872" w:rsidRPr="000A6597" w:rsidRDefault="00871872" w:rsidP="00E84D3D">
      <w:pPr>
        <w:ind w:left="720"/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Highlighting "Market Capitalisation" figures according to their categories</w:t>
      </w:r>
      <w:r w:rsidR="000B6DAB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5FEBD793" w14:textId="300143A9" w:rsidR="002855D4" w:rsidRPr="000A6597" w:rsidRDefault="002855D4" w:rsidP="002855D4">
      <w:pPr>
        <w:ind w:firstLine="720"/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- 1 column </w:t>
      </w:r>
      <w:r w:rsidR="00DC1DFA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for </w:t>
      </w:r>
      <w:r w:rsidR="00EB42BF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showing the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number of </w:t>
      </w:r>
      <w:r w:rsidR="00523DD2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shares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each company has</w:t>
      </w:r>
      <w:r w:rsidR="000B6DAB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7D93B27E" w14:textId="77777777" w:rsidR="00546A04" w:rsidRPr="000A6597" w:rsidRDefault="00546A04" w:rsidP="00F6389D">
      <w:pPr>
        <w:rPr>
          <w:rFonts w:asciiTheme="majorHAnsi" w:hAnsiTheme="majorHAnsi" w:cs="Calibri Light"/>
          <w:sz w:val="24"/>
          <w:szCs w:val="24"/>
        </w:rPr>
      </w:pPr>
    </w:p>
    <w:p w14:paraId="1E11C029" w14:textId="45EB2702" w:rsidR="008A3688" w:rsidRPr="000A6597" w:rsidRDefault="008A3688" w:rsidP="008A3688">
      <w:pPr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hAnsiTheme="majorHAnsi" w:cs="Calibri Light"/>
          <w:sz w:val="24"/>
          <w:szCs w:val="24"/>
        </w:rPr>
        <w:t>## Changed</w:t>
      </w:r>
    </w:p>
    <w:p w14:paraId="7C0B6414" w14:textId="737F4F04" w:rsidR="008A3688" w:rsidRPr="000A6597" w:rsidRDefault="001A0A97" w:rsidP="008A3688">
      <w:pPr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hAnsiTheme="majorHAnsi" w:cs="Calibri Light"/>
          <w:sz w:val="24"/>
          <w:szCs w:val="24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"Marketcap" </w:t>
      </w:r>
      <w:r w:rsidR="00687A88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column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renamed to "Market Capitalisation"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49D6A032" w14:textId="760738A6" w:rsidR="001A0A97" w:rsidRPr="000A6597" w:rsidRDefault="00687A88" w:rsidP="008A3688">
      <w:pPr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hAnsiTheme="majorHAnsi" w:cs="Calibri Light"/>
          <w:sz w:val="24"/>
          <w:szCs w:val="24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"Country Flag" </w:t>
      </w:r>
      <w:r w:rsidR="00A55793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column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renamed to "Country Abbreviation"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47046EED" w14:textId="0E151D3D" w:rsidR="001A0A97" w:rsidRPr="000A6597" w:rsidRDefault="00EE2AB8" w:rsidP="00EE2AB8">
      <w:pPr>
        <w:ind w:left="720"/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hAnsiTheme="majorHAnsi" w:cs="Calibri Light"/>
          <w:sz w:val="24"/>
          <w:szCs w:val="24"/>
        </w:rPr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"Market Capitalisation" </w:t>
      </w:r>
      <w:r w:rsidR="001804D6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column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values converted to </w:t>
      </w:r>
      <w:r w:rsidR="008D3385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currency values</w:t>
      </w:r>
      <w:r w:rsidR="0011077A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with 2 decimal places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42EF04CB" w14:textId="5B0F540C" w:rsidR="004D0ACE" w:rsidRPr="000A6597" w:rsidRDefault="004D0ACE" w:rsidP="00EE2AB8">
      <w:pPr>
        <w:ind w:left="720"/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Rounding all "Stock prices" to 2 decimal places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06C08913" w14:textId="4C6CC8FF" w:rsidR="00AF475F" w:rsidRPr="000A6597" w:rsidRDefault="00AF475F" w:rsidP="00EE2AB8">
      <w:pPr>
        <w:ind w:left="720"/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- Abbreviated/short</w:t>
      </w:r>
      <w:r w:rsidR="00546020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-named countries </w:t>
      </w:r>
      <w:r w:rsidR="00484EC2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renamed </w:t>
      </w:r>
      <w:r w:rsidR="007A7CFE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to</w:t>
      </w:r>
      <w:r w:rsidR="00484EC2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their respective full names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346D0158" w14:textId="77777777" w:rsidR="00422A92" w:rsidRPr="000A6597" w:rsidRDefault="00422A92" w:rsidP="00422A92">
      <w:pPr>
        <w:rPr>
          <w:rFonts w:asciiTheme="majorHAnsi" w:hAnsiTheme="majorHAnsi" w:cs="Calibri Light"/>
          <w:sz w:val="24"/>
          <w:szCs w:val="24"/>
        </w:rPr>
      </w:pPr>
    </w:p>
    <w:p w14:paraId="22CF85F5" w14:textId="3D537903" w:rsidR="00422A92" w:rsidRPr="000A6597" w:rsidRDefault="00422A92" w:rsidP="00422A92">
      <w:pPr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hAnsiTheme="majorHAnsi" w:cs="Calibri Light"/>
          <w:sz w:val="24"/>
          <w:szCs w:val="24"/>
        </w:rPr>
        <w:t>## Removed</w:t>
      </w:r>
    </w:p>
    <w:p w14:paraId="575DA1EA" w14:textId="65351E7E" w:rsidR="00422A92" w:rsidRPr="000A6597" w:rsidRDefault="00FF7EA4" w:rsidP="00422A92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hAnsiTheme="majorHAnsi" w:cs="Calibri Light"/>
          <w:sz w:val="24"/>
          <w:szCs w:val="24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"Blanks" from "Country Name"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51854937" w14:textId="41DFA403" w:rsidR="00784DB6" w:rsidRPr="000A6597" w:rsidRDefault="00784DB6" w:rsidP="00422A92">
      <w:pPr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"Company Codes" </w:t>
      </w: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column </w:t>
      </w:r>
      <w:r w:rsidR="009A7F20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(</w:t>
      </w: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not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useful for analysis</w:t>
      </w:r>
      <w:r w:rsidR="009A7F20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)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05AA8EFD" w14:textId="3BA3D192" w:rsidR="005260E7" w:rsidRPr="000A6597" w:rsidRDefault="005260E7" w:rsidP="005260E7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hAnsiTheme="majorHAnsi" w:cs="Calibri Light"/>
          <w:sz w:val="24"/>
          <w:szCs w:val="24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"NA" values from "Market Capitalisation"</w:t>
      </w: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column</w:t>
      </w:r>
      <w:r w:rsidR="00E3283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52F25627" w14:textId="707B0587" w:rsidR="00FF7EA4" w:rsidRPr="000A6597" w:rsidRDefault="00535F9E" w:rsidP="00422A92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hAnsiTheme="majorHAnsi" w:cs="Calibri Light"/>
          <w:sz w:val="24"/>
          <w:szCs w:val="24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"$0 M" values from "Market Capitalisation"</w:t>
      </w: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column</w:t>
      </w:r>
      <w:r w:rsidR="005A5C04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602DCACC" w14:textId="516B5F70" w:rsidR="008274CF" w:rsidRPr="000A6597" w:rsidRDefault="008274CF" w:rsidP="008274CF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ab/>
        <w:t>-</w:t>
      </w:r>
      <w:r w:rsidR="00653F75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D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uplicate company names</w:t>
      </w:r>
      <w:r w:rsidR="005A5C04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525DF597" w14:textId="1F39338A" w:rsidR="00161CE3" w:rsidRPr="000A6597" w:rsidRDefault="00161CE3" w:rsidP="008274CF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"NA" values from "Stock Prices"</w:t>
      </w:r>
      <w:r w:rsidR="005A5C04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6715A5E8" w14:textId="555CD86E" w:rsidR="00161CE3" w:rsidRPr="000A6597" w:rsidRDefault="00161CE3" w:rsidP="008274CF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ab/>
        <w:t>- S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tock price values that are less than $0.01</w:t>
      </w:r>
      <w:r w:rsidR="0027796F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1AF96F7C" w14:textId="5DE92C7E" w:rsidR="0080444C" w:rsidRPr="000A6597" w:rsidRDefault="0080444C" w:rsidP="008274CF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ab/>
        <w:t xml:space="preserve">- 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"</w:t>
      </w:r>
      <w:r w:rsidR="0075252D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Origin Flag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" column</w:t>
      </w:r>
      <w:r w:rsidR="0017429C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(not useful for analysis)</w:t>
      </w:r>
      <w:r w:rsidR="0027796F"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68DC1D9A" w14:textId="77777777" w:rsidR="00046249" w:rsidRPr="000A6597" w:rsidRDefault="00046249" w:rsidP="00422A92">
      <w:pPr>
        <w:rPr>
          <w:rFonts w:asciiTheme="majorHAnsi" w:hAnsiTheme="majorHAnsi" w:cs="Calibri Light"/>
          <w:sz w:val="24"/>
          <w:szCs w:val="24"/>
        </w:rPr>
      </w:pPr>
    </w:p>
    <w:p w14:paraId="6BE01DDC" w14:textId="4E8C512B" w:rsidR="00422A92" w:rsidRDefault="00422A92" w:rsidP="00422A92">
      <w:pPr>
        <w:rPr>
          <w:rFonts w:asciiTheme="majorHAnsi" w:hAnsiTheme="majorHAnsi" w:cs="Calibri Light"/>
          <w:sz w:val="24"/>
          <w:szCs w:val="24"/>
        </w:rPr>
      </w:pPr>
      <w:r w:rsidRPr="000A6597">
        <w:rPr>
          <w:rFonts w:asciiTheme="majorHAnsi" w:hAnsiTheme="majorHAnsi" w:cs="Calibri Light"/>
          <w:sz w:val="24"/>
          <w:szCs w:val="24"/>
        </w:rPr>
        <w:t>## Fixed</w:t>
      </w:r>
    </w:p>
    <w:p w14:paraId="015B572B" w14:textId="77777777" w:rsidR="0097316F" w:rsidRDefault="0097316F" w:rsidP="0097316F">
      <w:pPr>
        <w:ind w:firstLine="720"/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  <w:r w:rsidRPr="000A6597">
        <w:rPr>
          <w:rFonts w:asciiTheme="majorHAnsi" w:hAnsiTheme="majorHAnsi" w:cs="Calibri Light"/>
          <w:sz w:val="24"/>
          <w:szCs w:val="24"/>
        </w:rPr>
        <w:t xml:space="preserve">- </w:t>
      </w: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Entered</w:t>
      </w:r>
      <w:r w:rsidRPr="00C51759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 xml:space="preserve"> "Germany" as country for the company called "Ceconomy"</w:t>
      </w:r>
      <w:r w:rsidRPr="000A6597"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  <w:t>.</w:t>
      </w:r>
    </w:p>
    <w:p w14:paraId="334F9B6B" w14:textId="77777777" w:rsidR="0097316F" w:rsidRDefault="0097316F" w:rsidP="0097316F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1E0AD46C" w14:textId="77777777" w:rsidR="00FC2463" w:rsidRDefault="00FC2463" w:rsidP="0097316F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100A20F8" w14:textId="77777777" w:rsidR="0097316F" w:rsidRDefault="0097316F" w:rsidP="0097316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On the next page, there is an in-depth description of each step of the data cleaning process. This includes assessing data accuracy, completeness and consistency:</w:t>
      </w:r>
    </w:p>
    <w:p w14:paraId="5D257737" w14:textId="77777777" w:rsidR="0097316F" w:rsidRPr="000A6597" w:rsidRDefault="0097316F" w:rsidP="00422A92">
      <w:pPr>
        <w:rPr>
          <w:rFonts w:asciiTheme="majorHAnsi" w:hAnsiTheme="majorHAnsi" w:cs="Calibri Light"/>
          <w:sz w:val="24"/>
          <w:szCs w:val="24"/>
        </w:rPr>
      </w:pPr>
    </w:p>
    <w:p w14:paraId="1F636CFB" w14:textId="77777777" w:rsidR="0097316F" w:rsidRDefault="0097316F" w:rsidP="009D1E6A">
      <w:pPr>
        <w:rPr>
          <w:rFonts w:asciiTheme="majorHAnsi" w:hAnsiTheme="majorHAnsi" w:cs="Calibri Light"/>
          <w:sz w:val="24"/>
          <w:szCs w:val="24"/>
        </w:rPr>
        <w:sectPr w:rsidR="0097316F" w:rsidSect="0097316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14696" w:type="dxa"/>
        <w:tblLook w:val="04A0" w:firstRow="1" w:lastRow="0" w:firstColumn="1" w:lastColumn="0" w:noHBand="0" w:noVBand="1"/>
      </w:tblPr>
      <w:tblGrid>
        <w:gridCol w:w="2479"/>
        <w:gridCol w:w="5504"/>
        <w:gridCol w:w="4205"/>
        <w:gridCol w:w="2508"/>
      </w:tblGrid>
      <w:tr w:rsidR="001864F4" w:rsidRPr="00456227" w14:paraId="37FE46D6" w14:textId="77777777" w:rsidTr="00311B74">
        <w:trPr>
          <w:trHeight w:val="480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E45196A" w14:textId="14EAC08C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Data Cleaning Step</w:t>
            </w:r>
          </w:p>
        </w:tc>
        <w:tc>
          <w:tcPr>
            <w:tcW w:w="5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BECBE50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Description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444DF5DA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Method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DDD9085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b/>
                <w:bCs/>
                <w:kern w:val="0"/>
                <w:sz w:val="28"/>
                <w:szCs w:val="28"/>
                <w:lang w:eastAsia="en-GB"/>
                <w14:ligatures w14:val="none"/>
              </w:rPr>
              <w:t>Result</w:t>
            </w:r>
          </w:p>
        </w:tc>
      </w:tr>
      <w:tr w:rsidR="0091562B" w:rsidRPr="00456227" w14:paraId="0F647DE8" w14:textId="77777777" w:rsidTr="00311B74">
        <w:trPr>
          <w:trHeight w:val="430"/>
        </w:trPr>
        <w:tc>
          <w:tcPr>
            <w:tcW w:w="1469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14:paraId="30F057C9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Data Transformation Steps</w:t>
            </w:r>
          </w:p>
        </w:tc>
      </w:tr>
      <w:tr w:rsidR="0091562B" w:rsidRPr="00456227" w14:paraId="788BD416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EF67D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2DEA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Original dataset copied for cleaning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4337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Copy and paste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80A32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Dataset pasted in a new Excel worksheet</w:t>
            </w:r>
          </w:p>
        </w:tc>
      </w:tr>
      <w:tr w:rsidR="0091562B" w:rsidRPr="00456227" w14:paraId="5618E545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44B7A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047F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Converting the dataset to a table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65F0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81FC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5875DB23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07431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6336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"Marketcap" renamed to "Market Capitalisation"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EA15A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Manual renaming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0D69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column renamed</w:t>
            </w:r>
          </w:p>
        </w:tc>
      </w:tr>
      <w:tr w:rsidR="0091562B" w:rsidRPr="00456227" w14:paraId="3486C6F5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4BDF5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83D9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"Country Flag" renamed to "Country Abbreviation"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9EA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Manual renaming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71E00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column renamed</w:t>
            </w:r>
          </w:p>
        </w:tc>
      </w:tr>
      <w:tr w:rsidR="0091562B" w:rsidRPr="00456227" w14:paraId="4C124729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B807E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D334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Removing "Blanks" from "Country Name"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5B611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Filtering and deleting rows with "Blank" values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65A48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row deleted</w:t>
            </w:r>
          </w:p>
        </w:tc>
      </w:tr>
      <w:tr w:rsidR="0091562B" w:rsidRPr="00456227" w14:paraId="63006070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0C2EA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26EBC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Removed "Company Codes" as they were not useful for analysis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F1981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Manual deletion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269C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column deleted</w:t>
            </w:r>
          </w:p>
        </w:tc>
      </w:tr>
      <w:tr w:rsidR="0091562B" w:rsidRPr="00456227" w14:paraId="0D0581D0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09988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EBF0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"NA" values removed from "Market Capitalisation"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2B04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Filtering and deleting rows with "NA" values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26E7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7 rows deleted</w:t>
            </w:r>
          </w:p>
        </w:tc>
      </w:tr>
      <w:tr w:rsidR="0091562B" w:rsidRPr="00456227" w14:paraId="40EBF10B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1B838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503E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"$0 M" values removed from "Market Capitalisation"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37A4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Filtering and deleting rows with "$0 M" values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7BD7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11 rows deleted</w:t>
            </w:r>
          </w:p>
        </w:tc>
      </w:tr>
      <w:tr w:rsidR="0091562B" w:rsidRPr="00456227" w14:paraId="19D15951" w14:textId="77777777" w:rsidTr="00311B74">
        <w:trPr>
          <w:trHeight w:val="33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B0E09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63D59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  <w:t>"Market Capitalisation" column values converted to currency values with 2 decimal places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EB556" w14:textId="77777777" w:rsid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Text to Column to separate letters from values</w:t>
            </w:r>
          </w:p>
          <w:p w14:paraId="778C3D25" w14:textId="77777777" w:rsidR="00D712A1" w:rsidRPr="00456227" w:rsidRDefault="00D712A1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2AF0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711170C6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C2DA1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F2B9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(instead of having "M", "B" or "T")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13BC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Text to Column to separate $ sign from amounts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6C3C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70AB55D8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040DC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5052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8236" w14:textId="77777777" w:rsidR="00D712A1" w:rsidRDefault="00D712A1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1B844D3E" w14:textId="5F0F7B3B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Multiplying "M" amounts by 10^6 using "=IFS()"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3F859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3D4B66C7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92A04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DC0AF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3262" w14:textId="77777777" w:rsidR="00D712A1" w:rsidRDefault="00D712A1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48F5BC56" w14:textId="054B5485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Multiplying "B" amounts by 10^9 using "=IFS()"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7030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127C2EDD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2AE39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2709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95E4" w14:textId="77777777" w:rsidR="00D712A1" w:rsidRDefault="00D712A1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713606F3" w14:textId="40F798B1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Multiplying "T" amounts by 10^12 using "=IFS()"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59E0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21BFAA99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E903A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FE6E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D9A0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Converting all values to $ currency with 2 decimal places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EA152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0148A89E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060F6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48BBF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2C6C" w14:textId="77777777" w:rsidR="00D712A1" w:rsidRDefault="00D712A1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5BC1D1B6" w14:textId="3DC55DC2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Replacing all values in "Market</w:t>
            </w:r>
            <w:r w:rsidR="00D712A1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 xml:space="preserve"> </w:t>
            </w: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Capitalisation" column with new values</w:t>
            </w: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71D3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Values in "Market Capitalisation" are full,</w:t>
            </w:r>
          </w:p>
        </w:tc>
      </w:tr>
      <w:tr w:rsidR="0091562B" w:rsidRPr="00456227" w14:paraId="560F86F5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95C82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EE06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1041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</w:tc>
        <w:tc>
          <w:tcPr>
            <w:tcW w:w="25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362B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continuous values with $ sign</w:t>
            </w:r>
          </w:p>
        </w:tc>
      </w:tr>
      <w:tr w:rsidR="0091562B" w:rsidRPr="00456227" w14:paraId="37FF18D8" w14:textId="77777777" w:rsidTr="00311B74">
        <w:trPr>
          <w:trHeight w:val="380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95BD7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5241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Deleted column with "M", "B" and "T" letters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67028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Manual deletion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9744A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column removed</w:t>
            </w:r>
          </w:p>
        </w:tc>
      </w:tr>
      <w:tr w:rsidR="0091562B" w:rsidRPr="00456227" w14:paraId="24706021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8E7C4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271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Creating column for classifying companies by their Market Capitalisation category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9665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Nested "=IFS()" for categorisation (on top of AND() for multiple conditions)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8EE0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new column created</w:t>
            </w:r>
          </w:p>
        </w:tc>
      </w:tr>
      <w:tr w:rsidR="0091562B" w:rsidRPr="00456227" w14:paraId="6DCE850D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4A6D0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01E5A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Removed duplicate company names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943A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"Remove Duplicates" tool to remove duplicate company names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53928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3 duplicate records removed</w:t>
            </w:r>
          </w:p>
        </w:tc>
      </w:tr>
      <w:tr w:rsidR="0091562B" w:rsidRPr="00456227" w14:paraId="09EDE78C" w14:textId="77777777" w:rsidTr="00311B74">
        <w:trPr>
          <w:trHeight w:val="370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358A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55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9C5A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Highlighting "Market Capitalisation" figures according to their categories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14FD1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"Conditional Formatting" on "Market Capitalisation" column</w:t>
            </w:r>
          </w:p>
        </w:tc>
        <w:tc>
          <w:tcPr>
            <w:tcW w:w="25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FFA31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Fields in "Market Capitalisation" column</w:t>
            </w:r>
          </w:p>
        </w:tc>
      </w:tr>
      <w:tr w:rsidR="0091562B" w:rsidRPr="00456227" w14:paraId="690DC1EA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8CC0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C5FA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DF1C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0C83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are highlighted in different colours</w:t>
            </w:r>
          </w:p>
        </w:tc>
      </w:tr>
      <w:tr w:rsidR="0091562B" w:rsidRPr="00456227" w14:paraId="5C80EB2B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5296A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2A791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Removing "NA" values from "Stock Prices"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33A4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Filtering and deleting rows with "NA" values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F45A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2 rows deleted</w:t>
            </w:r>
          </w:p>
        </w:tc>
      </w:tr>
      <w:tr w:rsidR="0091562B" w:rsidRPr="00456227" w14:paraId="7084D69D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AAAFC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E61A2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Removing stock price values that are less than $0.01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466C2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 xml:space="preserve">Sorted "Stock Price" in ascending order. 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6F15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4E2A87D3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A4098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CEEC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1404F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5B9B2D6B" w14:textId="4EC2061C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"Conditional Formatting" to highlight prices less than $0.01.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A3B1C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35A06A86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97DCC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BD44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70F0B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251B611D" w14:textId="07BCCBE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Deleted such values manually.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96DA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4 rows deleted</w:t>
            </w:r>
          </w:p>
        </w:tc>
      </w:tr>
      <w:tr w:rsidR="0091562B" w:rsidRPr="00456227" w14:paraId="649FA524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35BC3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433CF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Rounding all "Stock prices" to 2 decimal places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4829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"Find and Replace" to remove $ sign from each value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28E0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70E51834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F46F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3743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28B26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73AE11B5" w14:textId="6B3906B0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Created a separate column to round each value using "=ROUND()"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A41A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68346C6B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E64D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EB5B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50F63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621DF6C2" w14:textId="1360D200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Renamed new column as "Stock Price"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0630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2920CD21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0336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05A18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D3199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Deleted original column to avoid duplicate columns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47D1F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new column created with prices to 2 decimal places</w:t>
            </w:r>
          </w:p>
        </w:tc>
      </w:tr>
      <w:tr w:rsidR="0091562B" w:rsidRPr="00456227" w14:paraId="2723D6C2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A2DAC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lastRenderedPageBreak/>
              <w:t>17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712A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Deleted "Origin Flag" column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34B1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Manual deletion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5651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column deleted</w:t>
            </w:r>
          </w:p>
        </w:tc>
      </w:tr>
      <w:tr w:rsidR="0091562B" w:rsidRPr="00456227" w14:paraId="3CAE014A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9B2F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8113A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Filled out "Germany" as country for the company called "Ceconomy"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9858F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"Filter" to see blank values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58E39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07CDA817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452E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CDAF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57F88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2B88B2A9" w14:textId="340C0416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Carried out online search to find out that company is based in Germany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AC61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blank field filled in "Country column"</w:t>
            </w:r>
          </w:p>
        </w:tc>
      </w:tr>
      <w:tr w:rsidR="0091562B" w:rsidRPr="00456227" w14:paraId="3D5553A0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61E05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A915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Ensuring all countries have full names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68342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"Filter" to find out countries that do not have full names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64DDA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4F16694B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5FA2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A08D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C667D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56016702" w14:textId="09FA5F73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"Find and Replace" to change S. Arabia to "Saudi Arabia"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9A83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16CA1156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24800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F51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44E12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2267BCC4" w14:textId="7364AD96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"Find and Replace" to change S. Korea to "South Korea"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1684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02705A5D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7C3C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F26E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7E9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4EB3B66B" w14:textId="3B140F09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"Find and Replace" to change USA to United States of America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0C8D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0C30CB23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74CCC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9EBA0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14ED7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"Find and Replace" to change UAE to United Arab Emirates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A4F4B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All countries now listed with their respective full names</w:t>
            </w:r>
          </w:p>
        </w:tc>
      </w:tr>
      <w:tr w:rsidR="0091562B" w:rsidRPr="00456227" w14:paraId="617ADC23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DBDDA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409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Calculating number of shares each company has</w:t>
            </w:r>
          </w:p>
        </w:tc>
        <w:tc>
          <w:tcPr>
            <w:tcW w:w="42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0C0D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Separate column created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3EBD2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575F1F4C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C0681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49E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0923C" w14:textId="77777777" w:rsidR="000A2DDE" w:rsidRDefault="000A2DDE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7589B785" w14:textId="6DE34EBD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Used the following formula: "Number of shares = Market Capitalisation / Stock Price"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267A6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1 new column created</w:t>
            </w:r>
          </w:p>
        </w:tc>
      </w:tr>
      <w:tr w:rsidR="0091562B" w:rsidRPr="00456227" w14:paraId="041BC475" w14:textId="77777777" w:rsidTr="00311B74">
        <w:trPr>
          <w:trHeight w:val="430"/>
        </w:trPr>
        <w:tc>
          <w:tcPr>
            <w:tcW w:w="1469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center"/>
            <w:hideMark/>
          </w:tcPr>
          <w:p w14:paraId="77409833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Necessary Data Checks</w:t>
            </w:r>
          </w:p>
        </w:tc>
      </w:tr>
      <w:tr w:rsidR="0091562B" w:rsidRPr="00456227" w14:paraId="088ECBD0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C6D95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4C5F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Assessing Data Completeness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C8B7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  <w:t>Using "Filter" to find out if any "NA" or "Blanks" still exist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E7D0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  <w:t>Dataset is complete</w:t>
            </w:r>
          </w:p>
        </w:tc>
      </w:tr>
      <w:tr w:rsidR="0091562B" w:rsidRPr="00456227" w14:paraId="417D7B06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D975E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4E2D1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  <w:t>Evaluating Data Accuracy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E347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color w:val="000000"/>
                <w:kern w:val="0"/>
                <w:lang w:eastAsia="en-GB"/>
                <w14:ligatures w14:val="none"/>
              </w:rPr>
              <w:t xml:space="preserve">Compared dataset to most recently available dataset on 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F3FC0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33BE5940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55998" w14:textId="77777777" w:rsidR="00456227" w:rsidRPr="00456227" w:rsidRDefault="00456227" w:rsidP="00456227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C97A" w14:textId="77777777" w:rsidR="00456227" w:rsidRPr="00456227" w:rsidRDefault="00456227" w:rsidP="00456227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01C13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color w:val="0000FF"/>
                <w:kern w:val="0"/>
                <w:u w:val="single"/>
                <w:lang w:eastAsia="en-GB"/>
                <w14:ligatures w14:val="none"/>
              </w:rPr>
            </w:pPr>
            <w:hyperlink r:id="rId9" w:history="1">
              <w:r w:rsidRPr="00456227">
                <w:rPr>
                  <w:rFonts w:ascii="Calibri Light" w:eastAsia="Times New Roman" w:hAnsi="Calibri Light" w:cs="Calibri Light"/>
                  <w:color w:val="0000FF"/>
                  <w:kern w:val="0"/>
                  <w:u w:val="single"/>
                  <w:lang w:eastAsia="en-GB"/>
                  <w14:ligatures w14:val="none"/>
                </w:rPr>
                <w:t>www.companiesmarketcap.com</w:t>
              </w:r>
            </w:hyperlink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1B4B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Values closely match those that are in the latest dataset</w:t>
            </w:r>
          </w:p>
        </w:tc>
      </w:tr>
      <w:tr w:rsidR="0091562B" w:rsidRPr="00456227" w14:paraId="5F791226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2A965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9438F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Validating Data Consistency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1A3D0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Checked if all rankings and number of shares are whole numbers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61464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212FABB2" w14:textId="77777777" w:rsidTr="00311B74">
        <w:trPr>
          <w:trHeight w:val="370"/>
        </w:trPr>
        <w:tc>
          <w:tcPr>
            <w:tcW w:w="24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A2322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2955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D647B" w14:textId="77777777" w:rsidR="0041096A" w:rsidRDefault="0041096A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0487D0BF" w14:textId="495D17F8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Checked if all company names, market capitalisation categories and country names are in string format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FF46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</w:tr>
      <w:tr w:rsidR="0091562B" w:rsidRPr="00456227" w14:paraId="584C63F8" w14:textId="77777777" w:rsidTr="00311B74">
        <w:trPr>
          <w:trHeight w:val="380"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A9FCF" w14:textId="77777777" w:rsidR="00456227" w:rsidRPr="00456227" w:rsidRDefault="00456227" w:rsidP="00456227">
            <w:pPr>
              <w:jc w:val="center"/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5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1A15E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62570" w14:textId="77777777" w:rsidR="0041096A" w:rsidRDefault="0041096A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</w:p>
          <w:p w14:paraId="4D084C78" w14:textId="66B47EED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Checked if all market capitalisation values and stock prices are in $ currency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A6FB5" w14:textId="77777777" w:rsidR="00456227" w:rsidRPr="00456227" w:rsidRDefault="00456227" w:rsidP="00456227">
            <w:pPr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</w:pPr>
            <w:r w:rsidRPr="00456227">
              <w:rPr>
                <w:rFonts w:ascii="Calibri Light" w:eastAsia="Times New Roman" w:hAnsi="Calibri Light" w:cs="Calibri Light"/>
                <w:kern w:val="0"/>
                <w:lang w:eastAsia="en-GB"/>
                <w14:ligatures w14:val="none"/>
              </w:rPr>
              <w:t>Data is fully consistent</w:t>
            </w:r>
          </w:p>
        </w:tc>
      </w:tr>
    </w:tbl>
    <w:p w14:paraId="797235EA" w14:textId="77777777" w:rsidR="00504B4C" w:rsidRDefault="00504B4C" w:rsidP="00730C35">
      <w:pPr>
        <w:rPr>
          <w:rFonts w:ascii="Calibri Light" w:hAnsi="Calibri Light" w:cs="Calibri Light"/>
          <w:sz w:val="24"/>
          <w:szCs w:val="24"/>
        </w:rPr>
      </w:pPr>
    </w:p>
    <w:p w14:paraId="7C8B8C42" w14:textId="77777777" w:rsidR="00730C35" w:rsidRDefault="00730C35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66EBDE0C" w14:textId="77777777" w:rsidR="00E13E41" w:rsidRDefault="00E13E41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04426948" w14:textId="77777777" w:rsidR="00E13E41" w:rsidRDefault="00E13E41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255AF8BC" w14:textId="77777777" w:rsidR="00E13E41" w:rsidRDefault="00E13E41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6F81F7E3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3CCEDE63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27AF523B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6BA49552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64A08D89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28EEB78B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5BFE0497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7D0FD75D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52F43C21" w14:textId="77777777" w:rsidR="00755B5A" w:rsidRDefault="00755B5A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4E1EABCB" w14:textId="77777777" w:rsidR="00755B5A" w:rsidRDefault="00755B5A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78637E05" w14:textId="77777777" w:rsidR="00755B5A" w:rsidRDefault="00755B5A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3F332292" w14:textId="77777777" w:rsidR="00C947AF" w:rsidRDefault="00C947AF" w:rsidP="009D1E6A">
      <w:pPr>
        <w:rPr>
          <w:rFonts w:asciiTheme="majorHAnsi" w:eastAsia="Times New Roman" w:hAnsiTheme="majorHAnsi" w:cs="Calibri Light"/>
          <w:kern w:val="0"/>
          <w:sz w:val="24"/>
          <w:szCs w:val="24"/>
          <w:lang w:eastAsia="en-GB"/>
          <w14:ligatures w14:val="none"/>
        </w:rPr>
      </w:pPr>
    </w:p>
    <w:p w14:paraId="32029AFE" w14:textId="77777777" w:rsidR="00CD233C" w:rsidRDefault="00CD233C" w:rsidP="00C947AF">
      <w:pPr>
        <w:jc w:val="center"/>
        <w:rPr>
          <w:rFonts w:ascii="Calibri Light" w:hAnsi="Calibri Light" w:cs="Calibri Light"/>
          <w:b/>
          <w:bCs/>
          <w:sz w:val="32"/>
          <w:szCs w:val="32"/>
        </w:rPr>
        <w:sectPr w:rsidR="00CD233C" w:rsidSect="0097316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0FB6A6E" w14:textId="504332FC" w:rsidR="00C947AF" w:rsidRDefault="00C947AF" w:rsidP="00C947AF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F6389D">
        <w:rPr>
          <w:rFonts w:ascii="Calibri Light" w:hAnsi="Calibri Light" w:cs="Calibri Light"/>
          <w:b/>
          <w:bCs/>
          <w:sz w:val="32"/>
          <w:szCs w:val="32"/>
        </w:rPr>
        <w:lastRenderedPageBreak/>
        <w:t xml:space="preserve">SECTION </w:t>
      </w:r>
      <w:r>
        <w:rPr>
          <w:rFonts w:ascii="Calibri Light" w:hAnsi="Calibri Light" w:cs="Calibri Light"/>
          <w:b/>
          <w:bCs/>
          <w:sz w:val="32"/>
          <w:szCs w:val="32"/>
        </w:rPr>
        <w:t>4</w:t>
      </w:r>
      <w:r w:rsidRPr="00F6389D">
        <w:rPr>
          <w:rFonts w:ascii="Calibri Light" w:hAnsi="Calibri Light" w:cs="Calibri Light"/>
          <w:b/>
          <w:bCs/>
          <w:sz w:val="32"/>
          <w:szCs w:val="32"/>
        </w:rPr>
        <w:t xml:space="preserve"> – </w:t>
      </w:r>
      <w:r w:rsidR="002C4A9B">
        <w:rPr>
          <w:rFonts w:ascii="Calibri Light" w:hAnsi="Calibri Light" w:cs="Calibri Light"/>
          <w:b/>
          <w:bCs/>
          <w:sz w:val="32"/>
          <w:szCs w:val="32"/>
        </w:rPr>
        <w:t>RESULTS</w:t>
      </w:r>
      <w:r w:rsidR="00F14656">
        <w:rPr>
          <w:rFonts w:ascii="Calibri Light" w:hAnsi="Calibri Light" w:cs="Calibri Light"/>
          <w:b/>
          <w:bCs/>
          <w:sz w:val="32"/>
          <w:szCs w:val="32"/>
        </w:rPr>
        <w:t xml:space="preserve"> AND DISCUSSION</w:t>
      </w:r>
    </w:p>
    <w:p w14:paraId="37BCBA19" w14:textId="77777777" w:rsidR="00606C54" w:rsidRDefault="00606C54" w:rsidP="00606C5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157138A4" w14:textId="77777777" w:rsidR="000B0EEA" w:rsidRDefault="000B0EEA" w:rsidP="00606C5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5B78C5D" w14:textId="732B1566" w:rsidR="00606C54" w:rsidRPr="009C2D6B" w:rsidRDefault="009C2D6B" w:rsidP="00606C54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Results</w:t>
      </w:r>
      <w:r w:rsidR="00A22D27">
        <w:rPr>
          <w:rFonts w:ascii="Calibri Light" w:hAnsi="Calibri Light" w:cs="Calibri Light"/>
          <w:b/>
          <w:bCs/>
          <w:sz w:val="28"/>
          <w:szCs w:val="28"/>
        </w:rPr>
        <w:t>:</w:t>
      </w:r>
    </w:p>
    <w:p w14:paraId="10FA9275" w14:textId="77777777" w:rsidR="009C2D6B" w:rsidRDefault="009C2D6B" w:rsidP="00606C5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7554A3B" w14:textId="6E86B631" w:rsidR="00F0185A" w:rsidRPr="00925853" w:rsidRDefault="00566FFE" w:rsidP="00606C54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After cleaning the dataset, </w:t>
      </w:r>
      <w:r w:rsidR="00566500">
        <w:rPr>
          <w:rFonts w:ascii="Calibri Light" w:hAnsi="Calibri Light" w:cs="Calibri Light"/>
          <w:sz w:val="24"/>
          <w:szCs w:val="24"/>
        </w:rPr>
        <w:t xml:space="preserve">there remained 7,920 </w:t>
      </w:r>
      <w:r w:rsidR="00E113A6">
        <w:rPr>
          <w:rFonts w:ascii="Calibri Light" w:hAnsi="Calibri Light" w:cs="Calibri Light"/>
          <w:sz w:val="24"/>
          <w:szCs w:val="24"/>
        </w:rPr>
        <w:t xml:space="preserve">records in the dataset. </w:t>
      </w:r>
      <w:r w:rsidR="004415EA">
        <w:rPr>
          <w:rFonts w:ascii="Calibri Light" w:hAnsi="Calibri Light" w:cs="Calibri Light"/>
          <w:sz w:val="24"/>
          <w:szCs w:val="24"/>
        </w:rPr>
        <w:t xml:space="preserve">The data cleaning process only removed 28 records. </w:t>
      </w:r>
      <w:r w:rsidR="0014591C">
        <w:rPr>
          <w:rFonts w:ascii="Calibri Light" w:hAnsi="Calibri Light" w:cs="Calibri Light"/>
          <w:sz w:val="24"/>
          <w:szCs w:val="24"/>
        </w:rPr>
        <w:t xml:space="preserve">On the overall, </w:t>
      </w:r>
      <w:r w:rsidR="00BF1719">
        <w:rPr>
          <w:rFonts w:ascii="Calibri Light" w:hAnsi="Calibri Light" w:cs="Calibri Light"/>
          <w:sz w:val="24"/>
          <w:szCs w:val="24"/>
        </w:rPr>
        <w:t xml:space="preserve">there are over 3,400 mid cap companies, </w:t>
      </w:r>
      <w:r w:rsidR="00AB2B91">
        <w:rPr>
          <w:rFonts w:ascii="Calibri Light" w:hAnsi="Calibri Light" w:cs="Calibri Light"/>
          <w:sz w:val="24"/>
          <w:szCs w:val="24"/>
        </w:rPr>
        <w:t>and between 1,400-1,600 of each of the other type</w:t>
      </w:r>
      <w:r w:rsidR="00776C47">
        <w:rPr>
          <w:rFonts w:ascii="Calibri Light" w:hAnsi="Calibri Light" w:cs="Calibri Light"/>
          <w:sz w:val="24"/>
          <w:szCs w:val="24"/>
        </w:rPr>
        <w:t>s</w:t>
      </w:r>
      <w:r w:rsidR="00AB2B91">
        <w:rPr>
          <w:rFonts w:ascii="Calibri Light" w:hAnsi="Calibri Light" w:cs="Calibri Light"/>
          <w:sz w:val="24"/>
          <w:szCs w:val="24"/>
        </w:rPr>
        <w:t xml:space="preserve"> of companies. </w:t>
      </w:r>
    </w:p>
    <w:tbl>
      <w:tblPr>
        <w:tblpPr w:leftFromText="180" w:rightFromText="180" w:vertAnchor="text" w:tblpY="141"/>
        <w:tblW w:w="5008" w:type="dxa"/>
        <w:tblLook w:val="04A0" w:firstRow="1" w:lastRow="0" w:firstColumn="1" w:lastColumn="0" w:noHBand="0" w:noVBand="1"/>
      </w:tblPr>
      <w:tblGrid>
        <w:gridCol w:w="4305"/>
        <w:gridCol w:w="703"/>
      </w:tblGrid>
      <w:tr w:rsidR="00776C47" w:rsidRPr="00C3724D" w14:paraId="4E6CC4B7" w14:textId="77777777" w:rsidTr="00776C47">
        <w:trPr>
          <w:trHeight w:val="380"/>
        </w:trPr>
        <w:tc>
          <w:tcPr>
            <w:tcW w:w="5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7BCCCD" w14:textId="77777777" w:rsidR="00776C47" w:rsidRPr="00C3724D" w:rsidRDefault="00776C47" w:rsidP="00776C4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Number of each company type</w:t>
            </w:r>
          </w:p>
        </w:tc>
      </w:tr>
      <w:tr w:rsidR="00776C47" w:rsidRPr="00C3724D" w14:paraId="0C8CCFCB" w14:textId="77777777" w:rsidTr="00776C47">
        <w:trPr>
          <w:trHeight w:val="310"/>
        </w:trPr>
        <w:tc>
          <w:tcPr>
            <w:tcW w:w="43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C37E11" w14:textId="77777777" w:rsidR="00776C47" w:rsidRPr="00C3724D" w:rsidRDefault="00776C47" w:rsidP="00776C47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Number of Large Cap companies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826FF" w14:textId="77777777" w:rsidR="00776C47" w:rsidRPr="00C3724D" w:rsidRDefault="00776C47" w:rsidP="00776C4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1571</w:t>
            </w:r>
          </w:p>
        </w:tc>
      </w:tr>
      <w:tr w:rsidR="00776C47" w:rsidRPr="00C3724D" w14:paraId="32DD7C3E" w14:textId="77777777" w:rsidTr="00776C47">
        <w:trPr>
          <w:trHeight w:val="310"/>
        </w:trPr>
        <w:tc>
          <w:tcPr>
            <w:tcW w:w="43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5958" w14:textId="77777777" w:rsidR="00776C47" w:rsidRPr="00C3724D" w:rsidRDefault="00776C47" w:rsidP="00776C47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Number of Mid Cap companies</w:t>
            </w:r>
          </w:p>
        </w:tc>
        <w:tc>
          <w:tcPr>
            <w:tcW w:w="7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C3A18" w14:textId="77777777" w:rsidR="00776C47" w:rsidRPr="00C3724D" w:rsidRDefault="00776C47" w:rsidP="00776C4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3421</w:t>
            </w:r>
          </w:p>
        </w:tc>
      </w:tr>
      <w:tr w:rsidR="00776C47" w:rsidRPr="00C3724D" w14:paraId="6BD6C409" w14:textId="77777777" w:rsidTr="00776C47">
        <w:trPr>
          <w:trHeight w:val="310"/>
        </w:trPr>
        <w:tc>
          <w:tcPr>
            <w:tcW w:w="4305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F421F9" w14:textId="77777777" w:rsidR="00776C47" w:rsidRPr="00C3724D" w:rsidRDefault="00776C47" w:rsidP="00776C47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Number of Small Cap companies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84A4A" w14:textId="77777777" w:rsidR="00776C47" w:rsidRPr="00C3724D" w:rsidRDefault="00776C47" w:rsidP="00776C4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1432</w:t>
            </w:r>
          </w:p>
        </w:tc>
      </w:tr>
      <w:tr w:rsidR="00776C47" w:rsidRPr="00C3724D" w14:paraId="1A133937" w14:textId="77777777" w:rsidTr="00776C47">
        <w:trPr>
          <w:trHeight w:val="320"/>
        </w:trPr>
        <w:tc>
          <w:tcPr>
            <w:tcW w:w="4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2B6E3A" w14:textId="77777777" w:rsidR="00776C47" w:rsidRPr="00C3724D" w:rsidRDefault="00776C47" w:rsidP="00776C47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Number of Micro Cap companies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082B6" w14:textId="77777777" w:rsidR="00776C47" w:rsidRPr="00C3724D" w:rsidRDefault="00776C47" w:rsidP="00776C4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3724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1496</w:t>
            </w:r>
          </w:p>
        </w:tc>
      </w:tr>
    </w:tbl>
    <w:p w14:paraId="5D1A9CBA" w14:textId="77777777" w:rsidR="00C947AF" w:rsidRPr="00925853" w:rsidRDefault="00C947AF" w:rsidP="009D1E6A">
      <w:pPr>
        <w:rPr>
          <w:rFonts w:asciiTheme="majorHAnsi" w:eastAsia="Times New Roman" w:hAnsiTheme="majorHAnsi" w:cs="Calibri Light"/>
          <w:kern w:val="0"/>
          <w:lang w:eastAsia="en-GB"/>
          <w14:ligatures w14:val="none"/>
        </w:rPr>
      </w:pPr>
    </w:p>
    <w:p w14:paraId="5F98703D" w14:textId="6A81701D" w:rsidR="009D1E6A" w:rsidRDefault="009D1E6A" w:rsidP="00422A92">
      <w:pPr>
        <w:rPr>
          <w:rFonts w:asciiTheme="majorHAnsi" w:hAnsiTheme="majorHAnsi" w:cs="Calibri Light"/>
        </w:rPr>
      </w:pPr>
    </w:p>
    <w:p w14:paraId="2B0D2EDB" w14:textId="77777777" w:rsidR="006C2366" w:rsidRDefault="006C2366" w:rsidP="00422A92">
      <w:pPr>
        <w:rPr>
          <w:rFonts w:asciiTheme="majorHAnsi" w:hAnsiTheme="majorHAnsi" w:cs="Calibri Light"/>
        </w:rPr>
      </w:pPr>
    </w:p>
    <w:p w14:paraId="17E96B55" w14:textId="77777777" w:rsidR="006C2366" w:rsidRPr="00925853" w:rsidRDefault="006C2366" w:rsidP="00422A92">
      <w:pPr>
        <w:rPr>
          <w:rFonts w:asciiTheme="majorHAnsi" w:hAnsiTheme="majorHAnsi" w:cs="Calibri Light"/>
        </w:rPr>
      </w:pPr>
    </w:p>
    <w:p w14:paraId="685CEAF5" w14:textId="77777777" w:rsidR="00B26817" w:rsidRDefault="00B26817" w:rsidP="00422A92">
      <w:pPr>
        <w:rPr>
          <w:rFonts w:asciiTheme="majorHAnsi" w:hAnsiTheme="majorHAnsi" w:cs="Calibri Light"/>
        </w:rPr>
      </w:pPr>
    </w:p>
    <w:p w14:paraId="28B54B88" w14:textId="77777777" w:rsidR="009440D4" w:rsidRPr="009440D4" w:rsidRDefault="009440D4" w:rsidP="009440D4">
      <w:pPr>
        <w:rPr>
          <w:rFonts w:asciiTheme="majorHAnsi" w:hAnsiTheme="majorHAnsi" w:cs="Calibri Light"/>
        </w:rPr>
      </w:pPr>
    </w:p>
    <w:p w14:paraId="24DBC004" w14:textId="77777777" w:rsidR="009440D4" w:rsidRPr="009440D4" w:rsidRDefault="009440D4" w:rsidP="009440D4">
      <w:pPr>
        <w:rPr>
          <w:rFonts w:asciiTheme="majorHAnsi" w:hAnsiTheme="majorHAnsi" w:cs="Calibri Light"/>
        </w:rPr>
      </w:pPr>
    </w:p>
    <w:p w14:paraId="560F92B3" w14:textId="77777777" w:rsidR="009440D4" w:rsidRDefault="009440D4" w:rsidP="009440D4">
      <w:pPr>
        <w:rPr>
          <w:rFonts w:asciiTheme="majorHAnsi" w:hAnsiTheme="majorHAnsi" w:cs="Calibri Light"/>
        </w:rPr>
      </w:pPr>
    </w:p>
    <w:p w14:paraId="5DE094C3" w14:textId="68A1D551" w:rsidR="009440D4" w:rsidRPr="003153AB" w:rsidRDefault="008A7398" w:rsidP="009440D4">
      <w:pPr>
        <w:rPr>
          <w:rFonts w:ascii="Calibri Light" w:hAnsi="Calibri Light" w:cs="Calibri Light"/>
          <w:sz w:val="24"/>
          <w:szCs w:val="24"/>
        </w:rPr>
      </w:pPr>
      <w:r w:rsidRPr="003153AB">
        <w:rPr>
          <w:rFonts w:ascii="Calibri Light" w:hAnsi="Calibri Light" w:cs="Calibri Light"/>
          <w:sz w:val="24"/>
          <w:szCs w:val="24"/>
        </w:rPr>
        <w:t xml:space="preserve">The market capitalisation </w:t>
      </w:r>
      <w:r w:rsidR="004B112D" w:rsidRPr="003153AB">
        <w:rPr>
          <w:rFonts w:ascii="Calibri Light" w:hAnsi="Calibri Light" w:cs="Calibri Light"/>
          <w:sz w:val="24"/>
          <w:szCs w:val="24"/>
        </w:rPr>
        <w:t xml:space="preserve">categories </w:t>
      </w:r>
      <w:r w:rsidR="005C2A2C" w:rsidRPr="003153AB">
        <w:rPr>
          <w:rFonts w:ascii="Calibri Light" w:hAnsi="Calibri Light" w:cs="Calibri Light"/>
          <w:sz w:val="24"/>
          <w:szCs w:val="24"/>
        </w:rPr>
        <w:t>are defined as follows:</w:t>
      </w:r>
    </w:p>
    <w:p w14:paraId="64AC4512" w14:textId="77777777" w:rsidR="003153AB" w:rsidRPr="003153AB" w:rsidRDefault="003153AB" w:rsidP="009440D4">
      <w:pPr>
        <w:rPr>
          <w:rFonts w:ascii="Calibri Light" w:hAnsi="Calibri Light" w:cs="Calibri Light"/>
          <w:sz w:val="24"/>
          <w:szCs w:val="24"/>
        </w:rPr>
      </w:pPr>
    </w:p>
    <w:p w14:paraId="76D00079" w14:textId="565F19EF" w:rsidR="003153AB" w:rsidRDefault="0009752A" w:rsidP="0009752A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Large Cap companies are </w:t>
      </w:r>
      <w:r w:rsidR="00FA5005">
        <w:rPr>
          <w:rFonts w:ascii="Calibri Light" w:hAnsi="Calibri Light" w:cs="Calibri Light"/>
          <w:sz w:val="24"/>
          <w:szCs w:val="24"/>
        </w:rPr>
        <w:t xml:space="preserve">those </w:t>
      </w:r>
      <w:r>
        <w:rPr>
          <w:rFonts w:ascii="Calibri Light" w:hAnsi="Calibri Light" w:cs="Calibri Light"/>
          <w:sz w:val="24"/>
          <w:szCs w:val="24"/>
        </w:rPr>
        <w:t>worth greater than $10 trillion.</w:t>
      </w:r>
    </w:p>
    <w:p w14:paraId="77076797" w14:textId="71BB22C1" w:rsidR="00C62017" w:rsidRDefault="00103E8F" w:rsidP="0009752A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Mid Cap companies are </w:t>
      </w:r>
      <w:r w:rsidR="00F778D4">
        <w:rPr>
          <w:rFonts w:ascii="Calibri Light" w:hAnsi="Calibri Light" w:cs="Calibri Light"/>
          <w:sz w:val="24"/>
          <w:szCs w:val="24"/>
        </w:rPr>
        <w:t xml:space="preserve">those </w:t>
      </w:r>
      <w:r>
        <w:rPr>
          <w:rFonts w:ascii="Calibri Light" w:hAnsi="Calibri Light" w:cs="Calibri Light"/>
          <w:sz w:val="24"/>
          <w:szCs w:val="24"/>
        </w:rPr>
        <w:t xml:space="preserve">worth </w:t>
      </w:r>
      <w:r w:rsidR="00C62017">
        <w:rPr>
          <w:rFonts w:ascii="Calibri Light" w:hAnsi="Calibri Light" w:cs="Calibri Light"/>
          <w:sz w:val="24"/>
          <w:szCs w:val="24"/>
        </w:rPr>
        <w:t>between $1 billion and less than $10 trillion.</w:t>
      </w:r>
    </w:p>
    <w:p w14:paraId="04AB0EEA" w14:textId="794CCBE6" w:rsidR="009502D2" w:rsidRDefault="003B75CA" w:rsidP="0009752A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Small Cap companies are </w:t>
      </w:r>
      <w:r w:rsidR="00F778D4">
        <w:rPr>
          <w:rFonts w:ascii="Calibri Light" w:hAnsi="Calibri Light" w:cs="Calibri Light"/>
          <w:sz w:val="24"/>
          <w:szCs w:val="24"/>
        </w:rPr>
        <w:t xml:space="preserve">those </w:t>
      </w:r>
      <w:r>
        <w:rPr>
          <w:rFonts w:ascii="Calibri Light" w:hAnsi="Calibri Light" w:cs="Calibri Light"/>
          <w:sz w:val="24"/>
          <w:szCs w:val="24"/>
        </w:rPr>
        <w:t xml:space="preserve">worth between $250 million </w:t>
      </w:r>
      <w:r w:rsidR="006C62D9">
        <w:rPr>
          <w:rFonts w:ascii="Calibri Light" w:hAnsi="Calibri Light" w:cs="Calibri Light"/>
          <w:sz w:val="24"/>
          <w:szCs w:val="24"/>
        </w:rPr>
        <w:t xml:space="preserve">and less than </w:t>
      </w:r>
      <w:r w:rsidR="009502D2">
        <w:rPr>
          <w:rFonts w:ascii="Calibri Light" w:hAnsi="Calibri Light" w:cs="Calibri Light"/>
          <w:sz w:val="24"/>
          <w:szCs w:val="24"/>
        </w:rPr>
        <w:t>$1 billion.</w:t>
      </w:r>
    </w:p>
    <w:p w14:paraId="193F46E7" w14:textId="12615103" w:rsidR="00DE778B" w:rsidRDefault="009502D2" w:rsidP="0009752A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Micro Cap companies are </w:t>
      </w:r>
      <w:r w:rsidR="00C57FEF">
        <w:rPr>
          <w:rFonts w:ascii="Calibri Light" w:hAnsi="Calibri Light" w:cs="Calibri Light"/>
          <w:sz w:val="24"/>
          <w:szCs w:val="24"/>
        </w:rPr>
        <w:t xml:space="preserve">those </w:t>
      </w:r>
      <w:r>
        <w:rPr>
          <w:rFonts w:ascii="Calibri Light" w:hAnsi="Calibri Light" w:cs="Calibri Light"/>
          <w:sz w:val="24"/>
          <w:szCs w:val="24"/>
        </w:rPr>
        <w:t xml:space="preserve">worth less than </w:t>
      </w:r>
      <w:r w:rsidR="002A6589">
        <w:rPr>
          <w:rFonts w:ascii="Calibri Light" w:hAnsi="Calibri Light" w:cs="Calibri Light"/>
          <w:sz w:val="24"/>
          <w:szCs w:val="24"/>
        </w:rPr>
        <w:t>$250 million.</w:t>
      </w:r>
    </w:p>
    <w:p w14:paraId="4DEA1F93" w14:textId="77777777" w:rsidR="00DE778B" w:rsidRDefault="00DE778B" w:rsidP="00DE778B">
      <w:pPr>
        <w:rPr>
          <w:rFonts w:ascii="Calibri Light" w:hAnsi="Calibri Light" w:cs="Calibri Light"/>
          <w:sz w:val="24"/>
          <w:szCs w:val="24"/>
        </w:rPr>
      </w:pPr>
    </w:p>
    <w:p w14:paraId="7A1F75A0" w14:textId="77B2CA97" w:rsidR="0048612D" w:rsidRDefault="006B28B3" w:rsidP="00DE778B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following table </w:t>
      </w:r>
      <w:r w:rsidR="002C6D79">
        <w:rPr>
          <w:rFonts w:ascii="Calibri Light" w:hAnsi="Calibri Light" w:cs="Calibri Light"/>
          <w:sz w:val="24"/>
          <w:szCs w:val="24"/>
        </w:rPr>
        <w:t xml:space="preserve">shows the </w:t>
      </w:r>
      <w:r w:rsidR="005024D7">
        <w:rPr>
          <w:rFonts w:ascii="Calibri Light" w:hAnsi="Calibri Light" w:cs="Calibri Light"/>
          <w:sz w:val="24"/>
          <w:szCs w:val="24"/>
        </w:rPr>
        <w:t>company worth (i.e. market capitalisations) and countries of a few well-known global financial organisations</w:t>
      </w:r>
      <w:r w:rsidR="00207311">
        <w:rPr>
          <w:rFonts w:ascii="Calibri Light" w:hAnsi="Calibri Light" w:cs="Calibri Light"/>
          <w:sz w:val="24"/>
          <w:szCs w:val="24"/>
        </w:rPr>
        <w:t>:</w:t>
      </w:r>
    </w:p>
    <w:p w14:paraId="648588EF" w14:textId="77777777" w:rsidR="00E466C1" w:rsidRDefault="00E466C1" w:rsidP="00DE778B">
      <w:pPr>
        <w:rPr>
          <w:rFonts w:ascii="Calibri Light" w:hAnsi="Calibri Light" w:cs="Calibri Light"/>
          <w:sz w:val="24"/>
          <w:szCs w:val="24"/>
        </w:rPr>
      </w:pPr>
    </w:p>
    <w:tbl>
      <w:tblPr>
        <w:tblW w:w="6950" w:type="dxa"/>
        <w:tblLook w:val="04A0" w:firstRow="1" w:lastRow="0" w:firstColumn="1" w:lastColumn="0" w:noHBand="0" w:noVBand="1"/>
      </w:tblPr>
      <w:tblGrid>
        <w:gridCol w:w="1785"/>
        <w:gridCol w:w="2401"/>
        <w:gridCol w:w="2764"/>
      </w:tblGrid>
      <w:tr w:rsidR="00277646" w:rsidRPr="00277646" w14:paraId="358E0BCE" w14:textId="77777777" w:rsidTr="00641155">
        <w:trPr>
          <w:trHeight w:val="38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5907" w14:textId="77777777" w:rsidR="00277646" w:rsidRPr="00277646" w:rsidRDefault="00277646" w:rsidP="0027764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760FF" w14:textId="77777777" w:rsidR="00277646" w:rsidRPr="00277646" w:rsidRDefault="00277646" w:rsidP="002776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Company Worth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0EF6E" w14:textId="77777777" w:rsidR="00277646" w:rsidRPr="00277646" w:rsidRDefault="00277646" w:rsidP="002776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Country </w:t>
            </w:r>
          </w:p>
        </w:tc>
      </w:tr>
      <w:tr w:rsidR="00277646" w:rsidRPr="00277646" w14:paraId="3EC88543" w14:textId="77777777" w:rsidTr="00641155">
        <w:trPr>
          <w:trHeight w:val="310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A432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Santander</w:t>
            </w:r>
          </w:p>
        </w:tc>
        <w:tc>
          <w:tcPr>
            <w:tcW w:w="24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12DB26" w14:textId="77777777" w:rsidR="00277646" w:rsidRPr="00277646" w:rsidRDefault="00277646" w:rsidP="0027764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$61,090,000,000.00</w:t>
            </w:r>
          </w:p>
        </w:tc>
        <w:tc>
          <w:tcPr>
            <w:tcW w:w="2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DF122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Spain</w:t>
            </w:r>
          </w:p>
        </w:tc>
      </w:tr>
      <w:tr w:rsidR="00277646" w:rsidRPr="00277646" w14:paraId="3CB50197" w14:textId="77777777" w:rsidTr="00641155">
        <w:trPr>
          <w:trHeight w:val="310"/>
        </w:trPr>
        <w:tc>
          <w:tcPr>
            <w:tcW w:w="17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2200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BNP Paribas</w:t>
            </w:r>
          </w:p>
        </w:tc>
        <w:tc>
          <w:tcPr>
            <w:tcW w:w="240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FE187D" w14:textId="77777777" w:rsidR="00277646" w:rsidRPr="00277646" w:rsidRDefault="00277646" w:rsidP="0027764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$76,880,000,000.00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E5FFB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France</w:t>
            </w:r>
          </w:p>
        </w:tc>
      </w:tr>
      <w:tr w:rsidR="00277646" w:rsidRPr="00277646" w14:paraId="71E1CFDD" w14:textId="77777777" w:rsidTr="00641155">
        <w:trPr>
          <w:trHeight w:val="310"/>
        </w:trPr>
        <w:tc>
          <w:tcPr>
            <w:tcW w:w="17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DCCB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Barclays</w:t>
            </w:r>
          </w:p>
        </w:tc>
        <w:tc>
          <w:tcPr>
            <w:tcW w:w="240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C5108B" w14:textId="77777777" w:rsidR="00277646" w:rsidRPr="00277646" w:rsidRDefault="00277646" w:rsidP="0027764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$28,710,000,000.00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87233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United Kingdom</w:t>
            </w:r>
          </w:p>
        </w:tc>
      </w:tr>
      <w:tr w:rsidR="00277646" w:rsidRPr="00277646" w14:paraId="7FD70589" w14:textId="77777777" w:rsidTr="00641155">
        <w:trPr>
          <w:trHeight w:val="310"/>
        </w:trPr>
        <w:tc>
          <w:tcPr>
            <w:tcW w:w="17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3A1B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Mastercard</w:t>
            </w:r>
          </w:p>
        </w:tc>
        <w:tc>
          <w:tcPr>
            <w:tcW w:w="240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F22281" w14:textId="77777777" w:rsidR="00277646" w:rsidRPr="00277646" w:rsidRDefault="00277646" w:rsidP="0027764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$410,650,000,000.00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2A314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United States of America</w:t>
            </w:r>
          </w:p>
        </w:tc>
      </w:tr>
      <w:tr w:rsidR="00277646" w:rsidRPr="00277646" w14:paraId="66F5FC79" w14:textId="77777777" w:rsidTr="00641155">
        <w:trPr>
          <w:trHeight w:val="310"/>
        </w:trPr>
        <w:tc>
          <w:tcPr>
            <w:tcW w:w="17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5FB6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Deutsche Bank</w:t>
            </w:r>
          </w:p>
        </w:tc>
        <w:tc>
          <w:tcPr>
            <w:tcW w:w="2401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0CE90" w14:textId="77777777" w:rsidR="00277646" w:rsidRPr="00277646" w:rsidRDefault="00277646" w:rsidP="0027764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$26,030,000,000.00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1577C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Germany</w:t>
            </w:r>
          </w:p>
        </w:tc>
      </w:tr>
      <w:tr w:rsidR="00277646" w:rsidRPr="00277646" w14:paraId="00961EFA" w14:textId="77777777" w:rsidTr="00641155">
        <w:trPr>
          <w:trHeight w:val="320"/>
        </w:trPr>
        <w:tc>
          <w:tcPr>
            <w:tcW w:w="17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3924A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Bank of China</w:t>
            </w:r>
          </w:p>
        </w:tc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6FDCAE" w14:textId="77777777" w:rsidR="00277646" w:rsidRPr="00277646" w:rsidRDefault="00277646" w:rsidP="0027764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$157,800,000,000.00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1B0BE" w14:textId="77777777" w:rsidR="00277646" w:rsidRPr="00277646" w:rsidRDefault="00277646" w:rsidP="0027764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764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China</w:t>
            </w:r>
          </w:p>
        </w:tc>
      </w:tr>
    </w:tbl>
    <w:p w14:paraId="5A426813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1D63B19E" w14:textId="6EBF6E5D" w:rsidR="0048612D" w:rsidRDefault="002574D0" w:rsidP="00DE778B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</w:t>
      </w:r>
      <w:r w:rsidR="00FE578B">
        <w:rPr>
          <w:rFonts w:ascii="Calibri Light" w:hAnsi="Calibri Light" w:cs="Calibri Light"/>
          <w:sz w:val="24"/>
          <w:szCs w:val="24"/>
        </w:rPr>
        <w:t xml:space="preserve">e bar chart </w:t>
      </w:r>
      <w:r>
        <w:rPr>
          <w:rFonts w:ascii="Calibri Light" w:hAnsi="Calibri Light" w:cs="Calibri Light"/>
          <w:sz w:val="24"/>
          <w:szCs w:val="24"/>
        </w:rPr>
        <w:t xml:space="preserve">on the next page </w:t>
      </w:r>
      <w:r w:rsidR="00FE578B">
        <w:rPr>
          <w:rFonts w:ascii="Calibri Light" w:hAnsi="Calibri Light" w:cs="Calibri Light"/>
          <w:sz w:val="24"/>
          <w:szCs w:val="24"/>
        </w:rPr>
        <w:t xml:space="preserve">summarises the market capitalisations of the Top 10 companies. </w:t>
      </w:r>
      <w:r w:rsidR="00CE48E8">
        <w:rPr>
          <w:rFonts w:ascii="Calibri Light" w:hAnsi="Calibri Light" w:cs="Calibri Light"/>
          <w:sz w:val="24"/>
          <w:szCs w:val="24"/>
        </w:rPr>
        <w:t>As it can be seen, Microsoft is worth the most</w:t>
      </w:r>
      <w:r w:rsidR="007315DA">
        <w:rPr>
          <w:rFonts w:ascii="Calibri Light" w:hAnsi="Calibri Light" w:cs="Calibri Light"/>
          <w:sz w:val="24"/>
          <w:szCs w:val="24"/>
        </w:rPr>
        <w:t xml:space="preserve"> at </w:t>
      </w:r>
      <w:r w:rsidR="007315DA">
        <w:rPr>
          <w:rFonts w:ascii="Calibri Light" w:hAnsi="Calibri Light" w:cs="Calibri Light"/>
          <w:sz w:val="24"/>
          <w:szCs w:val="24"/>
          <w:lang w:val="en-US"/>
        </w:rPr>
        <w:t>over $3 trillion</w:t>
      </w:r>
      <w:r w:rsidR="009D3C81">
        <w:rPr>
          <w:rFonts w:ascii="Calibri Light" w:hAnsi="Calibri Light" w:cs="Calibri Light"/>
          <w:sz w:val="24"/>
          <w:szCs w:val="24"/>
          <w:lang w:val="en-US"/>
        </w:rPr>
        <w:t xml:space="preserve">, followed by Apple and Saudi Arabia Aramco </w:t>
      </w:r>
      <w:r w:rsidR="006C00B3">
        <w:rPr>
          <w:rFonts w:ascii="Calibri Light" w:hAnsi="Calibri Light" w:cs="Calibri Light"/>
          <w:sz w:val="24"/>
          <w:szCs w:val="24"/>
          <w:lang w:val="en-US"/>
        </w:rPr>
        <w:t xml:space="preserve">(which are both worth between $2 trillion and $3 trillion). </w:t>
      </w:r>
    </w:p>
    <w:p w14:paraId="1CDCB66A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1C8BCBFC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157EC40E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5503861D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52056E36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06640E6B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0CC1F8BB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480E94CB" w14:textId="77777777" w:rsidR="0048612D" w:rsidRDefault="0048612D" w:rsidP="00DE778B">
      <w:pPr>
        <w:rPr>
          <w:rFonts w:ascii="Calibri Light" w:hAnsi="Calibri Light" w:cs="Calibri Light"/>
          <w:sz w:val="24"/>
          <w:szCs w:val="24"/>
        </w:rPr>
      </w:pPr>
    </w:p>
    <w:p w14:paraId="66A319EF" w14:textId="77777777" w:rsidR="002A1B06" w:rsidRDefault="002A1B06" w:rsidP="00DE778B">
      <w:pPr>
        <w:rPr>
          <w:rFonts w:ascii="Calibri Light" w:hAnsi="Calibri Light" w:cs="Calibri Light"/>
          <w:sz w:val="24"/>
          <w:szCs w:val="24"/>
        </w:rPr>
        <w:sectPr w:rsidR="002A1B06" w:rsidSect="00CD233C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43A2EEF" w14:textId="1B7D4F96" w:rsidR="00C86446" w:rsidRDefault="00B85EDE" w:rsidP="00DE778B">
      <w:pPr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BFF6C5" wp14:editId="3162E3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293350" cy="5156200"/>
            <wp:effectExtent l="0" t="0" r="12700" b="6350"/>
            <wp:wrapSquare wrapText="bothSides"/>
            <wp:docPr id="11863447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062988-1F0C-4180-A35E-4099EABFB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F68C6" w14:textId="19CBAED2" w:rsidR="00F01AE5" w:rsidRDefault="00F01AE5" w:rsidP="00F01AE5">
      <w:pPr>
        <w:rPr>
          <w:rFonts w:ascii="Calibri Light" w:hAnsi="Calibri Light" w:cs="Calibri Light"/>
          <w:sz w:val="24"/>
          <w:szCs w:val="24"/>
        </w:rPr>
      </w:pPr>
    </w:p>
    <w:p w14:paraId="11CC13E5" w14:textId="77777777" w:rsidR="000B674F" w:rsidRDefault="000B674F" w:rsidP="00DE778B">
      <w:pPr>
        <w:rPr>
          <w:rFonts w:ascii="Calibri Light" w:hAnsi="Calibri Light" w:cs="Calibri Light"/>
          <w:sz w:val="24"/>
          <w:szCs w:val="24"/>
        </w:rPr>
        <w:sectPr w:rsidR="000B674F" w:rsidSect="002A1B0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68ADF27" w14:textId="3593B0B3" w:rsidR="00C86446" w:rsidRDefault="00FA5F7A" w:rsidP="00C86446">
      <w:pPr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B84595" wp14:editId="757A18FA">
            <wp:simplePos x="0" y="0"/>
            <wp:positionH relativeFrom="margin">
              <wp:align>center</wp:align>
            </wp:positionH>
            <wp:positionV relativeFrom="paragraph">
              <wp:posOffset>670919</wp:posOffset>
            </wp:positionV>
            <wp:extent cx="5321300" cy="3430905"/>
            <wp:effectExtent l="0" t="0" r="12700" b="17145"/>
            <wp:wrapSquare wrapText="bothSides"/>
            <wp:docPr id="17382702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86661B-6C64-48C4-9F64-88718D1614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74F">
        <w:rPr>
          <w:rFonts w:ascii="Calibri Light" w:hAnsi="Calibri Light" w:cs="Calibri Light"/>
          <w:sz w:val="24"/>
          <w:szCs w:val="24"/>
        </w:rPr>
        <w:t>T</w:t>
      </w:r>
      <w:r w:rsidR="00E85D62">
        <w:rPr>
          <w:rFonts w:ascii="Calibri Light" w:hAnsi="Calibri Light" w:cs="Calibri Light"/>
          <w:sz w:val="24"/>
          <w:szCs w:val="24"/>
        </w:rPr>
        <w:t xml:space="preserve">he pie chart </w:t>
      </w:r>
      <w:r w:rsidR="00347716">
        <w:rPr>
          <w:rFonts w:ascii="Calibri Light" w:hAnsi="Calibri Light" w:cs="Calibri Light"/>
          <w:sz w:val="24"/>
          <w:szCs w:val="24"/>
        </w:rPr>
        <w:t xml:space="preserve">shows the total percentage of the number of shares for each market capitalisation category. </w:t>
      </w:r>
      <w:r w:rsidR="00013B08">
        <w:rPr>
          <w:rFonts w:ascii="Calibri Light" w:hAnsi="Calibri Light" w:cs="Calibri Light"/>
          <w:sz w:val="24"/>
          <w:szCs w:val="24"/>
        </w:rPr>
        <w:t>Large Cap and Mid Cap companies make up most</w:t>
      </w:r>
      <w:r w:rsidR="00A6271E">
        <w:rPr>
          <w:rFonts w:ascii="Calibri Light" w:hAnsi="Calibri Light" w:cs="Calibri Light"/>
          <w:sz w:val="24"/>
          <w:szCs w:val="24"/>
        </w:rPr>
        <w:t xml:space="preserve"> of</w:t>
      </w:r>
      <w:r w:rsidR="00013B08">
        <w:rPr>
          <w:rFonts w:ascii="Calibri Light" w:hAnsi="Calibri Light" w:cs="Calibri Light"/>
          <w:sz w:val="24"/>
          <w:szCs w:val="24"/>
        </w:rPr>
        <w:t xml:space="preserve"> the </w:t>
      </w:r>
      <w:r w:rsidR="00A6271E">
        <w:rPr>
          <w:rFonts w:ascii="Calibri Light" w:hAnsi="Calibri Light" w:cs="Calibri Light"/>
          <w:sz w:val="24"/>
          <w:szCs w:val="24"/>
        </w:rPr>
        <w:t xml:space="preserve">market, </w:t>
      </w:r>
      <w:r w:rsidR="00A157D3">
        <w:rPr>
          <w:rFonts w:ascii="Calibri Light" w:hAnsi="Calibri Light" w:cs="Calibri Light"/>
          <w:sz w:val="24"/>
          <w:szCs w:val="24"/>
        </w:rPr>
        <w:t xml:space="preserve">due to values of 53.49% </w:t>
      </w:r>
      <w:r w:rsidR="000B0F35">
        <w:rPr>
          <w:rFonts w:ascii="Calibri Light" w:hAnsi="Calibri Light" w:cs="Calibri Light"/>
          <w:sz w:val="24"/>
          <w:szCs w:val="24"/>
        </w:rPr>
        <w:t>and 41.33% respectively.</w:t>
      </w:r>
      <w:r w:rsidR="00013B08">
        <w:rPr>
          <w:rFonts w:ascii="Calibri Light" w:hAnsi="Calibri Light" w:cs="Calibri Light"/>
          <w:sz w:val="24"/>
          <w:szCs w:val="24"/>
        </w:rPr>
        <w:t xml:space="preserve"> </w:t>
      </w:r>
    </w:p>
    <w:p w14:paraId="2EA39927" w14:textId="43CF628C" w:rsidR="001F1D56" w:rsidRDefault="001F1D56" w:rsidP="00C86446">
      <w:pPr>
        <w:rPr>
          <w:rFonts w:ascii="Calibri Light" w:hAnsi="Calibri Light" w:cs="Calibri Light"/>
          <w:sz w:val="24"/>
          <w:szCs w:val="24"/>
        </w:rPr>
      </w:pPr>
    </w:p>
    <w:p w14:paraId="16EAC445" w14:textId="178DC822" w:rsidR="00193501" w:rsidRDefault="001D65FE" w:rsidP="005130EE">
      <w:pPr>
        <w:rPr>
          <w:rFonts w:ascii="Calibri Light" w:hAnsi="Calibri Light" w:cs="Calibri Light"/>
          <w:sz w:val="24"/>
          <w:szCs w:val="24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0288" behindDoc="0" locked="0" layoutInCell="1" allowOverlap="1" wp14:anchorId="5EC9687E" wp14:editId="57201887">
                <wp:simplePos x="0" y="0"/>
                <wp:positionH relativeFrom="margin">
                  <wp:posOffset>-508000</wp:posOffset>
                </wp:positionH>
                <wp:positionV relativeFrom="paragraph">
                  <wp:posOffset>654050</wp:posOffset>
                </wp:positionV>
                <wp:extent cx="6826250" cy="3733800"/>
                <wp:effectExtent l="0" t="0" r="12700" b="0"/>
                <wp:wrapSquare wrapText="bothSides"/>
                <wp:docPr id="1493412003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2C1E27-ECCC-4DDF-86EA-CDA56436A3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EC9687E" wp14:editId="57201887">
                <wp:simplePos x="0" y="0"/>
                <wp:positionH relativeFrom="margin">
                  <wp:posOffset>-508000</wp:posOffset>
                </wp:positionH>
                <wp:positionV relativeFrom="paragraph">
                  <wp:posOffset>654050</wp:posOffset>
                </wp:positionV>
                <wp:extent cx="6826250" cy="3733800"/>
                <wp:effectExtent l="0" t="0" r="12700" b="0"/>
                <wp:wrapSquare wrapText="bothSides"/>
                <wp:docPr id="1493412003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2C1E27-ECCC-4DDF-86EA-CDA56436A38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412003" name="Chart 1">
                          <a:extLst>
                            <a:ext uri="{FF2B5EF4-FFF2-40B4-BE49-F238E27FC236}">
                              <a16:creationId xmlns:a16="http://schemas.microsoft.com/office/drawing/2014/main" id="{982C1E27-ECCC-4DDF-86EA-CDA56436A38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655C97">
        <w:rPr>
          <w:rFonts w:ascii="Calibri Light" w:hAnsi="Calibri Light" w:cs="Calibri Light"/>
          <w:sz w:val="24"/>
          <w:szCs w:val="24"/>
        </w:rPr>
        <w:t xml:space="preserve">In terms of the stock prices of </w:t>
      </w:r>
      <w:r w:rsidR="008A65BC">
        <w:rPr>
          <w:rFonts w:ascii="Calibri Light" w:hAnsi="Calibri Light" w:cs="Calibri Light"/>
          <w:sz w:val="24"/>
          <w:szCs w:val="24"/>
        </w:rPr>
        <w:t xml:space="preserve">the Top 500 companies, </w:t>
      </w:r>
      <w:r w:rsidR="00554E33">
        <w:rPr>
          <w:rFonts w:ascii="Calibri Light" w:hAnsi="Calibri Light" w:cs="Calibri Light"/>
          <w:sz w:val="24"/>
          <w:szCs w:val="24"/>
        </w:rPr>
        <w:t xml:space="preserve">the following histogram </w:t>
      </w:r>
      <w:r w:rsidR="004C3844">
        <w:rPr>
          <w:rFonts w:ascii="Calibri Light" w:hAnsi="Calibri Light" w:cs="Calibri Light"/>
          <w:sz w:val="24"/>
          <w:szCs w:val="24"/>
        </w:rPr>
        <w:t>illustrates that over 70% of these companies have stock prices ranging between $0.35</w:t>
      </w:r>
      <w:r w:rsidR="00EF2390">
        <w:rPr>
          <w:rFonts w:ascii="Calibri Light" w:hAnsi="Calibri Light" w:cs="Calibri Light"/>
          <w:sz w:val="24"/>
          <w:szCs w:val="24"/>
        </w:rPr>
        <w:t xml:space="preserve"> and $170.35. </w:t>
      </w:r>
      <w:r w:rsidR="003B057C">
        <w:rPr>
          <w:rFonts w:ascii="Calibri Light" w:hAnsi="Calibri Light" w:cs="Calibri Light"/>
          <w:sz w:val="24"/>
          <w:szCs w:val="24"/>
        </w:rPr>
        <w:t xml:space="preserve">Only 7 </w:t>
      </w:r>
      <w:r w:rsidR="00404CA6">
        <w:rPr>
          <w:rFonts w:ascii="Calibri Light" w:hAnsi="Calibri Light" w:cs="Calibri Light"/>
          <w:sz w:val="24"/>
          <w:szCs w:val="24"/>
        </w:rPr>
        <w:t xml:space="preserve">of these </w:t>
      </w:r>
      <w:r w:rsidR="003B057C">
        <w:rPr>
          <w:rFonts w:ascii="Calibri Light" w:hAnsi="Calibri Light" w:cs="Calibri Light"/>
          <w:sz w:val="24"/>
          <w:szCs w:val="24"/>
        </w:rPr>
        <w:t xml:space="preserve">companies have stock prices </w:t>
      </w:r>
      <w:r w:rsidR="003743EE">
        <w:rPr>
          <w:rFonts w:ascii="Calibri Light" w:hAnsi="Calibri Light" w:cs="Calibri Light"/>
          <w:sz w:val="24"/>
          <w:szCs w:val="24"/>
        </w:rPr>
        <w:t>above</w:t>
      </w:r>
      <w:r w:rsidR="003B057C">
        <w:rPr>
          <w:rFonts w:ascii="Calibri Light" w:hAnsi="Calibri Light" w:cs="Calibri Light"/>
          <w:sz w:val="24"/>
          <w:szCs w:val="24"/>
        </w:rPr>
        <w:t xml:space="preserve"> </w:t>
      </w:r>
      <w:r w:rsidR="002A4128">
        <w:rPr>
          <w:rFonts w:ascii="Calibri Light" w:hAnsi="Calibri Light" w:cs="Calibri Light"/>
          <w:sz w:val="24"/>
          <w:szCs w:val="24"/>
        </w:rPr>
        <w:t xml:space="preserve">$1,318.00. </w:t>
      </w:r>
    </w:p>
    <w:p w14:paraId="29D6D541" w14:textId="5D5B5C37" w:rsidR="00107A98" w:rsidRDefault="00643F42" w:rsidP="005130EE">
      <w:pPr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455662" wp14:editId="1C39F246">
            <wp:simplePos x="0" y="0"/>
            <wp:positionH relativeFrom="margin">
              <wp:posOffset>2742439</wp:posOffset>
            </wp:positionH>
            <wp:positionV relativeFrom="paragraph">
              <wp:posOffset>1303076</wp:posOffset>
            </wp:positionV>
            <wp:extent cx="3494405" cy="3726180"/>
            <wp:effectExtent l="0" t="0" r="0" b="7620"/>
            <wp:wrapSquare wrapText="bothSides"/>
            <wp:docPr id="18656105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10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ADC">
        <w:rPr>
          <w:rFonts w:ascii="Calibri Light" w:hAnsi="Calibri Light" w:cs="Calibri Light"/>
          <w:sz w:val="24"/>
          <w:szCs w:val="24"/>
        </w:rPr>
        <w:t xml:space="preserve">The final part of the analysis looked at the number of companies in each of the G20 countries. </w:t>
      </w:r>
      <w:r w:rsidR="00483F59">
        <w:rPr>
          <w:rFonts w:ascii="Calibri Light" w:hAnsi="Calibri Light" w:cs="Calibri Light"/>
          <w:sz w:val="24"/>
          <w:szCs w:val="24"/>
        </w:rPr>
        <w:t>Here is a</w:t>
      </w:r>
      <w:r w:rsidR="00D7327F">
        <w:rPr>
          <w:rFonts w:ascii="Calibri Light" w:hAnsi="Calibri Light" w:cs="Calibri Light"/>
          <w:sz w:val="24"/>
          <w:szCs w:val="24"/>
        </w:rPr>
        <w:t xml:space="preserve"> pivot table </w:t>
      </w:r>
      <w:r w:rsidR="007C3706">
        <w:rPr>
          <w:rFonts w:ascii="Calibri Light" w:hAnsi="Calibri Light" w:cs="Calibri Light"/>
          <w:sz w:val="24"/>
          <w:szCs w:val="24"/>
        </w:rPr>
        <w:t>that contains the count</w:t>
      </w:r>
      <w:r w:rsidR="00B968E7">
        <w:rPr>
          <w:rFonts w:ascii="Calibri Light" w:hAnsi="Calibri Light" w:cs="Calibri Light"/>
          <w:sz w:val="24"/>
          <w:szCs w:val="24"/>
        </w:rPr>
        <w:t>s</w:t>
      </w:r>
      <w:r w:rsidR="007C3706">
        <w:rPr>
          <w:rFonts w:ascii="Calibri Light" w:hAnsi="Calibri Light" w:cs="Calibri Light"/>
          <w:sz w:val="24"/>
          <w:szCs w:val="24"/>
        </w:rPr>
        <w:t xml:space="preserve"> of the</w:t>
      </w:r>
      <w:r w:rsidR="0021669D">
        <w:rPr>
          <w:rFonts w:ascii="Calibri Light" w:hAnsi="Calibri Light" w:cs="Calibri Light"/>
          <w:sz w:val="24"/>
          <w:szCs w:val="24"/>
        </w:rPr>
        <w:t xml:space="preserve"> number of </w:t>
      </w:r>
      <w:r w:rsidR="00E1774E">
        <w:rPr>
          <w:rFonts w:ascii="Calibri Light" w:hAnsi="Calibri Light" w:cs="Calibri Light"/>
          <w:sz w:val="24"/>
          <w:szCs w:val="24"/>
        </w:rPr>
        <w:t>companies that belong to each of the</w:t>
      </w:r>
      <w:r w:rsidR="005A5893">
        <w:rPr>
          <w:rFonts w:ascii="Calibri Light" w:hAnsi="Calibri Light" w:cs="Calibri Light"/>
          <w:sz w:val="24"/>
          <w:szCs w:val="24"/>
        </w:rPr>
        <w:t>se</w:t>
      </w:r>
      <w:r w:rsidR="00E1774E">
        <w:rPr>
          <w:rFonts w:ascii="Calibri Light" w:hAnsi="Calibri Light" w:cs="Calibri Light"/>
          <w:sz w:val="24"/>
          <w:szCs w:val="24"/>
        </w:rPr>
        <w:t xml:space="preserve"> countries. A slicer was used by only selecting the G20 countries. </w:t>
      </w:r>
      <w:r w:rsidR="000F3C5D">
        <w:rPr>
          <w:rFonts w:ascii="Calibri Light" w:hAnsi="Calibri Light" w:cs="Calibri Light"/>
          <w:sz w:val="24"/>
          <w:szCs w:val="24"/>
        </w:rPr>
        <w:t>South Africa, one of the G20 countries, is not listed here as no record exists in the dataset for it.</w:t>
      </w:r>
    </w:p>
    <w:tbl>
      <w:tblPr>
        <w:tblpPr w:leftFromText="180" w:rightFromText="180" w:vertAnchor="text" w:horzAnchor="page" w:tblpX="677" w:tblpY="110"/>
        <w:tblOverlap w:val="never"/>
        <w:tblW w:w="4713" w:type="dxa"/>
        <w:tblLook w:val="04A0" w:firstRow="1" w:lastRow="0" w:firstColumn="1" w:lastColumn="0" w:noHBand="0" w:noVBand="1"/>
      </w:tblPr>
      <w:tblGrid>
        <w:gridCol w:w="2340"/>
        <w:gridCol w:w="2373"/>
      </w:tblGrid>
      <w:tr w:rsidR="00643F42" w:rsidRPr="00497B9E" w14:paraId="57936CBE" w14:textId="77777777" w:rsidTr="00701ACD">
        <w:trPr>
          <w:trHeight w:val="3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14:paraId="575C8205" w14:textId="77777777" w:rsidR="00643F42" w:rsidRPr="00497B9E" w:rsidRDefault="00643F42" w:rsidP="00643F4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 Names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2F4E21F" w14:textId="77777777" w:rsidR="00643F42" w:rsidRPr="00497B9E" w:rsidRDefault="00643F42" w:rsidP="00643F4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Number of Companies</w:t>
            </w:r>
          </w:p>
        </w:tc>
      </w:tr>
      <w:tr w:rsidR="00643F42" w:rsidRPr="00497B9E" w14:paraId="23A01113" w14:textId="77777777" w:rsidTr="00701ACD">
        <w:trPr>
          <w:trHeight w:val="310"/>
        </w:trPr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F98AD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Russia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1504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</w:t>
            </w:r>
          </w:p>
        </w:tc>
      </w:tr>
      <w:tr w:rsidR="00643F42" w:rsidRPr="00497B9E" w14:paraId="4827C059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BB87A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Argentina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1177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</w:t>
            </w:r>
          </w:p>
        </w:tc>
      </w:tr>
      <w:tr w:rsidR="00643F42" w:rsidRPr="00497B9E" w14:paraId="596CACED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AE010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Mexico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577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</w:tr>
      <w:tr w:rsidR="00643F42" w:rsidRPr="00497B9E" w14:paraId="63E26CDA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2F0DE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Saudi Arabia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3648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34</w:t>
            </w:r>
          </w:p>
        </w:tc>
      </w:tr>
      <w:tr w:rsidR="00643F42" w:rsidRPr="00497B9E" w14:paraId="331E5B75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6DB6A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Turkey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1A6B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41</w:t>
            </w:r>
          </w:p>
        </w:tc>
      </w:tr>
      <w:tr w:rsidR="00643F42" w:rsidRPr="00497B9E" w14:paraId="4F6B6275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75BC4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Indonesia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33E2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46</w:t>
            </w:r>
          </w:p>
        </w:tc>
      </w:tr>
      <w:tr w:rsidR="00643F42" w:rsidRPr="00497B9E" w14:paraId="74613E6A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CF7EC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Spain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F546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</w:tr>
      <w:tr w:rsidR="00643F42" w:rsidRPr="00497B9E" w14:paraId="3413A6DD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46D5B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Brazil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17D9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</w:t>
            </w:r>
          </w:p>
        </w:tc>
      </w:tr>
      <w:tr w:rsidR="00643F42" w:rsidRPr="00497B9E" w14:paraId="208F9938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54D9D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Italy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7E5E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84</w:t>
            </w:r>
          </w:p>
        </w:tc>
      </w:tr>
      <w:tr w:rsidR="00643F42" w:rsidRPr="00497B9E" w14:paraId="283823AE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5AE3E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France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6381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118</w:t>
            </w:r>
          </w:p>
        </w:tc>
      </w:tr>
      <w:tr w:rsidR="00643F42" w:rsidRPr="00497B9E" w14:paraId="270A22A5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D9F8F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Australia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E027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130</w:t>
            </w:r>
          </w:p>
        </w:tc>
      </w:tr>
      <w:tr w:rsidR="00643F42" w:rsidRPr="00497B9E" w14:paraId="4344B2A7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FCBB0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Korea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FE2D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150</w:t>
            </w:r>
          </w:p>
        </w:tc>
      </w:tr>
      <w:tr w:rsidR="00643F42" w:rsidRPr="00497B9E" w14:paraId="59790CBB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69440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Germany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1E15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218</w:t>
            </w:r>
          </w:p>
        </w:tc>
      </w:tr>
      <w:tr w:rsidR="00643F42" w:rsidRPr="00497B9E" w14:paraId="79320B15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A3A94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United Kingdom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EEAC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257</w:t>
            </w:r>
          </w:p>
        </w:tc>
      </w:tr>
      <w:tr w:rsidR="00643F42" w:rsidRPr="00497B9E" w14:paraId="314A84CF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0133A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China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4F72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312</w:t>
            </w:r>
          </w:p>
        </w:tc>
      </w:tr>
      <w:tr w:rsidR="00643F42" w:rsidRPr="00497B9E" w14:paraId="52D10F2F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BC1D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Japan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5FE1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346</w:t>
            </w:r>
          </w:p>
        </w:tc>
      </w:tr>
      <w:tr w:rsidR="00643F42" w:rsidRPr="00497B9E" w14:paraId="44DBB3E4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04CC0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Canada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30F2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389</w:t>
            </w:r>
          </w:p>
        </w:tc>
      </w:tr>
      <w:tr w:rsidR="00643F42" w:rsidRPr="00497B9E" w14:paraId="26043F94" w14:textId="77777777" w:rsidTr="00701ACD">
        <w:trPr>
          <w:trHeight w:val="31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4" w:space="0" w:color="EBF1DE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114F5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India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E0C2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563</w:t>
            </w:r>
          </w:p>
        </w:tc>
      </w:tr>
      <w:tr w:rsidR="00643F42" w:rsidRPr="00497B9E" w14:paraId="71F7BEB6" w14:textId="77777777" w:rsidTr="00701ACD">
        <w:trPr>
          <w:trHeight w:val="320"/>
        </w:trPr>
        <w:tc>
          <w:tcPr>
            <w:tcW w:w="2340" w:type="dxa"/>
            <w:tcBorders>
              <w:top w:val="single" w:sz="4" w:space="0" w:color="EBF1DE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7E716" w14:textId="77777777" w:rsidR="00643F42" w:rsidRPr="00497B9E" w:rsidRDefault="00643F42" w:rsidP="00643F4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United States of America</w:t>
            </w:r>
          </w:p>
        </w:tc>
        <w:tc>
          <w:tcPr>
            <w:tcW w:w="2373" w:type="dxa"/>
            <w:tcBorders>
              <w:top w:val="single" w:sz="4" w:space="0" w:color="EBF1DE"/>
              <w:left w:val="nil"/>
              <w:bottom w:val="single" w:sz="4" w:space="0" w:color="EBF1DE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F410" w14:textId="77777777" w:rsidR="00643F42" w:rsidRPr="00497B9E" w:rsidRDefault="00643F42" w:rsidP="00643F4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3,604</w:t>
            </w:r>
          </w:p>
        </w:tc>
      </w:tr>
      <w:tr w:rsidR="00643F42" w:rsidRPr="00497B9E" w14:paraId="569091C5" w14:textId="77777777" w:rsidTr="00701ACD">
        <w:trPr>
          <w:trHeight w:val="320"/>
        </w:trPr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C2F19" w14:textId="77777777" w:rsidR="00643F42" w:rsidRPr="00497B9E" w:rsidRDefault="00643F42" w:rsidP="00643F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Grand Total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A9FA" w14:textId="77777777" w:rsidR="00643F42" w:rsidRPr="00497B9E" w:rsidRDefault="00643F42" w:rsidP="00643F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97B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6,497</w:t>
            </w:r>
          </w:p>
        </w:tc>
      </w:tr>
    </w:tbl>
    <w:p w14:paraId="2C3E10BA" w14:textId="3633088B" w:rsidR="00107A98" w:rsidRDefault="00107A98" w:rsidP="005130EE">
      <w:pPr>
        <w:rPr>
          <w:rFonts w:ascii="Calibri Light" w:hAnsi="Calibri Light" w:cs="Calibri Light"/>
          <w:sz w:val="24"/>
          <w:szCs w:val="24"/>
        </w:rPr>
      </w:pPr>
    </w:p>
    <w:p w14:paraId="57CDA058" w14:textId="77777777" w:rsidR="00643F42" w:rsidRDefault="00643F42" w:rsidP="005130EE">
      <w:pPr>
        <w:rPr>
          <w:rFonts w:ascii="Calibri Light" w:hAnsi="Calibri Light" w:cs="Calibri Light"/>
          <w:sz w:val="24"/>
          <w:szCs w:val="24"/>
        </w:rPr>
      </w:pPr>
    </w:p>
    <w:p w14:paraId="53E91930" w14:textId="77777777" w:rsidR="00A35616" w:rsidRDefault="00A35616" w:rsidP="00425EF0">
      <w:pPr>
        <w:rPr>
          <w:rFonts w:ascii="Calibri Light" w:hAnsi="Calibri Light" w:cs="Calibri Light"/>
          <w:sz w:val="24"/>
          <w:szCs w:val="24"/>
        </w:rPr>
      </w:pPr>
    </w:p>
    <w:p w14:paraId="0E04B83E" w14:textId="77777777" w:rsidR="00A35616" w:rsidRDefault="00A35616" w:rsidP="00425EF0">
      <w:pPr>
        <w:rPr>
          <w:rFonts w:ascii="Calibri Light" w:hAnsi="Calibri Light" w:cs="Calibri Light"/>
          <w:sz w:val="24"/>
          <w:szCs w:val="24"/>
        </w:rPr>
      </w:pPr>
    </w:p>
    <w:p w14:paraId="65660B1D" w14:textId="77777777" w:rsidR="00CE02FF" w:rsidRDefault="00CE02FF" w:rsidP="00425EF0">
      <w:pPr>
        <w:rPr>
          <w:rFonts w:ascii="Calibri Light" w:hAnsi="Calibri Light" w:cs="Calibri Light"/>
          <w:sz w:val="24"/>
          <w:szCs w:val="24"/>
        </w:rPr>
      </w:pPr>
    </w:p>
    <w:p w14:paraId="20DBE4D8" w14:textId="727B2EAE" w:rsidR="00425EF0" w:rsidRPr="00425EF0" w:rsidRDefault="00E41630" w:rsidP="00425EF0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From the pivot table</w:t>
      </w:r>
      <w:r w:rsidR="007233C9">
        <w:rPr>
          <w:rFonts w:ascii="Calibri Light" w:hAnsi="Calibri Light" w:cs="Calibri Light"/>
          <w:sz w:val="24"/>
          <w:szCs w:val="24"/>
        </w:rPr>
        <w:t xml:space="preserve">, </w:t>
      </w:r>
      <w:r w:rsidR="00BE407B">
        <w:rPr>
          <w:rFonts w:ascii="Calibri Light" w:hAnsi="Calibri Light" w:cs="Calibri Light"/>
          <w:sz w:val="24"/>
          <w:szCs w:val="24"/>
        </w:rPr>
        <w:t xml:space="preserve">the following bar chart was created. </w:t>
      </w:r>
      <w:r w:rsidR="006301BB">
        <w:rPr>
          <w:rFonts w:ascii="Calibri Light" w:hAnsi="Calibri Light" w:cs="Calibri Light"/>
          <w:sz w:val="24"/>
          <w:szCs w:val="24"/>
        </w:rPr>
        <w:t xml:space="preserve">It demonstrates that the United States of America has over 3,600 </w:t>
      </w:r>
      <w:r w:rsidR="001443EE">
        <w:rPr>
          <w:rFonts w:ascii="Calibri Light" w:hAnsi="Calibri Light" w:cs="Calibri Light"/>
          <w:sz w:val="24"/>
          <w:szCs w:val="24"/>
        </w:rPr>
        <w:t xml:space="preserve">companies </w:t>
      </w:r>
      <w:r w:rsidR="00DD33F2">
        <w:rPr>
          <w:rFonts w:ascii="Calibri Light" w:hAnsi="Calibri Light" w:cs="Calibri Light"/>
          <w:sz w:val="24"/>
          <w:szCs w:val="24"/>
        </w:rPr>
        <w:t xml:space="preserve">in the dataset. </w:t>
      </w:r>
      <w:r w:rsidR="00113A7F">
        <w:rPr>
          <w:rFonts w:ascii="Calibri Light" w:hAnsi="Calibri Light" w:cs="Calibri Light"/>
          <w:sz w:val="24"/>
          <w:szCs w:val="24"/>
        </w:rPr>
        <w:t>India and Canada come in second and third places respectively</w:t>
      </w:r>
      <w:r w:rsidR="00526660">
        <w:rPr>
          <w:rFonts w:ascii="Calibri Light" w:hAnsi="Calibri Light" w:cs="Calibri Light"/>
          <w:sz w:val="24"/>
          <w:szCs w:val="24"/>
        </w:rPr>
        <w:t xml:space="preserve">. </w:t>
      </w:r>
      <w:r w:rsidR="00B75567">
        <w:rPr>
          <w:rFonts w:ascii="Calibri Light" w:hAnsi="Calibri Light" w:cs="Calibri Light"/>
          <w:sz w:val="24"/>
          <w:szCs w:val="24"/>
        </w:rPr>
        <w:t xml:space="preserve">In fact, the United States of America has got </w:t>
      </w:r>
      <w:r w:rsidR="002E1ED1">
        <w:rPr>
          <w:rFonts w:ascii="Calibri Light" w:hAnsi="Calibri Light" w:cs="Calibri Light"/>
          <w:sz w:val="24"/>
          <w:szCs w:val="24"/>
        </w:rPr>
        <w:t>six to seven</w:t>
      </w:r>
      <w:r w:rsidR="00B75567">
        <w:rPr>
          <w:rFonts w:ascii="Calibri Light" w:hAnsi="Calibri Light" w:cs="Calibri Light"/>
          <w:sz w:val="24"/>
          <w:szCs w:val="24"/>
        </w:rPr>
        <w:t xml:space="preserve"> times more </w:t>
      </w:r>
      <w:r w:rsidR="00CD2E56">
        <w:rPr>
          <w:rFonts w:ascii="Calibri Light" w:hAnsi="Calibri Light" w:cs="Calibri Light"/>
          <w:sz w:val="24"/>
          <w:szCs w:val="24"/>
        </w:rPr>
        <w:t>companies than India</w:t>
      </w:r>
      <w:r w:rsidR="002E1ED1">
        <w:rPr>
          <w:rFonts w:ascii="Calibri Light" w:hAnsi="Calibri Light" w:cs="Calibri Light"/>
          <w:sz w:val="24"/>
          <w:szCs w:val="24"/>
        </w:rPr>
        <w:t xml:space="preserve">, and almost 10 </w:t>
      </w:r>
      <w:r w:rsidR="0073618B">
        <w:rPr>
          <w:rFonts w:ascii="Calibri Light" w:hAnsi="Calibri Light" w:cs="Calibri Light"/>
          <w:sz w:val="24"/>
          <w:szCs w:val="24"/>
        </w:rPr>
        <w:t>times more companies than Canada.</w:t>
      </w:r>
      <w:r w:rsidR="00693DE3">
        <w:rPr>
          <w:rFonts w:ascii="Calibri Light" w:hAnsi="Calibri Light" w:cs="Calibri Light"/>
          <w:sz w:val="24"/>
          <w:szCs w:val="24"/>
        </w:rPr>
        <w:t xml:space="preserve"> The bottom three are Russia, Argentina and Mexico.</w:t>
      </w:r>
    </w:p>
    <w:p w14:paraId="6E3DC1FC" w14:textId="4EE61065" w:rsidR="00425EF0" w:rsidRDefault="00425EF0" w:rsidP="005130EE">
      <w:pPr>
        <w:rPr>
          <w:rFonts w:ascii="Calibri Light" w:hAnsi="Calibri Light" w:cs="Calibri Light"/>
          <w:sz w:val="24"/>
          <w:szCs w:val="24"/>
        </w:rPr>
      </w:pPr>
    </w:p>
    <w:p w14:paraId="0E88C081" w14:textId="77777777" w:rsidR="002633B4" w:rsidRDefault="002633B4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54BB3268" w14:textId="77777777" w:rsidR="002633B4" w:rsidRDefault="002633B4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0242C247" w14:textId="77777777" w:rsidR="00AB0C10" w:rsidRDefault="00E41630" w:rsidP="00425EF0">
      <w:pPr>
        <w:tabs>
          <w:tab w:val="center" w:pos="1852"/>
        </w:tabs>
        <w:rPr>
          <w:rFonts w:ascii="Calibri Light" w:hAnsi="Calibri Light" w:cs="Calibri Light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8306F" wp14:editId="29EC6649">
            <wp:simplePos x="0" y="0"/>
            <wp:positionH relativeFrom="margin">
              <wp:posOffset>-509270</wp:posOffset>
            </wp:positionH>
            <wp:positionV relativeFrom="paragraph">
              <wp:posOffset>0</wp:posOffset>
            </wp:positionV>
            <wp:extent cx="6464300" cy="4500245"/>
            <wp:effectExtent l="0" t="0" r="12700" b="14605"/>
            <wp:wrapSquare wrapText="bothSides"/>
            <wp:docPr id="15187598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972ACC-0E07-4A84-8A86-9C224AFEB5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EF0">
        <w:rPr>
          <w:rFonts w:ascii="Calibri Light" w:hAnsi="Calibri Light" w:cs="Calibri Light"/>
          <w:sz w:val="24"/>
          <w:szCs w:val="24"/>
        </w:rPr>
        <w:tab/>
      </w:r>
      <w:r w:rsidR="00425EF0">
        <w:rPr>
          <w:rFonts w:ascii="Calibri Light" w:hAnsi="Calibri Light" w:cs="Calibri Light"/>
          <w:sz w:val="24"/>
          <w:szCs w:val="24"/>
        </w:rPr>
        <w:br w:type="textWrapping" w:clear="all"/>
      </w:r>
    </w:p>
    <w:p w14:paraId="67C2B9A3" w14:textId="04A32804" w:rsidR="007A5BC8" w:rsidRDefault="007A5BC8" w:rsidP="00425EF0">
      <w:pPr>
        <w:tabs>
          <w:tab w:val="center" w:pos="1852"/>
        </w:tabs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Discussion:</w:t>
      </w:r>
    </w:p>
    <w:p w14:paraId="619AB079" w14:textId="77777777" w:rsidR="007A5BC8" w:rsidRDefault="007A5BC8" w:rsidP="00425EF0">
      <w:pPr>
        <w:tabs>
          <w:tab w:val="center" w:pos="1852"/>
        </w:tabs>
        <w:rPr>
          <w:rFonts w:ascii="Calibri Light" w:hAnsi="Calibri Light" w:cs="Calibri Light"/>
          <w:b/>
          <w:bCs/>
          <w:sz w:val="28"/>
          <w:szCs w:val="28"/>
        </w:rPr>
      </w:pPr>
    </w:p>
    <w:p w14:paraId="11A665E7" w14:textId="007AECEB" w:rsidR="0070134B" w:rsidRDefault="007E2601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There are certain limitations </w:t>
      </w:r>
      <w:r w:rsidR="00581AF3">
        <w:rPr>
          <w:rFonts w:ascii="Calibri Light" w:hAnsi="Calibri Light" w:cs="Calibri Light"/>
          <w:sz w:val="24"/>
          <w:szCs w:val="24"/>
        </w:rPr>
        <w:t xml:space="preserve">to the analysis. </w:t>
      </w:r>
      <w:r w:rsidR="00EE0400">
        <w:rPr>
          <w:rFonts w:ascii="Calibri Light" w:hAnsi="Calibri Light" w:cs="Calibri Light"/>
          <w:sz w:val="24"/>
          <w:szCs w:val="24"/>
        </w:rPr>
        <w:t>11</w:t>
      </w:r>
      <w:r w:rsidR="00581AF3">
        <w:rPr>
          <w:rFonts w:ascii="Calibri Light" w:hAnsi="Calibri Light" w:cs="Calibri Light"/>
          <w:sz w:val="24"/>
          <w:szCs w:val="24"/>
        </w:rPr>
        <w:t xml:space="preserve"> records </w:t>
      </w:r>
      <w:r w:rsidR="00B419D4">
        <w:rPr>
          <w:rFonts w:ascii="Calibri Light" w:hAnsi="Calibri Light" w:cs="Calibri Light"/>
          <w:sz w:val="24"/>
          <w:szCs w:val="24"/>
        </w:rPr>
        <w:t xml:space="preserve">were removed from the dataset because they contained </w:t>
      </w:r>
      <w:r w:rsidR="00E712F3">
        <w:rPr>
          <w:rFonts w:ascii="Calibri Light" w:hAnsi="Calibri Light" w:cs="Calibri Light"/>
          <w:sz w:val="24"/>
          <w:szCs w:val="24"/>
        </w:rPr>
        <w:t>“$</w:t>
      </w:r>
      <w:r w:rsidR="00B419D4">
        <w:rPr>
          <w:rFonts w:ascii="Calibri Light" w:hAnsi="Calibri Light" w:cs="Calibri Light"/>
          <w:sz w:val="24"/>
          <w:szCs w:val="24"/>
        </w:rPr>
        <w:t>0M</w:t>
      </w:r>
      <w:r w:rsidR="00E712F3">
        <w:rPr>
          <w:rFonts w:ascii="Calibri Light" w:hAnsi="Calibri Light" w:cs="Calibri Light"/>
          <w:sz w:val="24"/>
          <w:szCs w:val="24"/>
        </w:rPr>
        <w:t>” as a</w:t>
      </w:r>
      <w:r w:rsidR="00B419D4">
        <w:rPr>
          <w:rFonts w:ascii="Calibri Light" w:hAnsi="Calibri Light" w:cs="Calibri Light"/>
          <w:sz w:val="24"/>
          <w:szCs w:val="24"/>
        </w:rPr>
        <w:t xml:space="preserve"> value</w:t>
      </w:r>
      <w:r w:rsidR="008D68F7">
        <w:rPr>
          <w:rFonts w:ascii="Calibri Light" w:hAnsi="Calibri Light" w:cs="Calibri Light"/>
          <w:sz w:val="24"/>
          <w:szCs w:val="24"/>
        </w:rPr>
        <w:t xml:space="preserve"> for market capitalisation. </w:t>
      </w:r>
      <w:r w:rsidR="006F348E">
        <w:rPr>
          <w:rFonts w:ascii="Calibri Light" w:hAnsi="Calibri Light" w:cs="Calibri Light"/>
          <w:sz w:val="24"/>
          <w:szCs w:val="24"/>
        </w:rPr>
        <w:t xml:space="preserve">Two records were removed as a result of not knowing their stock prices. </w:t>
      </w:r>
      <w:r w:rsidR="0098233C">
        <w:rPr>
          <w:rFonts w:ascii="Calibri Light" w:hAnsi="Calibri Light" w:cs="Calibri Light"/>
          <w:sz w:val="24"/>
          <w:szCs w:val="24"/>
        </w:rPr>
        <w:t xml:space="preserve">A more appropriate approach would have been to search the values of these for </w:t>
      </w:r>
      <w:r w:rsidR="00E86586">
        <w:rPr>
          <w:rFonts w:ascii="Calibri Light" w:hAnsi="Calibri Light" w:cs="Calibri Light"/>
          <w:sz w:val="24"/>
          <w:szCs w:val="24"/>
        </w:rPr>
        <w:t>29</w:t>
      </w:r>
      <w:r w:rsidR="00E86586" w:rsidRPr="00E86586">
        <w:rPr>
          <w:rFonts w:ascii="Calibri Light" w:hAnsi="Calibri Light" w:cs="Calibri Light"/>
          <w:sz w:val="24"/>
          <w:szCs w:val="24"/>
          <w:vertAlign w:val="superscript"/>
        </w:rPr>
        <w:t>th</w:t>
      </w:r>
      <w:r w:rsidR="00E86586">
        <w:rPr>
          <w:rFonts w:ascii="Calibri Light" w:hAnsi="Calibri Light" w:cs="Calibri Light"/>
          <w:sz w:val="24"/>
          <w:szCs w:val="24"/>
        </w:rPr>
        <w:t xml:space="preserve"> January 2024. </w:t>
      </w:r>
      <w:r w:rsidR="00FD1432">
        <w:rPr>
          <w:rFonts w:ascii="Calibri Light" w:hAnsi="Calibri Light" w:cs="Calibri Light"/>
          <w:sz w:val="24"/>
          <w:szCs w:val="24"/>
        </w:rPr>
        <w:t>In this way, the analysis could have been slightly better than it is now.</w:t>
      </w:r>
    </w:p>
    <w:p w14:paraId="4BA674CD" w14:textId="77777777" w:rsidR="00077BAD" w:rsidRDefault="00077BAD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45E9C87A" w14:textId="6B9F7A53" w:rsidR="00077BAD" w:rsidRDefault="00F32B2C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As well as this, </w:t>
      </w:r>
      <w:r w:rsidR="00FF1744">
        <w:rPr>
          <w:rFonts w:ascii="Calibri Light" w:hAnsi="Calibri Light" w:cs="Calibri Light"/>
          <w:sz w:val="24"/>
          <w:szCs w:val="24"/>
        </w:rPr>
        <w:t xml:space="preserve">the data </w:t>
      </w:r>
      <w:r w:rsidR="001F6544">
        <w:rPr>
          <w:rFonts w:ascii="Calibri Light" w:hAnsi="Calibri Light" w:cs="Calibri Light"/>
          <w:sz w:val="24"/>
          <w:szCs w:val="24"/>
        </w:rPr>
        <w:t xml:space="preserve">is </w:t>
      </w:r>
      <w:r w:rsidR="008D630A">
        <w:rPr>
          <w:rFonts w:ascii="Calibri Light" w:hAnsi="Calibri Light" w:cs="Calibri Light"/>
          <w:sz w:val="24"/>
          <w:szCs w:val="24"/>
        </w:rPr>
        <w:t xml:space="preserve">only </w:t>
      </w:r>
      <w:r w:rsidR="001F6544">
        <w:rPr>
          <w:rFonts w:ascii="Calibri Light" w:hAnsi="Calibri Light" w:cs="Calibri Light"/>
          <w:sz w:val="24"/>
          <w:szCs w:val="24"/>
        </w:rPr>
        <w:t xml:space="preserve">from </w:t>
      </w:r>
      <w:r w:rsidR="00FF1744">
        <w:rPr>
          <w:rFonts w:ascii="Calibri Light" w:hAnsi="Calibri Light" w:cs="Calibri Light"/>
          <w:sz w:val="24"/>
          <w:szCs w:val="24"/>
        </w:rPr>
        <w:t>approximately 8,000 companies</w:t>
      </w:r>
      <w:r w:rsidR="00AB634B">
        <w:rPr>
          <w:rFonts w:ascii="Calibri Light" w:hAnsi="Calibri Light" w:cs="Calibri Light"/>
          <w:sz w:val="24"/>
          <w:szCs w:val="24"/>
        </w:rPr>
        <w:t xml:space="preserve"> </w:t>
      </w:r>
      <w:r w:rsidR="00390F27">
        <w:rPr>
          <w:rFonts w:ascii="Calibri Light" w:hAnsi="Calibri Light" w:cs="Calibri Light"/>
          <w:sz w:val="24"/>
          <w:szCs w:val="24"/>
        </w:rPr>
        <w:t xml:space="preserve">that have </w:t>
      </w:r>
      <w:r w:rsidR="00583643">
        <w:rPr>
          <w:rFonts w:ascii="Calibri Light" w:hAnsi="Calibri Light" w:cs="Calibri Light"/>
          <w:sz w:val="24"/>
          <w:szCs w:val="24"/>
        </w:rPr>
        <w:t xml:space="preserve">some of their market capitalisation information publicly available. There is a possibility that other companies </w:t>
      </w:r>
      <w:r w:rsidR="00D66BB1">
        <w:rPr>
          <w:rFonts w:ascii="Calibri Light" w:hAnsi="Calibri Light" w:cs="Calibri Light"/>
          <w:sz w:val="24"/>
          <w:szCs w:val="24"/>
        </w:rPr>
        <w:t>may have this information, but it is not publicly available for</w:t>
      </w:r>
      <w:r w:rsidR="00AE0C8A">
        <w:rPr>
          <w:rFonts w:ascii="Calibri Light" w:hAnsi="Calibri Light" w:cs="Calibri Light"/>
          <w:sz w:val="24"/>
          <w:szCs w:val="24"/>
        </w:rPr>
        <w:t xml:space="preserve"> data analysis. </w:t>
      </w:r>
    </w:p>
    <w:p w14:paraId="60A8A393" w14:textId="77777777" w:rsidR="002D213B" w:rsidRDefault="002D213B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45CA5F87" w14:textId="4C0A37F8" w:rsidR="0017617D" w:rsidRDefault="002D213B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Lastly, </w:t>
      </w:r>
      <w:r w:rsidR="0013086C">
        <w:rPr>
          <w:rFonts w:ascii="Calibri Light" w:hAnsi="Calibri Light" w:cs="Calibri Light"/>
          <w:sz w:val="24"/>
          <w:szCs w:val="24"/>
        </w:rPr>
        <w:t>the data is from the end of January 2024</w:t>
      </w:r>
      <w:r w:rsidR="00F737FD">
        <w:rPr>
          <w:rFonts w:ascii="Calibri Light" w:hAnsi="Calibri Light" w:cs="Calibri Light"/>
          <w:sz w:val="24"/>
          <w:szCs w:val="24"/>
        </w:rPr>
        <w:t xml:space="preserve">. </w:t>
      </w:r>
      <w:r w:rsidR="00AB3FE8">
        <w:rPr>
          <w:rFonts w:ascii="Calibri Light" w:hAnsi="Calibri Light" w:cs="Calibri Light"/>
          <w:sz w:val="24"/>
          <w:szCs w:val="24"/>
        </w:rPr>
        <w:t xml:space="preserve">From that time onwards, the </w:t>
      </w:r>
      <w:r w:rsidR="006B16DB">
        <w:rPr>
          <w:rFonts w:ascii="Calibri Light" w:hAnsi="Calibri Light" w:cs="Calibri Light"/>
          <w:sz w:val="24"/>
          <w:szCs w:val="24"/>
        </w:rPr>
        <w:t xml:space="preserve">data might have changed. It is recommended </w:t>
      </w:r>
      <w:r w:rsidR="00DB5B61">
        <w:rPr>
          <w:rFonts w:ascii="Calibri Light" w:hAnsi="Calibri Light" w:cs="Calibri Light"/>
          <w:sz w:val="24"/>
          <w:szCs w:val="24"/>
        </w:rPr>
        <w:t xml:space="preserve">to use the </w:t>
      </w:r>
      <w:r w:rsidR="00084B5F">
        <w:rPr>
          <w:rFonts w:ascii="Calibri Light" w:hAnsi="Calibri Light" w:cs="Calibri Light"/>
          <w:sz w:val="24"/>
          <w:szCs w:val="24"/>
        </w:rPr>
        <w:t>latest</w:t>
      </w:r>
      <w:r w:rsidR="00DB5B61">
        <w:rPr>
          <w:rFonts w:ascii="Calibri Light" w:hAnsi="Calibri Light" w:cs="Calibri Light"/>
          <w:sz w:val="24"/>
          <w:szCs w:val="24"/>
        </w:rPr>
        <w:t xml:space="preserve"> data on this topic for a more accurate </w:t>
      </w:r>
      <w:r w:rsidR="001A1281">
        <w:rPr>
          <w:rFonts w:ascii="Calibri Light" w:hAnsi="Calibri Light" w:cs="Calibri Light"/>
          <w:sz w:val="24"/>
          <w:szCs w:val="24"/>
        </w:rPr>
        <w:t xml:space="preserve">data </w:t>
      </w:r>
      <w:r w:rsidR="00DB5B61">
        <w:rPr>
          <w:rFonts w:ascii="Calibri Light" w:hAnsi="Calibri Light" w:cs="Calibri Light"/>
          <w:sz w:val="24"/>
          <w:szCs w:val="24"/>
        </w:rPr>
        <w:t>analysis.</w:t>
      </w:r>
    </w:p>
    <w:p w14:paraId="36C1C7E1" w14:textId="77777777" w:rsidR="004E043C" w:rsidRDefault="004E043C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6873902A" w14:textId="77777777" w:rsidR="004E043C" w:rsidRDefault="004E043C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0F6930E9" w14:textId="77777777" w:rsidR="004E043C" w:rsidRDefault="004E043C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1D23A098" w14:textId="77777777" w:rsidR="004E043C" w:rsidRDefault="004E043C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443011ED" w14:textId="77777777" w:rsidR="004E043C" w:rsidRDefault="004E043C" w:rsidP="00425EF0">
      <w:pPr>
        <w:tabs>
          <w:tab w:val="center" w:pos="1852"/>
        </w:tabs>
        <w:rPr>
          <w:rFonts w:ascii="Calibri Light" w:hAnsi="Calibri Light" w:cs="Calibri Light"/>
          <w:sz w:val="24"/>
          <w:szCs w:val="24"/>
        </w:rPr>
      </w:pPr>
    </w:p>
    <w:p w14:paraId="6409508D" w14:textId="14AB0479" w:rsidR="004E043C" w:rsidRDefault="004E043C" w:rsidP="004E043C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F6389D">
        <w:rPr>
          <w:rFonts w:ascii="Calibri Light" w:hAnsi="Calibri Light" w:cs="Calibri Light"/>
          <w:b/>
          <w:bCs/>
          <w:sz w:val="32"/>
          <w:szCs w:val="32"/>
        </w:rPr>
        <w:lastRenderedPageBreak/>
        <w:t xml:space="preserve">SECTION </w:t>
      </w:r>
      <w:r>
        <w:rPr>
          <w:rFonts w:ascii="Calibri Light" w:hAnsi="Calibri Light" w:cs="Calibri Light"/>
          <w:b/>
          <w:bCs/>
          <w:sz w:val="32"/>
          <w:szCs w:val="32"/>
        </w:rPr>
        <w:t>5</w:t>
      </w:r>
      <w:r w:rsidRPr="00F6389D">
        <w:rPr>
          <w:rFonts w:ascii="Calibri Light" w:hAnsi="Calibri Light" w:cs="Calibri Light"/>
          <w:b/>
          <w:bCs/>
          <w:sz w:val="32"/>
          <w:szCs w:val="32"/>
        </w:rPr>
        <w:t xml:space="preserve"> – </w:t>
      </w:r>
      <w:r>
        <w:rPr>
          <w:rFonts w:ascii="Calibri Light" w:hAnsi="Calibri Light" w:cs="Calibri Light"/>
          <w:b/>
          <w:bCs/>
          <w:sz w:val="32"/>
          <w:szCs w:val="32"/>
        </w:rPr>
        <w:t>SUMMARY</w:t>
      </w:r>
    </w:p>
    <w:p w14:paraId="1DA58246" w14:textId="77777777" w:rsidR="00187601" w:rsidRDefault="00187601" w:rsidP="00187601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95A3BC1" w14:textId="77777777" w:rsidR="00187601" w:rsidRDefault="00187601" w:rsidP="00187601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763FCF1B" w14:textId="0B8CC7A3" w:rsidR="00187601" w:rsidRDefault="0062279B" w:rsidP="00187601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data analysis has revealed the following facts:</w:t>
      </w:r>
    </w:p>
    <w:p w14:paraId="732ABEBB" w14:textId="77777777" w:rsidR="0062279B" w:rsidRDefault="0062279B" w:rsidP="00187601">
      <w:pPr>
        <w:rPr>
          <w:rFonts w:ascii="Calibri Light" w:hAnsi="Calibri Light" w:cs="Calibri Light"/>
          <w:sz w:val="24"/>
          <w:szCs w:val="24"/>
        </w:rPr>
      </w:pPr>
    </w:p>
    <w:p w14:paraId="4970D1F7" w14:textId="3612453D" w:rsidR="0062279B" w:rsidRDefault="00A1759C" w:rsidP="00A1759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Microsoft </w:t>
      </w:r>
      <w:r w:rsidR="00182AF8">
        <w:rPr>
          <w:rFonts w:ascii="Calibri Light" w:hAnsi="Calibri Light" w:cs="Calibri Light"/>
          <w:sz w:val="24"/>
          <w:szCs w:val="24"/>
        </w:rPr>
        <w:t>tops the list of market capitalisations values, with a worth of over $3 trillion, followed by Apple and Saudi Arabia Aram</w:t>
      </w:r>
      <w:r w:rsidR="00452B31">
        <w:rPr>
          <w:rFonts w:ascii="Calibri Light" w:hAnsi="Calibri Light" w:cs="Calibri Light"/>
          <w:sz w:val="24"/>
          <w:szCs w:val="24"/>
        </w:rPr>
        <w:t>co (who are worth between $2 trillion and $3 trillion).</w:t>
      </w:r>
    </w:p>
    <w:p w14:paraId="21CAE764" w14:textId="67AD7DC0" w:rsidR="00452B31" w:rsidRDefault="00FF4349" w:rsidP="00A1759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“</w:t>
      </w:r>
      <w:r w:rsidR="00234135">
        <w:rPr>
          <w:rFonts w:ascii="Calibri Light" w:hAnsi="Calibri Light" w:cs="Calibri Light"/>
          <w:sz w:val="24"/>
          <w:szCs w:val="24"/>
        </w:rPr>
        <w:t>Large cap</w:t>
      </w:r>
      <w:r>
        <w:rPr>
          <w:rFonts w:ascii="Calibri Light" w:hAnsi="Calibri Light" w:cs="Calibri Light"/>
          <w:sz w:val="24"/>
          <w:szCs w:val="24"/>
        </w:rPr>
        <w:t>”</w:t>
      </w:r>
      <w:r w:rsidR="00234135">
        <w:rPr>
          <w:rFonts w:ascii="Calibri Light" w:hAnsi="Calibri Light" w:cs="Calibri Light"/>
          <w:sz w:val="24"/>
          <w:szCs w:val="24"/>
        </w:rPr>
        <w:t xml:space="preserve"> and </w:t>
      </w:r>
      <w:r>
        <w:rPr>
          <w:rFonts w:ascii="Calibri Light" w:hAnsi="Calibri Light" w:cs="Calibri Light"/>
          <w:sz w:val="24"/>
          <w:szCs w:val="24"/>
        </w:rPr>
        <w:t>“M</w:t>
      </w:r>
      <w:r w:rsidR="00234135">
        <w:rPr>
          <w:rFonts w:ascii="Calibri Light" w:hAnsi="Calibri Light" w:cs="Calibri Light"/>
          <w:sz w:val="24"/>
          <w:szCs w:val="24"/>
        </w:rPr>
        <w:t>id cap</w:t>
      </w:r>
      <w:r>
        <w:rPr>
          <w:rFonts w:ascii="Calibri Light" w:hAnsi="Calibri Light" w:cs="Calibri Light"/>
          <w:sz w:val="24"/>
          <w:szCs w:val="24"/>
        </w:rPr>
        <w:t xml:space="preserve">” companies have almost 95% of </w:t>
      </w:r>
      <w:r w:rsidR="005C3900">
        <w:rPr>
          <w:rFonts w:ascii="Calibri Light" w:hAnsi="Calibri Light" w:cs="Calibri Light"/>
          <w:sz w:val="24"/>
          <w:szCs w:val="24"/>
        </w:rPr>
        <w:t>the number of shares</w:t>
      </w:r>
      <w:r w:rsidR="001D28D3">
        <w:rPr>
          <w:rFonts w:ascii="Calibri Light" w:hAnsi="Calibri Light" w:cs="Calibri Light"/>
          <w:sz w:val="24"/>
          <w:szCs w:val="24"/>
        </w:rPr>
        <w:t xml:space="preserve"> in total.</w:t>
      </w:r>
      <w:r w:rsidR="00234135">
        <w:rPr>
          <w:rFonts w:ascii="Calibri Light" w:hAnsi="Calibri Light" w:cs="Calibri Light"/>
          <w:sz w:val="24"/>
          <w:szCs w:val="24"/>
        </w:rPr>
        <w:t xml:space="preserve"> </w:t>
      </w:r>
    </w:p>
    <w:p w14:paraId="43351982" w14:textId="2A452B44" w:rsidR="001104C9" w:rsidRDefault="00603246" w:rsidP="00A1759C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Over 70% of Top 500 companies </w:t>
      </w:r>
      <w:r w:rsidR="00582F96">
        <w:rPr>
          <w:rFonts w:ascii="Calibri Light" w:hAnsi="Calibri Light" w:cs="Calibri Light"/>
          <w:sz w:val="24"/>
          <w:szCs w:val="24"/>
        </w:rPr>
        <w:t xml:space="preserve">have a stock price range between </w:t>
      </w:r>
      <w:r w:rsidR="00582F96">
        <w:rPr>
          <w:rFonts w:ascii="Calibri Light" w:hAnsi="Calibri Light" w:cs="Calibri Light"/>
          <w:sz w:val="24"/>
          <w:szCs w:val="24"/>
        </w:rPr>
        <w:t>$0.35 and $170.35</w:t>
      </w:r>
      <w:r w:rsidR="00575911">
        <w:rPr>
          <w:rFonts w:ascii="Calibri Light" w:hAnsi="Calibri Light" w:cs="Calibri Light"/>
          <w:sz w:val="24"/>
          <w:szCs w:val="24"/>
        </w:rPr>
        <w:t>.</w:t>
      </w:r>
    </w:p>
    <w:p w14:paraId="1730166C" w14:textId="22FF46F5" w:rsidR="00187601" w:rsidRPr="00F31B2B" w:rsidRDefault="00F31B2B" w:rsidP="00864DD5">
      <w:pPr>
        <w:pStyle w:val="ListParagraph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 w:rsidRPr="00F31B2B">
        <w:rPr>
          <w:rFonts w:ascii="Calibri Light" w:hAnsi="Calibri Light" w:cs="Calibri Light"/>
          <w:sz w:val="24"/>
          <w:szCs w:val="24"/>
        </w:rPr>
        <w:t xml:space="preserve">Amongst the G20 countries, </w:t>
      </w:r>
      <w:r w:rsidR="000E12AA">
        <w:rPr>
          <w:rFonts w:ascii="Calibri Light" w:hAnsi="Calibri Light" w:cs="Calibri Light"/>
          <w:sz w:val="24"/>
          <w:szCs w:val="24"/>
        </w:rPr>
        <w:t xml:space="preserve">The </w:t>
      </w:r>
      <w:r w:rsidR="00701779" w:rsidRPr="00F31B2B">
        <w:rPr>
          <w:rFonts w:ascii="Calibri Light" w:hAnsi="Calibri Light" w:cs="Calibri Light"/>
          <w:sz w:val="24"/>
          <w:szCs w:val="24"/>
        </w:rPr>
        <w:t xml:space="preserve">United States of America </w:t>
      </w:r>
      <w:r w:rsidR="0033717C">
        <w:rPr>
          <w:rFonts w:ascii="Calibri Light" w:hAnsi="Calibri Light" w:cs="Calibri Light"/>
          <w:sz w:val="24"/>
          <w:szCs w:val="24"/>
        </w:rPr>
        <w:t>has</w:t>
      </w:r>
      <w:r w:rsidR="00701779" w:rsidRPr="00F31B2B">
        <w:rPr>
          <w:rFonts w:ascii="Calibri Light" w:hAnsi="Calibri Light" w:cs="Calibri Light"/>
          <w:sz w:val="24"/>
          <w:szCs w:val="24"/>
        </w:rPr>
        <w:t xml:space="preserve"> over 3,600 companies</w:t>
      </w:r>
      <w:r w:rsidR="000E12AA">
        <w:rPr>
          <w:rFonts w:ascii="Calibri Light" w:hAnsi="Calibri Light" w:cs="Calibri Light"/>
          <w:sz w:val="24"/>
          <w:szCs w:val="24"/>
        </w:rPr>
        <w:t xml:space="preserve"> (which is, by far, the highest).</w:t>
      </w:r>
    </w:p>
    <w:sectPr w:rsidR="00187601" w:rsidRPr="00F31B2B" w:rsidSect="000B67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F42C0" w14:textId="77777777" w:rsidR="009C5D50" w:rsidRDefault="009C5D50" w:rsidP="009C5D50">
      <w:r>
        <w:separator/>
      </w:r>
    </w:p>
  </w:endnote>
  <w:endnote w:type="continuationSeparator" w:id="0">
    <w:p w14:paraId="3E1152C7" w14:textId="77777777" w:rsidR="009C5D50" w:rsidRDefault="009C5D50" w:rsidP="009C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BC9F" w14:textId="77777777" w:rsidR="009C5D50" w:rsidRDefault="009C5D50" w:rsidP="009C5D50">
      <w:r>
        <w:separator/>
      </w:r>
    </w:p>
  </w:footnote>
  <w:footnote w:type="continuationSeparator" w:id="0">
    <w:p w14:paraId="206BD176" w14:textId="77777777" w:rsidR="009C5D50" w:rsidRDefault="009C5D50" w:rsidP="009C5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16A3"/>
    <w:multiLevelType w:val="multilevel"/>
    <w:tmpl w:val="476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3663D"/>
    <w:multiLevelType w:val="hybridMultilevel"/>
    <w:tmpl w:val="0456D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A4A59"/>
    <w:multiLevelType w:val="hybridMultilevel"/>
    <w:tmpl w:val="DE922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618E0"/>
    <w:multiLevelType w:val="hybridMultilevel"/>
    <w:tmpl w:val="EBCC8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E539E"/>
    <w:multiLevelType w:val="hybridMultilevel"/>
    <w:tmpl w:val="1C6EE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96889">
    <w:abstractNumId w:val="4"/>
  </w:num>
  <w:num w:numId="2" w16cid:durableId="1751389759">
    <w:abstractNumId w:val="1"/>
  </w:num>
  <w:num w:numId="3" w16cid:durableId="1554006409">
    <w:abstractNumId w:val="0"/>
  </w:num>
  <w:num w:numId="4" w16cid:durableId="373389491">
    <w:abstractNumId w:val="3"/>
  </w:num>
  <w:num w:numId="5" w16cid:durableId="771049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8"/>
    <w:rsid w:val="00013B08"/>
    <w:rsid w:val="00014545"/>
    <w:rsid w:val="00026591"/>
    <w:rsid w:val="00034B18"/>
    <w:rsid w:val="00046249"/>
    <w:rsid w:val="000465AC"/>
    <w:rsid w:val="0005629F"/>
    <w:rsid w:val="000608FA"/>
    <w:rsid w:val="00077BAD"/>
    <w:rsid w:val="00084B5F"/>
    <w:rsid w:val="00085C7A"/>
    <w:rsid w:val="0008688B"/>
    <w:rsid w:val="0009752A"/>
    <w:rsid w:val="000A1A2F"/>
    <w:rsid w:val="000A2DDE"/>
    <w:rsid w:val="000A6597"/>
    <w:rsid w:val="000B0EEA"/>
    <w:rsid w:val="000B0F35"/>
    <w:rsid w:val="000B1917"/>
    <w:rsid w:val="000B2F93"/>
    <w:rsid w:val="000B674F"/>
    <w:rsid w:val="000B6DAB"/>
    <w:rsid w:val="000C00BD"/>
    <w:rsid w:val="000C5CA6"/>
    <w:rsid w:val="000C636C"/>
    <w:rsid w:val="000C6F91"/>
    <w:rsid w:val="000E12AA"/>
    <w:rsid w:val="000E2E8D"/>
    <w:rsid w:val="000F1AEE"/>
    <w:rsid w:val="000F3C5D"/>
    <w:rsid w:val="00103E8F"/>
    <w:rsid w:val="00103F94"/>
    <w:rsid w:val="00105A96"/>
    <w:rsid w:val="00107A98"/>
    <w:rsid w:val="001104C9"/>
    <w:rsid w:val="0011077A"/>
    <w:rsid w:val="00113A7F"/>
    <w:rsid w:val="00120280"/>
    <w:rsid w:val="001205AD"/>
    <w:rsid w:val="0013086C"/>
    <w:rsid w:val="001443EE"/>
    <w:rsid w:val="00144F5E"/>
    <w:rsid w:val="0014591C"/>
    <w:rsid w:val="00150A02"/>
    <w:rsid w:val="0015511B"/>
    <w:rsid w:val="00161CE3"/>
    <w:rsid w:val="0016701F"/>
    <w:rsid w:val="001740F3"/>
    <w:rsid w:val="0017429C"/>
    <w:rsid w:val="0017617D"/>
    <w:rsid w:val="001804D6"/>
    <w:rsid w:val="00182AF8"/>
    <w:rsid w:val="001864F4"/>
    <w:rsid w:val="00187601"/>
    <w:rsid w:val="00193501"/>
    <w:rsid w:val="001A0A97"/>
    <w:rsid w:val="001A1281"/>
    <w:rsid w:val="001A5BB6"/>
    <w:rsid w:val="001B02D0"/>
    <w:rsid w:val="001C57A5"/>
    <w:rsid w:val="001D0E79"/>
    <w:rsid w:val="001D28D3"/>
    <w:rsid w:val="001D65FE"/>
    <w:rsid w:val="001E31AA"/>
    <w:rsid w:val="001F1D56"/>
    <w:rsid w:val="001F3135"/>
    <w:rsid w:val="001F6544"/>
    <w:rsid w:val="00204729"/>
    <w:rsid w:val="00206ABB"/>
    <w:rsid w:val="00207311"/>
    <w:rsid w:val="0021220C"/>
    <w:rsid w:val="0021641E"/>
    <w:rsid w:val="0021669D"/>
    <w:rsid w:val="002258B6"/>
    <w:rsid w:val="00230896"/>
    <w:rsid w:val="00234135"/>
    <w:rsid w:val="00241ECC"/>
    <w:rsid w:val="002441AE"/>
    <w:rsid w:val="002574D0"/>
    <w:rsid w:val="002633B4"/>
    <w:rsid w:val="00266355"/>
    <w:rsid w:val="00277646"/>
    <w:rsid w:val="0027796F"/>
    <w:rsid w:val="00281859"/>
    <w:rsid w:val="00283677"/>
    <w:rsid w:val="002852BE"/>
    <w:rsid w:val="002855D4"/>
    <w:rsid w:val="00285E37"/>
    <w:rsid w:val="00290A12"/>
    <w:rsid w:val="00294CEB"/>
    <w:rsid w:val="002964A7"/>
    <w:rsid w:val="002A1B06"/>
    <w:rsid w:val="002A1C0A"/>
    <w:rsid w:val="002A4128"/>
    <w:rsid w:val="002A6589"/>
    <w:rsid w:val="002B0648"/>
    <w:rsid w:val="002B1790"/>
    <w:rsid w:val="002B6E47"/>
    <w:rsid w:val="002C4A9B"/>
    <w:rsid w:val="002C6D79"/>
    <w:rsid w:val="002D0BFE"/>
    <w:rsid w:val="002D0EF4"/>
    <w:rsid w:val="002D213B"/>
    <w:rsid w:val="002E1ED1"/>
    <w:rsid w:val="002F73CE"/>
    <w:rsid w:val="00311B74"/>
    <w:rsid w:val="0031224C"/>
    <w:rsid w:val="003153AB"/>
    <w:rsid w:val="0032012D"/>
    <w:rsid w:val="00330BDE"/>
    <w:rsid w:val="0033409F"/>
    <w:rsid w:val="00336388"/>
    <w:rsid w:val="0033717C"/>
    <w:rsid w:val="003470D4"/>
    <w:rsid w:val="00347716"/>
    <w:rsid w:val="00362A69"/>
    <w:rsid w:val="003710E0"/>
    <w:rsid w:val="003743EE"/>
    <w:rsid w:val="0037797F"/>
    <w:rsid w:val="0038551E"/>
    <w:rsid w:val="003872D2"/>
    <w:rsid w:val="00390F27"/>
    <w:rsid w:val="00390F74"/>
    <w:rsid w:val="003A77D4"/>
    <w:rsid w:val="003B057C"/>
    <w:rsid w:val="003B133F"/>
    <w:rsid w:val="003B75CA"/>
    <w:rsid w:val="003C49FC"/>
    <w:rsid w:val="003F4BAA"/>
    <w:rsid w:val="003F5CA1"/>
    <w:rsid w:val="00404CA6"/>
    <w:rsid w:val="0041096A"/>
    <w:rsid w:val="00422A92"/>
    <w:rsid w:val="00422D29"/>
    <w:rsid w:val="00425EF0"/>
    <w:rsid w:val="00437FD6"/>
    <w:rsid w:val="004415EA"/>
    <w:rsid w:val="00452B31"/>
    <w:rsid w:val="00456227"/>
    <w:rsid w:val="0046071F"/>
    <w:rsid w:val="00461C30"/>
    <w:rsid w:val="00462230"/>
    <w:rsid w:val="004628B3"/>
    <w:rsid w:val="00466994"/>
    <w:rsid w:val="00483F59"/>
    <w:rsid w:val="00484EC2"/>
    <w:rsid w:val="0048612D"/>
    <w:rsid w:val="00487636"/>
    <w:rsid w:val="004879FD"/>
    <w:rsid w:val="00490DC3"/>
    <w:rsid w:val="00497B9E"/>
    <w:rsid w:val="004B112D"/>
    <w:rsid w:val="004B2BEE"/>
    <w:rsid w:val="004B358F"/>
    <w:rsid w:val="004C3844"/>
    <w:rsid w:val="004D0ACE"/>
    <w:rsid w:val="004D47E6"/>
    <w:rsid w:val="004E043C"/>
    <w:rsid w:val="004F59DD"/>
    <w:rsid w:val="005024D7"/>
    <w:rsid w:val="00504937"/>
    <w:rsid w:val="00504B4C"/>
    <w:rsid w:val="00505EF8"/>
    <w:rsid w:val="0051163F"/>
    <w:rsid w:val="0051263F"/>
    <w:rsid w:val="005130EE"/>
    <w:rsid w:val="0051760D"/>
    <w:rsid w:val="00523DD2"/>
    <w:rsid w:val="005260E7"/>
    <w:rsid w:val="00526660"/>
    <w:rsid w:val="00527290"/>
    <w:rsid w:val="00535F9E"/>
    <w:rsid w:val="005424F8"/>
    <w:rsid w:val="00546020"/>
    <w:rsid w:val="00546A04"/>
    <w:rsid w:val="00552B08"/>
    <w:rsid w:val="00554E33"/>
    <w:rsid w:val="00556AF5"/>
    <w:rsid w:val="00566500"/>
    <w:rsid w:val="00566FFE"/>
    <w:rsid w:val="00567364"/>
    <w:rsid w:val="005703A6"/>
    <w:rsid w:val="00575911"/>
    <w:rsid w:val="00581AF3"/>
    <w:rsid w:val="00582F96"/>
    <w:rsid w:val="00583643"/>
    <w:rsid w:val="00591AA5"/>
    <w:rsid w:val="005967D8"/>
    <w:rsid w:val="005A00DD"/>
    <w:rsid w:val="005A07D4"/>
    <w:rsid w:val="005A5893"/>
    <w:rsid w:val="005A5C04"/>
    <w:rsid w:val="005B717C"/>
    <w:rsid w:val="005C2A2C"/>
    <w:rsid w:val="005C34B5"/>
    <w:rsid w:val="005C3900"/>
    <w:rsid w:val="005D0806"/>
    <w:rsid w:val="005D593F"/>
    <w:rsid w:val="005E11CC"/>
    <w:rsid w:val="005E1A7A"/>
    <w:rsid w:val="005E288F"/>
    <w:rsid w:val="00602AB5"/>
    <w:rsid w:val="00603246"/>
    <w:rsid w:val="00606276"/>
    <w:rsid w:val="00606C54"/>
    <w:rsid w:val="00616E85"/>
    <w:rsid w:val="00621F9E"/>
    <w:rsid w:val="0062279B"/>
    <w:rsid w:val="006301BB"/>
    <w:rsid w:val="00636B36"/>
    <w:rsid w:val="00641155"/>
    <w:rsid w:val="00641D14"/>
    <w:rsid w:val="00643169"/>
    <w:rsid w:val="00643F42"/>
    <w:rsid w:val="0064706D"/>
    <w:rsid w:val="00650440"/>
    <w:rsid w:val="00652BD9"/>
    <w:rsid w:val="00653F75"/>
    <w:rsid w:val="00655C97"/>
    <w:rsid w:val="00667577"/>
    <w:rsid w:val="00675DEA"/>
    <w:rsid w:val="00680765"/>
    <w:rsid w:val="00686F1D"/>
    <w:rsid w:val="00687A88"/>
    <w:rsid w:val="00690524"/>
    <w:rsid w:val="00690DBC"/>
    <w:rsid w:val="00693DE3"/>
    <w:rsid w:val="006A0160"/>
    <w:rsid w:val="006A3D4C"/>
    <w:rsid w:val="006A5C43"/>
    <w:rsid w:val="006B16DB"/>
    <w:rsid w:val="006B1A2F"/>
    <w:rsid w:val="006B28B3"/>
    <w:rsid w:val="006B6F9E"/>
    <w:rsid w:val="006C00B3"/>
    <w:rsid w:val="006C209A"/>
    <w:rsid w:val="006C20DA"/>
    <w:rsid w:val="006C2366"/>
    <w:rsid w:val="006C62D9"/>
    <w:rsid w:val="006C6F7C"/>
    <w:rsid w:val="006C7AEF"/>
    <w:rsid w:val="006D1363"/>
    <w:rsid w:val="006D4938"/>
    <w:rsid w:val="006D5AE1"/>
    <w:rsid w:val="006D65E7"/>
    <w:rsid w:val="006D7F4D"/>
    <w:rsid w:val="006F2B43"/>
    <w:rsid w:val="006F348E"/>
    <w:rsid w:val="0070134B"/>
    <w:rsid w:val="00701779"/>
    <w:rsid w:val="00701ACD"/>
    <w:rsid w:val="00706BDE"/>
    <w:rsid w:val="00712CC5"/>
    <w:rsid w:val="007233C9"/>
    <w:rsid w:val="00730C35"/>
    <w:rsid w:val="007315DA"/>
    <w:rsid w:val="00733935"/>
    <w:rsid w:val="0073618B"/>
    <w:rsid w:val="007418F0"/>
    <w:rsid w:val="00746108"/>
    <w:rsid w:val="0075252D"/>
    <w:rsid w:val="0075482B"/>
    <w:rsid w:val="007550A9"/>
    <w:rsid w:val="00755440"/>
    <w:rsid w:val="00755B5A"/>
    <w:rsid w:val="00757EED"/>
    <w:rsid w:val="00771889"/>
    <w:rsid w:val="00771D19"/>
    <w:rsid w:val="00776C47"/>
    <w:rsid w:val="00780225"/>
    <w:rsid w:val="00784DB6"/>
    <w:rsid w:val="00792676"/>
    <w:rsid w:val="00793E68"/>
    <w:rsid w:val="007953A7"/>
    <w:rsid w:val="007A5BC8"/>
    <w:rsid w:val="007A742E"/>
    <w:rsid w:val="007A7CFE"/>
    <w:rsid w:val="007B4159"/>
    <w:rsid w:val="007B7439"/>
    <w:rsid w:val="007C0109"/>
    <w:rsid w:val="007C3706"/>
    <w:rsid w:val="007E2601"/>
    <w:rsid w:val="007E62F0"/>
    <w:rsid w:val="007F081A"/>
    <w:rsid w:val="007F5F95"/>
    <w:rsid w:val="0080391B"/>
    <w:rsid w:val="0080444C"/>
    <w:rsid w:val="00811893"/>
    <w:rsid w:val="00817687"/>
    <w:rsid w:val="0082150F"/>
    <w:rsid w:val="008254C6"/>
    <w:rsid w:val="008274CF"/>
    <w:rsid w:val="00831B55"/>
    <w:rsid w:val="0083315D"/>
    <w:rsid w:val="0084498B"/>
    <w:rsid w:val="0084536D"/>
    <w:rsid w:val="008646BB"/>
    <w:rsid w:val="00871872"/>
    <w:rsid w:val="008775F6"/>
    <w:rsid w:val="00884DE0"/>
    <w:rsid w:val="0088593C"/>
    <w:rsid w:val="00893BFA"/>
    <w:rsid w:val="00893F12"/>
    <w:rsid w:val="008A05C7"/>
    <w:rsid w:val="008A3688"/>
    <w:rsid w:val="008A65BC"/>
    <w:rsid w:val="008A7398"/>
    <w:rsid w:val="008A7CD4"/>
    <w:rsid w:val="008C671A"/>
    <w:rsid w:val="008D1D2B"/>
    <w:rsid w:val="008D3385"/>
    <w:rsid w:val="008D3ADC"/>
    <w:rsid w:val="008D630A"/>
    <w:rsid w:val="008D68F7"/>
    <w:rsid w:val="008E2D34"/>
    <w:rsid w:val="008E405E"/>
    <w:rsid w:val="008E4699"/>
    <w:rsid w:val="008F0C41"/>
    <w:rsid w:val="008F1F49"/>
    <w:rsid w:val="008F6166"/>
    <w:rsid w:val="00905F57"/>
    <w:rsid w:val="00907F76"/>
    <w:rsid w:val="0091562B"/>
    <w:rsid w:val="00925853"/>
    <w:rsid w:val="00935B6C"/>
    <w:rsid w:val="00940705"/>
    <w:rsid w:val="009440D4"/>
    <w:rsid w:val="00944715"/>
    <w:rsid w:val="009502D2"/>
    <w:rsid w:val="00956AA1"/>
    <w:rsid w:val="0096383E"/>
    <w:rsid w:val="0096737F"/>
    <w:rsid w:val="00971C5F"/>
    <w:rsid w:val="0097316F"/>
    <w:rsid w:val="009768B4"/>
    <w:rsid w:val="00982217"/>
    <w:rsid w:val="0098233C"/>
    <w:rsid w:val="009844E9"/>
    <w:rsid w:val="0098617A"/>
    <w:rsid w:val="009A7F20"/>
    <w:rsid w:val="009B672E"/>
    <w:rsid w:val="009C2D6B"/>
    <w:rsid w:val="009C4DBC"/>
    <w:rsid w:val="009C5D50"/>
    <w:rsid w:val="009D1E6A"/>
    <w:rsid w:val="009D31B6"/>
    <w:rsid w:val="009D3C81"/>
    <w:rsid w:val="009D6FCE"/>
    <w:rsid w:val="009E27E2"/>
    <w:rsid w:val="009E4675"/>
    <w:rsid w:val="009E7756"/>
    <w:rsid w:val="009F08F1"/>
    <w:rsid w:val="009F3A74"/>
    <w:rsid w:val="009F6699"/>
    <w:rsid w:val="00A13E53"/>
    <w:rsid w:val="00A157D3"/>
    <w:rsid w:val="00A1759C"/>
    <w:rsid w:val="00A20EB8"/>
    <w:rsid w:val="00A22D27"/>
    <w:rsid w:val="00A30308"/>
    <w:rsid w:val="00A31E74"/>
    <w:rsid w:val="00A32A19"/>
    <w:rsid w:val="00A35616"/>
    <w:rsid w:val="00A364B7"/>
    <w:rsid w:val="00A4112A"/>
    <w:rsid w:val="00A4413C"/>
    <w:rsid w:val="00A54C81"/>
    <w:rsid w:val="00A55793"/>
    <w:rsid w:val="00A6271E"/>
    <w:rsid w:val="00A62B7A"/>
    <w:rsid w:val="00A6687D"/>
    <w:rsid w:val="00A93825"/>
    <w:rsid w:val="00A93DB4"/>
    <w:rsid w:val="00AA47A0"/>
    <w:rsid w:val="00AA65E9"/>
    <w:rsid w:val="00AA6EC9"/>
    <w:rsid w:val="00AA7948"/>
    <w:rsid w:val="00AB0C10"/>
    <w:rsid w:val="00AB2B91"/>
    <w:rsid w:val="00AB3FE8"/>
    <w:rsid w:val="00AB634B"/>
    <w:rsid w:val="00AD169F"/>
    <w:rsid w:val="00AD61FF"/>
    <w:rsid w:val="00AD7B23"/>
    <w:rsid w:val="00AE0C8A"/>
    <w:rsid w:val="00AE7498"/>
    <w:rsid w:val="00AF3B3B"/>
    <w:rsid w:val="00AF4275"/>
    <w:rsid w:val="00AF475F"/>
    <w:rsid w:val="00B20D19"/>
    <w:rsid w:val="00B218D0"/>
    <w:rsid w:val="00B26817"/>
    <w:rsid w:val="00B35DF6"/>
    <w:rsid w:val="00B36312"/>
    <w:rsid w:val="00B367C2"/>
    <w:rsid w:val="00B41728"/>
    <w:rsid w:val="00B419D4"/>
    <w:rsid w:val="00B45124"/>
    <w:rsid w:val="00B61FED"/>
    <w:rsid w:val="00B70756"/>
    <w:rsid w:val="00B75567"/>
    <w:rsid w:val="00B83DD1"/>
    <w:rsid w:val="00B85EDE"/>
    <w:rsid w:val="00B87D81"/>
    <w:rsid w:val="00B92F56"/>
    <w:rsid w:val="00B948C5"/>
    <w:rsid w:val="00B968E7"/>
    <w:rsid w:val="00BA3C07"/>
    <w:rsid w:val="00BA403B"/>
    <w:rsid w:val="00BB0DA6"/>
    <w:rsid w:val="00BB53F0"/>
    <w:rsid w:val="00BC6378"/>
    <w:rsid w:val="00BC661B"/>
    <w:rsid w:val="00BD05E8"/>
    <w:rsid w:val="00BD5B6D"/>
    <w:rsid w:val="00BD6D3F"/>
    <w:rsid w:val="00BD713A"/>
    <w:rsid w:val="00BE1FBC"/>
    <w:rsid w:val="00BE407B"/>
    <w:rsid w:val="00BF1719"/>
    <w:rsid w:val="00BF2045"/>
    <w:rsid w:val="00C00BA1"/>
    <w:rsid w:val="00C01519"/>
    <w:rsid w:val="00C01DBA"/>
    <w:rsid w:val="00C04D7C"/>
    <w:rsid w:val="00C04FE4"/>
    <w:rsid w:val="00C12913"/>
    <w:rsid w:val="00C17CC3"/>
    <w:rsid w:val="00C253FD"/>
    <w:rsid w:val="00C335A3"/>
    <w:rsid w:val="00C3724D"/>
    <w:rsid w:val="00C444DC"/>
    <w:rsid w:val="00C51759"/>
    <w:rsid w:val="00C55958"/>
    <w:rsid w:val="00C57ED9"/>
    <w:rsid w:val="00C57FEF"/>
    <w:rsid w:val="00C62017"/>
    <w:rsid w:val="00C6207D"/>
    <w:rsid w:val="00C64457"/>
    <w:rsid w:val="00C724A7"/>
    <w:rsid w:val="00C73A95"/>
    <w:rsid w:val="00C822F6"/>
    <w:rsid w:val="00C86446"/>
    <w:rsid w:val="00C878D0"/>
    <w:rsid w:val="00C947AF"/>
    <w:rsid w:val="00CA2797"/>
    <w:rsid w:val="00CB2D59"/>
    <w:rsid w:val="00CC028C"/>
    <w:rsid w:val="00CD233C"/>
    <w:rsid w:val="00CD2E56"/>
    <w:rsid w:val="00CD3F2C"/>
    <w:rsid w:val="00CD4DF7"/>
    <w:rsid w:val="00CE02FF"/>
    <w:rsid w:val="00CE4781"/>
    <w:rsid w:val="00CE48E8"/>
    <w:rsid w:val="00CF4957"/>
    <w:rsid w:val="00D05955"/>
    <w:rsid w:val="00D05A0C"/>
    <w:rsid w:val="00D0636A"/>
    <w:rsid w:val="00D24F60"/>
    <w:rsid w:val="00D3243A"/>
    <w:rsid w:val="00D52B79"/>
    <w:rsid w:val="00D5656F"/>
    <w:rsid w:val="00D645B0"/>
    <w:rsid w:val="00D656F0"/>
    <w:rsid w:val="00D66BB1"/>
    <w:rsid w:val="00D67792"/>
    <w:rsid w:val="00D702CC"/>
    <w:rsid w:val="00D712A1"/>
    <w:rsid w:val="00D7327F"/>
    <w:rsid w:val="00D749B3"/>
    <w:rsid w:val="00D83849"/>
    <w:rsid w:val="00D9055A"/>
    <w:rsid w:val="00DA4589"/>
    <w:rsid w:val="00DA72C0"/>
    <w:rsid w:val="00DA752D"/>
    <w:rsid w:val="00DB5B61"/>
    <w:rsid w:val="00DC1DFA"/>
    <w:rsid w:val="00DD084A"/>
    <w:rsid w:val="00DD324E"/>
    <w:rsid w:val="00DD33F2"/>
    <w:rsid w:val="00DE0EAA"/>
    <w:rsid w:val="00DE778B"/>
    <w:rsid w:val="00DF4BDA"/>
    <w:rsid w:val="00E05CCA"/>
    <w:rsid w:val="00E113A6"/>
    <w:rsid w:val="00E11935"/>
    <w:rsid w:val="00E127CA"/>
    <w:rsid w:val="00E12E3A"/>
    <w:rsid w:val="00E13E41"/>
    <w:rsid w:val="00E1774E"/>
    <w:rsid w:val="00E31291"/>
    <w:rsid w:val="00E312B9"/>
    <w:rsid w:val="00E3283D"/>
    <w:rsid w:val="00E41630"/>
    <w:rsid w:val="00E466C1"/>
    <w:rsid w:val="00E47771"/>
    <w:rsid w:val="00E60527"/>
    <w:rsid w:val="00E712F3"/>
    <w:rsid w:val="00E8380B"/>
    <w:rsid w:val="00E84D3D"/>
    <w:rsid w:val="00E85D62"/>
    <w:rsid w:val="00E8630F"/>
    <w:rsid w:val="00E86586"/>
    <w:rsid w:val="00E92898"/>
    <w:rsid w:val="00EA6FDA"/>
    <w:rsid w:val="00EA7DCD"/>
    <w:rsid w:val="00EB42BF"/>
    <w:rsid w:val="00EB49FE"/>
    <w:rsid w:val="00EB69F3"/>
    <w:rsid w:val="00EC14D8"/>
    <w:rsid w:val="00EC1F61"/>
    <w:rsid w:val="00EC5DA7"/>
    <w:rsid w:val="00ED1565"/>
    <w:rsid w:val="00ED289D"/>
    <w:rsid w:val="00ED39E0"/>
    <w:rsid w:val="00ED3F4D"/>
    <w:rsid w:val="00ED7062"/>
    <w:rsid w:val="00ED76A4"/>
    <w:rsid w:val="00EE0400"/>
    <w:rsid w:val="00EE2AB8"/>
    <w:rsid w:val="00EE7269"/>
    <w:rsid w:val="00EE7A4A"/>
    <w:rsid w:val="00EF2390"/>
    <w:rsid w:val="00F0185A"/>
    <w:rsid w:val="00F01AE5"/>
    <w:rsid w:val="00F11D4B"/>
    <w:rsid w:val="00F14656"/>
    <w:rsid w:val="00F17C07"/>
    <w:rsid w:val="00F222E7"/>
    <w:rsid w:val="00F27891"/>
    <w:rsid w:val="00F3010D"/>
    <w:rsid w:val="00F31B2B"/>
    <w:rsid w:val="00F32B2C"/>
    <w:rsid w:val="00F37F55"/>
    <w:rsid w:val="00F43EFF"/>
    <w:rsid w:val="00F50716"/>
    <w:rsid w:val="00F6389D"/>
    <w:rsid w:val="00F737FD"/>
    <w:rsid w:val="00F7404D"/>
    <w:rsid w:val="00F748F8"/>
    <w:rsid w:val="00F74B81"/>
    <w:rsid w:val="00F778D4"/>
    <w:rsid w:val="00F83A40"/>
    <w:rsid w:val="00F85098"/>
    <w:rsid w:val="00F93ED7"/>
    <w:rsid w:val="00FA0C23"/>
    <w:rsid w:val="00FA5005"/>
    <w:rsid w:val="00FA5F7A"/>
    <w:rsid w:val="00FA6E16"/>
    <w:rsid w:val="00FC014A"/>
    <w:rsid w:val="00FC2463"/>
    <w:rsid w:val="00FC3C5F"/>
    <w:rsid w:val="00FC4514"/>
    <w:rsid w:val="00FC5688"/>
    <w:rsid w:val="00FC5788"/>
    <w:rsid w:val="00FC7696"/>
    <w:rsid w:val="00FD1432"/>
    <w:rsid w:val="00FE05AD"/>
    <w:rsid w:val="00FE5594"/>
    <w:rsid w:val="00FE578B"/>
    <w:rsid w:val="00FF1744"/>
    <w:rsid w:val="00FF4349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55D7"/>
  <w15:chartTrackingRefBased/>
  <w15:docId w15:val="{F81B4BAA-7D38-47D3-898A-93773355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A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A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7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5D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50"/>
  </w:style>
  <w:style w:type="paragraph" w:styleId="Footer">
    <w:name w:val="footer"/>
    <w:basedOn w:val="Normal"/>
    <w:link w:val="FooterChar"/>
    <w:uiPriority w:val="99"/>
    <w:unhideWhenUsed/>
    <w:rsid w:val="009C5D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niesmarketcap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companiesmarketcap.com/" TargetMode="Externa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9038dfe436394/Documents/Skills%20City%20Bootcamp/Excel_Capstone_Project/Companies_Market_Capitalis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9038dfe436394/Documents/Skills%20City%20Bootcamp/Excel_Capstone_Project/Companies_Market_Capitalis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e9038dfe436394/Documents/Skills%20City%20Bootcamp/Excel_Capstone_Project/Companies_Market_Capitalis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82e9038dfe436394/Documents/Skills%20City%20Bootcamp/Excel_Capstone_Project/Companies_Market_Capitalis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The Market Capitalisations of the Top 10 Companies </a:t>
            </a:r>
          </a:p>
        </c:rich>
      </c:tx>
      <c:layout>
        <c:manualLayout>
          <c:xMode val="edge"/>
          <c:yMode val="edge"/>
          <c:x val="0.32264371250927154"/>
          <c:y val="2.31849820807034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62807451969018"/>
          <c:y val="0.14065287689562891"/>
          <c:w val="0.83543511760841049"/>
          <c:h val="0.703894205982363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[Companies_Market_Capitalisation.xlsx]Cleaned_Dataset!$D$2</c:f>
              <c:strCache>
                <c:ptCount val="1"/>
                <c:pt idx="0">
                  <c:v>Market Capitalisation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dLbl>
              <c:idx val="0"/>
              <c:layout>
                <c:manualLayout>
                  <c:x val="2.9668708844940953E-2"/>
                  <c:y val="-8.684244895091222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625-41A9-A242-5EAB66E63654}"/>
                </c:ext>
              </c:extLst>
            </c:dLbl>
            <c:dLbl>
              <c:idx val="1"/>
              <c:layout>
                <c:manualLayout>
                  <c:x val="7.1262666936881852E-2"/>
                  <c:y val="-3.587813748732171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625-41A9-A242-5EAB66E63654}"/>
                </c:ext>
              </c:extLst>
            </c:dLbl>
            <c:dLbl>
              <c:idx val="2"/>
              <c:layout>
                <c:manualLayout>
                  <c:x val="-1.7923415827575891E-4"/>
                  <c:y val="-0.130490793750687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625-41A9-A242-5EAB66E63654}"/>
                </c:ext>
              </c:extLst>
            </c:dLbl>
            <c:dLbl>
              <c:idx val="3"/>
              <c:layout>
                <c:manualLayout>
                  <c:x val="-1.1401506818520626E-3"/>
                  <c:y val="-0.1009378475065071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625-41A9-A242-5EAB66E63654}"/>
                </c:ext>
              </c:extLst>
            </c:dLbl>
            <c:dLbl>
              <c:idx val="4"/>
              <c:layout>
                <c:manualLayout>
                  <c:x val="-3.357310916387185E-3"/>
                  <c:y val="-6.694789235394034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625-41A9-A242-5EAB66E63654}"/>
                </c:ext>
              </c:extLst>
            </c:dLbl>
            <c:dLbl>
              <c:idx val="5"/>
              <c:layout>
                <c:manualLayout>
                  <c:x val="6.830634631729891E-3"/>
                  <c:y val="-2.852092829298693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625-41A9-A242-5EAB66E63654}"/>
                </c:ext>
              </c:extLst>
            </c:dLbl>
            <c:dLbl>
              <c:idx val="6"/>
              <c:layout>
                <c:manualLayout>
                  <c:x val="-5.9935934619486844E-3"/>
                  <c:y val="-6.234572238583465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625-41A9-A242-5EAB66E63654}"/>
                </c:ext>
              </c:extLst>
            </c:dLbl>
            <c:dLbl>
              <c:idx val="7"/>
              <c:layout>
                <c:manualLayout>
                  <c:x val="-9.1110162255853624E-3"/>
                  <c:y val="-5.034510069287451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625-41A9-A242-5EAB66E63654}"/>
                </c:ext>
              </c:extLst>
            </c:dLbl>
            <c:dLbl>
              <c:idx val="8"/>
              <c:layout>
                <c:manualLayout>
                  <c:x val="1.1028917995318089E-2"/>
                  <c:y val="-2.375359726516197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625-41A9-A242-5EAB66E63654}"/>
                </c:ext>
              </c:extLst>
            </c:dLbl>
            <c:dLbl>
              <c:idx val="9"/>
              <c:layout>
                <c:manualLayout>
                  <c:x val="-1.0458000237802169E-3"/>
                  <c:y val="-0.1181186074077694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625-41A9-A242-5EAB66E636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accent2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[Companies_Market_Capitalisation.xlsx]Cleaned_Dataset!$C$3:$C$12</c:f>
              <c:strCache>
                <c:ptCount val="10"/>
                <c:pt idx="0">
                  <c:v>Microsoft</c:v>
                </c:pt>
                <c:pt idx="1">
                  <c:v>Apple</c:v>
                </c:pt>
                <c:pt idx="2">
                  <c:v>Saudi Arabia Aramco</c:v>
                </c:pt>
                <c:pt idx="3">
                  <c:v>Alphabet (Google)</c:v>
                </c:pt>
                <c:pt idx="4">
                  <c:v>Amazon</c:v>
                </c:pt>
                <c:pt idx="5">
                  <c:v>NVIDIA</c:v>
                </c:pt>
                <c:pt idx="6">
                  <c:v>Meta Platforms (Facebook)</c:v>
                </c:pt>
                <c:pt idx="7">
                  <c:v>Berkshire Hathaway</c:v>
                </c:pt>
                <c:pt idx="8">
                  <c:v>Eli Lilly</c:v>
                </c:pt>
                <c:pt idx="9">
                  <c:v>TSMC</c:v>
                </c:pt>
              </c:strCache>
            </c:strRef>
          </c:cat>
          <c:val>
            <c:numRef>
              <c:f>[Companies_Market_Capitalisation.xlsx]Cleaned_Dataset!$D$3:$D$12</c:f>
              <c:numCache>
                <c:formatCode>[$$-409]#,##0.00</c:formatCode>
                <c:ptCount val="10"/>
                <c:pt idx="0">
                  <c:v>3033000000000</c:v>
                </c:pt>
                <c:pt idx="1">
                  <c:v>2951000000000</c:v>
                </c:pt>
                <c:pt idx="2">
                  <c:v>2025999999999.9998</c:v>
                </c:pt>
                <c:pt idx="3">
                  <c:v>1909000000000</c:v>
                </c:pt>
                <c:pt idx="4">
                  <c:v>1653000000000</c:v>
                </c:pt>
                <c:pt idx="5">
                  <c:v>1522000000000</c:v>
                </c:pt>
                <c:pt idx="6">
                  <c:v>1026999999999.9999</c:v>
                </c:pt>
                <c:pt idx="7">
                  <c:v>826220000000</c:v>
                </c:pt>
                <c:pt idx="8">
                  <c:v>611430000000</c:v>
                </c:pt>
                <c:pt idx="9">
                  <c:v>602860000000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625-41A9-A242-5EAB66E6365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19256432"/>
        <c:axId val="1246733327"/>
      </c:barChart>
      <c:catAx>
        <c:axId val="41925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733327"/>
        <c:crosses val="autoZero"/>
        <c:auto val="1"/>
        <c:lblAlgn val="ctr"/>
        <c:lblOffset val="100"/>
        <c:noMultiLvlLbl val="0"/>
      </c:catAx>
      <c:valAx>
        <c:axId val="124673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$-409]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25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ysClr val="windowText" lastClr="000000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[Companies_Market_Capitalisation.xlsx]PivotTables!PivotTable3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GB" sz="1200" b="1"/>
              <a:t>The total % of the number of shares </a:t>
            </a:r>
          </a:p>
          <a:p>
            <a:pPr>
              <a:defRPr sz="1200" b="1"/>
            </a:pPr>
            <a:r>
              <a:rPr lang="en-GB" sz="1200" b="1"/>
              <a:t>for each market capitalisation category</a:t>
            </a:r>
          </a:p>
        </c:rich>
      </c:tx>
      <c:layout>
        <c:manualLayout>
          <c:xMode val="edge"/>
          <c:yMode val="edge"/>
          <c:x val="0.46810271926033115"/>
          <c:y val="1.68523242825820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tx1"/>
            </a:solidFill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FF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0883146677318095E-2"/>
              <c:y val="0.15627230669738457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D44B1B61-0529-45FB-B98D-2C3DAD27D8F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CC16ACD-5563-42C3-AB02-348DFE29F0E4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gradFill flip="none" rotWithShape="1">
            <a:gsLst>
              <a:gs pos="0">
                <a:srgbClr val="92D050">
                  <a:tint val="66000"/>
                  <a:satMod val="160000"/>
                </a:srgbClr>
              </a:gs>
              <a:gs pos="50000">
                <a:srgbClr val="92D050">
                  <a:tint val="44500"/>
                  <a:satMod val="160000"/>
                </a:srgbClr>
              </a:gs>
              <a:gs pos="100000">
                <a:srgbClr val="92D050">
                  <a:tint val="23500"/>
                  <a:satMod val="160000"/>
                </a:srgbClr>
              </a:gs>
            </a:gsLst>
            <a:path path="circle">
              <a:fillToRect l="100000" b="100000"/>
            </a:path>
            <a:tileRect t="-100000" r="-100000"/>
          </a:gra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8631835732464831E-2"/>
              <c:y val="-4.6061116259762128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8994780B-634F-4988-B075-DF7EEA1ADF5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F30DBE0-A092-487C-AA92-18013ED40686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rgbClr val="FF00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-7.860580246723918E-2"/>
              <c:y val="-2.4797072491303106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92E5CC93-B1B9-4F18-B331-88ADC8A061A1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E75117EC-97C4-4C32-B8DE-F8D8AF1A69A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spPr>
          <a:solidFill>
            <a:schemeClr val="accent1">
              <a:lumMod val="60000"/>
              <a:lumOff val="40000"/>
            </a:schemeClr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5.3385156622063813E-2"/>
              <c:y val="1.5314279227754824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48E81F3E-034A-457F-B8E6-025AE41B5729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65252FC2-074B-4B07-87DA-3573C4D7F3E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tx1"/>
            </a:solidFill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00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-7.860580246723918E-2"/>
              <c:y val="-2.4797072491303106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92E5CC93-B1B9-4F18-B331-88ADC8A061A1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E75117EC-97C4-4C32-B8DE-F8D8AF1A69A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>
              <a:lumMod val="60000"/>
              <a:lumOff val="40000"/>
            </a:schemeClr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5.3385156622063813E-2"/>
              <c:y val="1.5314279227754824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48E81F3E-034A-457F-B8E6-025AE41B5729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65252FC2-074B-4B07-87DA-3573C4D7F3E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gradFill flip="none" rotWithShape="1">
            <a:gsLst>
              <a:gs pos="0">
                <a:srgbClr val="92D050">
                  <a:tint val="66000"/>
                  <a:satMod val="160000"/>
                </a:srgbClr>
              </a:gs>
              <a:gs pos="50000">
                <a:srgbClr val="92D050">
                  <a:tint val="44500"/>
                  <a:satMod val="160000"/>
                </a:srgbClr>
              </a:gs>
              <a:gs pos="100000">
                <a:srgbClr val="92D050">
                  <a:tint val="23500"/>
                  <a:satMod val="160000"/>
                </a:srgbClr>
              </a:gs>
            </a:gsLst>
            <a:path path="circle">
              <a:fillToRect l="100000" b="100000"/>
            </a:path>
            <a:tileRect t="-100000" r="-100000"/>
          </a:gra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8631835732464831E-2"/>
              <c:y val="-4.6061116259762128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8994780B-634F-4988-B075-DF7EEA1ADF5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F30DBE0-A092-487C-AA92-18013ED40686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9"/>
        <c:spPr>
          <a:solidFill>
            <a:srgbClr val="FFFF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0883146677318095E-2"/>
              <c:y val="0.15627230669738457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D44B1B61-0529-45FB-B98D-2C3DAD27D8F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CC16ACD-5563-42C3-AB02-348DFE29F0E4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tx1"/>
            </a:solidFill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FF00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-7.860580246723918E-2"/>
              <c:y val="-2.4797072491303106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92E5CC93-B1B9-4F18-B331-88ADC8A061A1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E75117EC-97C4-4C32-B8DE-F8D8AF1A69A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1">
              <a:lumMod val="60000"/>
              <a:lumOff val="40000"/>
            </a:schemeClr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5.3385156622063813E-2"/>
              <c:y val="1.5314279227754824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48E81F3E-034A-457F-B8E6-025AE41B5729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65252FC2-074B-4B07-87DA-3573C4D7F3E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3"/>
        <c:spPr>
          <a:gradFill flip="none" rotWithShape="1">
            <a:gsLst>
              <a:gs pos="0">
                <a:srgbClr val="92D050">
                  <a:tint val="66000"/>
                  <a:satMod val="160000"/>
                </a:srgbClr>
              </a:gs>
              <a:gs pos="50000">
                <a:srgbClr val="92D050">
                  <a:tint val="44500"/>
                  <a:satMod val="160000"/>
                </a:srgbClr>
              </a:gs>
              <a:gs pos="100000">
                <a:srgbClr val="92D050">
                  <a:tint val="23500"/>
                  <a:satMod val="160000"/>
                </a:srgbClr>
              </a:gs>
            </a:gsLst>
            <a:path path="circle">
              <a:fillToRect l="100000" b="100000"/>
            </a:path>
            <a:tileRect t="-100000" r="-100000"/>
          </a:gra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8631835732464831E-2"/>
              <c:y val="-4.6061116259762128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8994780B-634F-4988-B075-DF7EEA1ADF5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F30DBE0-A092-487C-AA92-18013ED40686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4"/>
        <c:spPr>
          <a:solidFill>
            <a:srgbClr val="FFFF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0883146677318095E-2"/>
              <c:y val="0.15627230669738457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D44B1B61-0529-45FB-B98D-2C3DAD27D8F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CC16ACD-5563-42C3-AB02-348DFE29F0E4}" type="PERCENTAGE">
                  <a:rPr lang="en-US" sz="1100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5"/>
        <c:spPr>
          <a:solidFill>
            <a:schemeClr val="accent1"/>
          </a:solidFill>
          <a:ln w="19050">
            <a:solidFill>
              <a:schemeClr val="tx1"/>
            </a:solidFill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FF00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-7.860580246723918E-2"/>
              <c:y val="-2.4797072491303106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92E5CC93-B1B9-4F18-B331-88ADC8A061A1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E75117EC-97C4-4C32-B8DE-F8D8AF1A69A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7"/>
        <c:spPr>
          <a:solidFill>
            <a:schemeClr val="accent1">
              <a:lumMod val="60000"/>
              <a:lumOff val="40000"/>
            </a:schemeClr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5.3385156622063813E-2"/>
              <c:y val="1.5314279227754824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48E81F3E-034A-457F-B8E6-025AE41B5729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65252FC2-074B-4B07-87DA-3573C4D7F3E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8"/>
        <c:spPr>
          <a:gradFill flip="none" rotWithShape="1">
            <a:gsLst>
              <a:gs pos="0">
                <a:srgbClr val="92D050">
                  <a:tint val="66000"/>
                  <a:satMod val="160000"/>
                </a:srgbClr>
              </a:gs>
              <a:gs pos="50000">
                <a:srgbClr val="92D050">
                  <a:tint val="44500"/>
                  <a:satMod val="160000"/>
                </a:srgbClr>
              </a:gs>
              <a:gs pos="100000">
                <a:srgbClr val="92D050">
                  <a:tint val="23500"/>
                  <a:satMod val="160000"/>
                </a:srgbClr>
              </a:gs>
            </a:gsLst>
            <a:path path="circle">
              <a:fillToRect l="100000" b="100000"/>
            </a:path>
            <a:tileRect t="-100000" r="-100000"/>
          </a:gra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8631835732464831E-2"/>
              <c:y val="-4.6061116259762128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8994780B-634F-4988-B075-DF7EEA1ADF5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F30DBE0-A092-487C-AA92-18013ED40686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9"/>
        <c:spPr>
          <a:solidFill>
            <a:srgbClr val="FFFF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0883146677318095E-2"/>
              <c:y val="0.15627230669738457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D44B1B61-0529-45FB-B98D-2C3DAD27D8F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CC16ACD-5563-42C3-AB02-348DFE29F0E4}" type="PERCENTAGE">
                  <a:rPr lang="en-US" sz="1100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0"/>
        <c:spPr>
          <a:solidFill>
            <a:schemeClr val="accent1"/>
          </a:solidFill>
          <a:ln w="19050">
            <a:solidFill>
              <a:schemeClr val="tx1"/>
            </a:solidFill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rgbClr val="FF00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-7.860580246723918E-2"/>
              <c:y val="-2.4797072491303106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92E5CC93-B1B9-4F18-B331-88ADC8A061A1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E75117EC-97C4-4C32-B8DE-F8D8AF1A69A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2"/>
        <c:spPr>
          <a:solidFill>
            <a:schemeClr val="accent1">
              <a:lumMod val="60000"/>
              <a:lumOff val="40000"/>
            </a:schemeClr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5.3385156622063813E-2"/>
              <c:y val="1.5314279227754824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48E81F3E-034A-457F-B8E6-025AE41B5729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65252FC2-074B-4B07-87DA-3573C4D7F3EE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3"/>
        <c:spPr>
          <a:gradFill flip="none" rotWithShape="1">
            <a:gsLst>
              <a:gs pos="0">
                <a:srgbClr val="92D050">
                  <a:tint val="66000"/>
                  <a:satMod val="160000"/>
                </a:srgbClr>
              </a:gs>
              <a:gs pos="50000">
                <a:srgbClr val="92D050">
                  <a:tint val="44500"/>
                  <a:satMod val="160000"/>
                </a:srgbClr>
              </a:gs>
              <a:gs pos="100000">
                <a:srgbClr val="92D050">
                  <a:tint val="23500"/>
                  <a:satMod val="160000"/>
                </a:srgbClr>
              </a:gs>
            </a:gsLst>
            <a:path path="circle">
              <a:fillToRect l="100000" b="100000"/>
            </a:path>
            <a:tileRect t="-100000" r="-100000"/>
          </a:gra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8631835732464831E-2"/>
              <c:y val="-4.6061116259762128E-2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8994780B-634F-4988-B075-DF7EEA1ADF5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F30DBE0-A092-487C-AA92-18013ED40686}" type="PERCENTAGE">
                  <a:rPr lang="en-US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4"/>
        <c:spPr>
          <a:solidFill>
            <a:srgbClr val="FFFF00"/>
          </a:solidFill>
          <a:ln w="19050">
            <a:solidFill>
              <a:schemeClr val="tx1"/>
            </a:solidFill>
          </a:ln>
          <a:effectLst/>
        </c:spPr>
        <c:dLbl>
          <c:idx val="0"/>
          <c:layout>
            <c:manualLayout>
              <c:x val="1.0883146677318095E-2"/>
              <c:y val="0.15627230669738457"/>
            </c:manualLayout>
          </c:layout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fld id="{D44B1B61-0529-45FB-B98D-2C3DAD27D8F3}" type="CATEGORYNAME">
                  <a:rPr lang="en-US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
</a:t>
                </a:r>
                <a:fld id="{BCC16ACD-5563-42C3-AB02-348DFE29F0E4}" type="PERCENTAGE">
                  <a:rPr lang="en-US" sz="1100" b="1" baseline="0"/>
                  <a:pPr>
                    <a:defRPr sz="105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t>[PERCENTAGE]</a:t>
                </a:fld>
                <a:endParaRPr lang="en-US" baseline="0"/>
              </a:p>
            </c:rich>
          </c:tx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PivotTables!$B$3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4A-4DDE-A675-99418C0F6899}"/>
              </c:ext>
            </c:extLst>
          </c:dPt>
          <c:dPt>
            <c:idx val="1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4A-4DDE-A675-99418C0F6899}"/>
              </c:ext>
            </c:extLst>
          </c:dPt>
          <c:dPt>
            <c:idx val="2"/>
            <c:bubble3D val="0"/>
            <c:spPr>
              <a:gradFill flip="none" rotWithShape="1">
                <a:gsLst>
                  <a:gs pos="0">
                    <a:srgbClr val="92D050">
                      <a:tint val="66000"/>
                      <a:satMod val="160000"/>
                    </a:srgbClr>
                  </a:gs>
                  <a:gs pos="50000">
                    <a:srgbClr val="92D050">
                      <a:tint val="44500"/>
                      <a:satMod val="160000"/>
                    </a:srgbClr>
                  </a:gs>
                  <a:gs pos="100000">
                    <a:srgbClr val="92D050">
                      <a:tint val="23500"/>
                      <a:satMod val="160000"/>
                    </a:srgbClr>
                  </a:gs>
                </a:gsLst>
                <a:path path="circle">
                  <a:fillToRect l="100000" b="100000"/>
                </a:path>
                <a:tileRect t="-100000" r="-100000"/>
              </a:gra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4A-4DDE-A675-99418C0F6899}"/>
              </c:ext>
            </c:extLst>
          </c:dPt>
          <c:dPt>
            <c:idx val="3"/>
            <c:bubble3D val="0"/>
            <c:spPr>
              <a:solidFill>
                <a:srgbClr val="FFFF00"/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34A-4DDE-A675-99418C0F6899}"/>
              </c:ext>
            </c:extLst>
          </c:dPt>
          <c:dLbls>
            <c:dLbl>
              <c:idx val="0"/>
              <c:layout>
                <c:manualLayout>
                  <c:x val="-9.3310379213351016E-2"/>
                  <c:y val="6.3027744941551514E-3"/>
                </c:manualLayout>
              </c:layout>
              <c:tx>
                <c:rich>
                  <a:bodyPr/>
                  <a:lstStyle/>
                  <a:p>
                    <a:fld id="{92E5CC93-B1B9-4F18-B331-88ADC8A061A1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75117EC-97C4-4C32-B8DE-F8D8AF1A69AE}" type="PERCENTAGE">
                      <a:rPr lang="en-US" b="1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34A-4DDE-A675-99418C0F6899}"/>
                </c:ext>
              </c:extLst>
            </c:dLbl>
            <c:dLbl>
              <c:idx val="1"/>
              <c:layout>
                <c:manualLayout>
                  <c:x val="8.2794179263572271E-2"/>
                  <c:y val="4.3586918047457811E-2"/>
                </c:manualLayout>
              </c:layout>
              <c:tx>
                <c:rich>
                  <a:bodyPr/>
                  <a:lstStyle/>
                  <a:p>
                    <a:fld id="{48E81F3E-034A-457F-B8E6-025AE41B5729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65252FC2-074B-4B07-87DA-3573C4D7F3EE}" type="PERCENTAGE">
                      <a:rPr lang="en-US" b="1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34A-4DDE-A675-99418C0F6899}"/>
                </c:ext>
              </c:extLst>
            </c:dLbl>
            <c:dLbl>
              <c:idx val="2"/>
              <c:layout>
                <c:manualLayout>
                  <c:x val="1.8631835732464831E-2"/>
                  <c:y val="-4.6061116259762128E-2"/>
                </c:manualLayout>
              </c:layout>
              <c:tx>
                <c:rich>
                  <a:bodyPr/>
                  <a:lstStyle/>
                  <a:p>
                    <a:fld id="{8994780B-634F-4988-B075-DF7EEA1ADF53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BF30DBE0-A092-487C-AA92-18013ED40686}" type="PERCENTAGE">
                      <a:rPr lang="en-US" b="1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134A-4DDE-A675-99418C0F6899}"/>
                </c:ext>
              </c:extLst>
            </c:dLbl>
            <c:dLbl>
              <c:idx val="3"/>
              <c:layout>
                <c:manualLayout>
                  <c:x val="1.0883146677318095E-2"/>
                  <c:y val="0.15627230669738457"/>
                </c:manualLayout>
              </c:layout>
              <c:tx>
                <c:rich>
                  <a:bodyPr/>
                  <a:lstStyle/>
                  <a:p>
                    <a:fld id="{D44B1B61-0529-45FB-B98D-2C3DAD27D8F3}" type="CATEGORYNAME">
                      <a:rPr lang="en-US" sz="900"/>
                      <a:pPr/>
                      <a:t>[CATEGORY NAME]</a:t>
                    </a:fld>
                    <a:r>
                      <a:rPr lang="en-US" sz="900" baseline="0"/>
                      <a:t>
</a:t>
                    </a:r>
                    <a:fld id="{BCC16ACD-5563-42C3-AB02-348DFE29F0E4}" type="PERCENTAGE">
                      <a:rPr lang="en-US" sz="900" b="1" baseline="0"/>
                      <a:pPr/>
                      <a:t>[PERCENTAGE]</a:t>
                    </a:fld>
                    <a:endParaRPr lang="en-US" sz="900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134A-4DDE-A675-99418C0F6899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PivotTables!$A$4:$A$8</c:f>
              <c:strCache>
                <c:ptCount val="4"/>
                <c:pt idx="0">
                  <c:v>Micro Cap</c:v>
                </c:pt>
                <c:pt idx="1">
                  <c:v>Small Cap</c:v>
                </c:pt>
                <c:pt idx="2">
                  <c:v>Mid Cap</c:v>
                </c:pt>
                <c:pt idx="3">
                  <c:v>Large Cap</c:v>
                </c:pt>
              </c:strCache>
            </c:strRef>
          </c:cat>
          <c:val>
            <c:numRef>
              <c:f>PivotTables!$B$4:$B$8</c:f>
              <c:numCache>
                <c:formatCode>#,##0</c:formatCode>
                <c:ptCount val="4"/>
                <c:pt idx="0">
                  <c:v>192889044673</c:v>
                </c:pt>
                <c:pt idx="1">
                  <c:v>480770287402</c:v>
                </c:pt>
                <c:pt idx="2">
                  <c:v>5378677917343</c:v>
                </c:pt>
                <c:pt idx="3">
                  <c:v>6961223046813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34A-4DDE-A675-99418C0F6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286001540976824"/>
          <c:y val="0.64457768523242831"/>
          <c:w val="0.18056132899855301"/>
          <c:h val="0.28142118399823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[Companies_Market_Capitalisation.xlsx]PivotTables!PivotTable7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400" b="1"/>
              <a:t>The Number of Companies in</a:t>
            </a:r>
            <a:r>
              <a:rPr lang="en-US" sz="1400" b="1" baseline="0"/>
              <a:t> E</a:t>
            </a:r>
            <a:r>
              <a:rPr lang="en-US" sz="1400" b="1"/>
              <a:t>ach of the G20 countries</a:t>
            </a:r>
          </a:p>
        </c:rich>
      </c:tx>
      <c:layout>
        <c:manualLayout>
          <c:xMode val="edge"/>
          <c:yMode val="edge"/>
          <c:x val="0.25202154406081467"/>
          <c:y val="1.54069217844218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6076948137545158"/>
          <c:y val="0.13503969517890041"/>
          <c:w val="0.64659437252961882"/>
          <c:h val="0.7685624074407932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PivotTables!$C$12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PivotTables!$B$13:$B$32</c:f>
              <c:strCache>
                <c:ptCount val="19"/>
                <c:pt idx="0">
                  <c:v>Russia</c:v>
                </c:pt>
                <c:pt idx="1">
                  <c:v>Argentina</c:v>
                </c:pt>
                <c:pt idx="2">
                  <c:v>Mexico</c:v>
                </c:pt>
                <c:pt idx="3">
                  <c:v>Saudi Arabia</c:v>
                </c:pt>
                <c:pt idx="4">
                  <c:v>Turkey</c:v>
                </c:pt>
                <c:pt idx="5">
                  <c:v>Indonesia</c:v>
                </c:pt>
                <c:pt idx="6">
                  <c:v>Spain</c:v>
                </c:pt>
                <c:pt idx="7">
                  <c:v>Brazil</c:v>
                </c:pt>
                <c:pt idx="8">
                  <c:v>Italy</c:v>
                </c:pt>
                <c:pt idx="9">
                  <c:v>France</c:v>
                </c:pt>
                <c:pt idx="10">
                  <c:v>Australia</c:v>
                </c:pt>
                <c:pt idx="11">
                  <c:v>South Korea</c:v>
                </c:pt>
                <c:pt idx="12">
                  <c:v>Germany</c:v>
                </c:pt>
                <c:pt idx="13">
                  <c:v>United Kingdom</c:v>
                </c:pt>
                <c:pt idx="14">
                  <c:v>China</c:v>
                </c:pt>
                <c:pt idx="15">
                  <c:v>Japan</c:v>
                </c:pt>
                <c:pt idx="16">
                  <c:v>Canada</c:v>
                </c:pt>
                <c:pt idx="17">
                  <c:v>India</c:v>
                </c:pt>
                <c:pt idx="18">
                  <c:v>United States of America</c:v>
                </c:pt>
              </c:strCache>
            </c:strRef>
          </c:cat>
          <c:val>
            <c:numRef>
              <c:f>PivotTables!$C$13:$C$32</c:f>
              <c:numCache>
                <c:formatCode>#,##0</c:formatCode>
                <c:ptCount val="19"/>
                <c:pt idx="0">
                  <c:v>17</c:v>
                </c:pt>
                <c:pt idx="1">
                  <c:v>19</c:v>
                </c:pt>
                <c:pt idx="2">
                  <c:v>30</c:v>
                </c:pt>
                <c:pt idx="3">
                  <c:v>34</c:v>
                </c:pt>
                <c:pt idx="4">
                  <c:v>41</c:v>
                </c:pt>
                <c:pt idx="5">
                  <c:v>46</c:v>
                </c:pt>
                <c:pt idx="6">
                  <c:v>59</c:v>
                </c:pt>
                <c:pt idx="7">
                  <c:v>80</c:v>
                </c:pt>
                <c:pt idx="8">
                  <c:v>84</c:v>
                </c:pt>
                <c:pt idx="9">
                  <c:v>118</c:v>
                </c:pt>
                <c:pt idx="10">
                  <c:v>130</c:v>
                </c:pt>
                <c:pt idx="11">
                  <c:v>150</c:v>
                </c:pt>
                <c:pt idx="12">
                  <c:v>218</c:v>
                </c:pt>
                <c:pt idx="13">
                  <c:v>257</c:v>
                </c:pt>
                <c:pt idx="14">
                  <c:v>312</c:v>
                </c:pt>
                <c:pt idx="15">
                  <c:v>346</c:v>
                </c:pt>
                <c:pt idx="16">
                  <c:v>389</c:v>
                </c:pt>
                <c:pt idx="17">
                  <c:v>563</c:v>
                </c:pt>
                <c:pt idx="18">
                  <c:v>3604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2B-4BCB-8B52-E419AD58C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41892271"/>
        <c:axId val="1541889391"/>
      </c:barChart>
      <c:catAx>
        <c:axId val="15418922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889391"/>
        <c:crosses val="autoZero"/>
        <c:auto val="1"/>
        <c:lblAlgn val="ctr"/>
        <c:lblOffset val="100"/>
        <c:noMultiLvlLbl val="0"/>
      </c:catAx>
      <c:valAx>
        <c:axId val="1541889391"/>
        <c:scaling>
          <c:orientation val="minMax"/>
          <c:max val="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892271"/>
        <c:crosses val="autoZero"/>
        <c:crossBetween val="between"/>
        <c:majorUnit val="5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[Companies_Market_Capitalisation.xlsx]Cleaned_Dataset!$C$3:$C$502</cx:f>
        <cx:lvl ptCount="500">
          <cx:pt idx="0">Microsoft</cx:pt>
          <cx:pt idx="1">Apple</cx:pt>
          <cx:pt idx="2">Saudi Arabia Aramco</cx:pt>
          <cx:pt idx="3">Alphabet (Google)</cx:pt>
          <cx:pt idx="4">Amazon</cx:pt>
          <cx:pt idx="5">NVIDIA</cx:pt>
          <cx:pt idx="6">Meta Platforms (Facebook)</cx:pt>
          <cx:pt idx="7">Berkshire Hathaway</cx:pt>
          <cx:pt idx="8">Eli Lilly</cx:pt>
          <cx:pt idx="9">TSMC</cx:pt>
          <cx:pt idx="10">Tesla</cx:pt>
          <cx:pt idx="11">Broadcom</cx:pt>
          <cx:pt idx="12">Visa</cx:pt>
          <cx:pt idx="13">JPMorgan Chase</cx:pt>
          <cx:pt idx="14">Novo Nordisk</cx:pt>
          <cx:pt idx="15">UnitedHealth</cx:pt>
          <cx:pt idx="16">Walmart</cx:pt>
          <cx:pt idx="17">LVMH</cx:pt>
          <cx:pt idx="18">Mastercard</cx:pt>
          <cx:pt idx="19">Exxon Mobil</cx:pt>
          <cx:pt idx="20">Johnson &amp; Johnson</cx:pt>
          <cx:pt idx="21">Samsung</cx:pt>
          <cx:pt idx="22">Procter &amp; Gamble</cx:pt>
          <cx:pt idx="23">Home Depot</cx:pt>
          <cx:pt idx="24">ASML</cx:pt>
          <cx:pt idx="25">Tencent</cx:pt>
          <cx:pt idx="26">Oracle</cx:pt>
          <cx:pt idx="27">Nestlé</cx:pt>
          <cx:pt idx="28">Merck</cx:pt>
          <cx:pt idx="29">Costco</cx:pt>
          <cx:pt idx="30">AbbVie</cx:pt>
          <cx:pt idx="31">Kweichow Moutai</cx:pt>
          <cx:pt idx="32">AMD</cx:pt>
          <cx:pt idx="33">Adobe</cx:pt>
          <cx:pt idx="34">Chevron</cx:pt>
          <cx:pt idx="35">Salesforce</cx:pt>
          <cx:pt idx="36">Toyota</cx:pt>
          <cx:pt idx="37">Bank of America</cx:pt>
          <cx:pt idx="38">Coca-Cola</cx:pt>
          <cx:pt idx="39">L'Oréal</cx:pt>
          <cx:pt idx="40">Netflix</cx:pt>
          <cx:pt idx="41">International Holding Company</cx:pt>
          <cx:pt idx="42">ICBC</cx:pt>
          <cx:pt idx="43">Reliance Industries</cx:pt>
          <cx:pt idx="44">Accenture</cx:pt>
          <cx:pt idx="45">Pepsico</cx:pt>
          <cx:pt idx="46">Roche</cx:pt>
          <cx:pt idx="47">Hermès</cx:pt>
          <cx:pt idx="48">Novartis</cx:pt>
          <cx:pt idx="49">Thermo Fisher Scientific</cx:pt>
          <cx:pt idx="50">McDonald</cx:pt>
          <cx:pt idx="51">Cisco</cx:pt>
          <cx:pt idx="52">AstraZeneca</cx:pt>
          <cx:pt idx="53">SAP</cx:pt>
          <cx:pt idx="54">Shell</cx:pt>
          <cx:pt idx="55">PetroChina</cx:pt>
          <cx:pt idx="56">Abbott Laboratories</cx:pt>
          <cx:pt idx="57">Linde</cx:pt>
          <cx:pt idx="58">T-Mobile US</cx:pt>
          <cx:pt idx="59">China Mobile</cx:pt>
          <cx:pt idx="60">Agricultural Bank of China</cx:pt>
          <cx:pt idx="61">Comcast</cx:pt>
          <cx:pt idx="62">Intel</cx:pt>
          <cx:pt idx="63">Alibaba</cx:pt>
          <cx:pt idx="64">Wells Fargo</cx:pt>
          <cx:pt idx="65">Intuit</cx:pt>
          <cx:pt idx="66">Walt Disney</cx:pt>
          <cx:pt idx="67">Verizon</cx:pt>
          <cx:pt idx="68">Pinduoduo</cx:pt>
          <cx:pt idx="69">Danaher</cx:pt>
          <cx:pt idx="70">IBM</cx:pt>
          <cx:pt idx="71">QUALCOMM</cx:pt>
          <cx:pt idx="72">Amgen</cx:pt>
          <cx:pt idx="73">Tata Consultancy Services</cx:pt>
          <cx:pt idx="74">ServiceNow</cx:pt>
          <cx:pt idx="75">Bank of China</cx:pt>
          <cx:pt idx="76">BHP Group</cx:pt>
          <cx:pt idx="77">Nike</cx:pt>
          <cx:pt idx="78">Pfizer</cx:pt>
          <cx:pt idx="79">Caterpillar</cx:pt>
          <cx:pt idx="80">TotalEnergies</cx:pt>
          <cx:pt idx="81">China Construction Bank</cx:pt>
          <cx:pt idx="82">HSBC</cx:pt>
          <cx:pt idx="83">Texas Instruments</cx:pt>
          <cx:pt idx="84">Union Pacific Corporation</cx:pt>
          <cx:pt idx="85">American Express</cx:pt>
          <cx:pt idx="86">Dior</cx:pt>
          <cx:pt idx="87">Siemens</cx:pt>
          <cx:pt idx="88">Morgan Stanley</cx:pt>
          <cx:pt idx="89">General Electric</cx:pt>
          <cx:pt idx="90">Philip Morris</cx:pt>
          <cx:pt idx="91">S&amp;P Global</cx:pt>
          <cx:pt idx="92">HDFC Bank</cx:pt>
          <cx:pt idx="93">Applied Materials</cx:pt>
          <cx:pt idx="94">Royal Bank Of Canada</cx:pt>
          <cx:pt idx="95">Uber</cx:pt>
          <cx:pt idx="96">United Parcel Service</cx:pt>
          <cx:pt idx="97">Honeywell</cx:pt>
          <cx:pt idx="98">Intuitive Surgical</cx:pt>
          <cx:pt idx="99">Prosus</cx:pt>
          <cx:pt idx="100">ConocoPhillips</cx:pt>
          <cx:pt idx="101">Inditex</cx:pt>
          <cx:pt idx="102">Raytheon Technologies</cx:pt>
          <cx:pt idx="103">Commonwealth Bank</cx:pt>
          <cx:pt idx="104">Airbus</cx:pt>
          <cx:pt idx="105">Sanofi</cx:pt>
          <cx:pt idx="106">Boeing</cx:pt>
          <cx:pt idx="107">Deutsche Telekom</cx:pt>
          <cx:pt idx="108">Anheuser-Busch Inbev</cx:pt>
          <cx:pt idx="109">Goldman Sachs</cx:pt>
          <cx:pt idx="110">AT&amp;T</cx:pt>
          <cx:pt idx="111">Booking Holdings (Booking.com)</cx:pt>
          <cx:pt idx="112">Unilever</cx:pt>
          <cx:pt idx="113">Nextera Energy</cx:pt>
          <cx:pt idx="114">Lowe's Companies</cx:pt>
          <cx:pt idx="115">Prologis</cx:pt>
          <cx:pt idx="116">Sony</cx:pt>
          <cx:pt idx="117">Stryker Corporation</cx:pt>
          <cx:pt idx="118">Charles Schwab</cx:pt>
          <cx:pt idx="119">BlackRock</cx:pt>
          <cx:pt idx="120">Medtronic</cx:pt>
          <cx:pt idx="121">Rio Tinto</cx:pt>
          <cx:pt idx="122">Elevance Health</cx:pt>
          <cx:pt idx="123">Vertex Pharmaceuticals</cx:pt>
          <cx:pt idx="124">Petrobras</cx:pt>
          <cx:pt idx="125">Deere &amp; Company</cx:pt>
          <cx:pt idx="126">Lam Research</cx:pt>
          <cx:pt idx="127">Schneider Electric</cx:pt>
          <cx:pt idx="128">NTT (Nippon Telegraph &amp; Telephone)</cx:pt>
          <cx:pt idx="129">CM Bank</cx:pt>
          <cx:pt idx="130">Mitsubishi UFJ Financial</cx:pt>
          <cx:pt idx="131">Toronto Dominion Bank</cx:pt>
          <cx:pt idx="132">Keyence</cx:pt>
          <cx:pt idx="133">TJX Companies</cx:pt>
          <cx:pt idx="134">Palo Alto Networks</cx:pt>
          <cx:pt idx="135">Shopify</cx:pt>
          <cx:pt idx="136">Starbucks</cx:pt>
          <cx:pt idx="137">Progressive</cx:pt>
          <cx:pt idx="138">Allianz</cx:pt>
          <cx:pt idx="139">Lockheed Martin</cx:pt>
          <cx:pt idx="140">Regeneron Pharmaceuticals</cx:pt>
          <cx:pt idx="141">Mondelez</cx:pt>
          <cx:pt idx="142">Citigroup</cx:pt>
          <cx:pt idx="143">Bristol-Myers Squibb</cx:pt>
          <cx:pt idx="144">BP</cx:pt>
          <cx:pt idx="145">Micron Technology</cx:pt>
          <cx:pt idx="146">Gilead Sciences</cx:pt>
          <cx:pt idx="147">Chubb</cx:pt>
          <cx:pt idx="148">Eaton</cx:pt>
          <cx:pt idx="149">Air Liquide</cx:pt>
          <cx:pt idx="150">TAQA</cx:pt>
          <cx:pt idx="151">Automatic Data Processing</cx:pt>
          <cx:pt idx="152">Airbnb</cx:pt>
          <cx:pt idx="153">Analog Devices</cx:pt>
          <cx:pt idx="154">Al Rajhi Bank</cx:pt>
          <cx:pt idx="155">UBS</cx:pt>
          <cx:pt idx="156">China Shenhua Energy</cx:pt>
          <cx:pt idx="157">CVS Health</cx:pt>
          <cx:pt idx="158">AIA</cx:pt>
          <cx:pt idx="159">Marsh &amp; McLennan Companies</cx:pt>
          <cx:pt idx="160">CNOOC</cx:pt>
          <cx:pt idx="161">CSL</cx:pt>
          <cx:pt idx="162">China Life Insurance</cx:pt>
          <cx:pt idx="163">Ping An Insurance</cx:pt>
          <cx:pt idx="164">American Tower</cx:pt>
          <cx:pt idx="165">Blackstone Group</cx:pt>
          <cx:pt idx="166">Sinopec</cx:pt>
          <cx:pt idx="167">CATL</cx:pt>
          <cx:pt idx="168">Tokyo Electron</cx:pt>
          <cx:pt idx="169">MercadoLibre</cx:pt>
          <cx:pt idx="170">Boston Scientific</cx:pt>
          <cx:pt idx="171">EssilorLuxottica</cx:pt>
          <cx:pt idx="172">Zoetis</cx:pt>
          <cx:pt idx="173">Compagnie Financière Richemont</cx:pt>
          <cx:pt idx="174">Cigna</cx:pt>
          <cx:pt idx="175">ICICI Bank</cx:pt>
          <cx:pt idx="176">Fiserv</cx:pt>
          <cx:pt idx="177">Equinor</cx:pt>
          <cx:pt idx="178">Infosys</cx:pt>
          <cx:pt idx="179">Arista Networks</cx:pt>
          <cx:pt idx="180">China Yangtze Power</cx:pt>
          <cx:pt idx="181">Bharti Airtel</cx:pt>
          <cx:pt idx="182">Fast Retailing</cx:pt>
          <cx:pt idx="183">Synopsys</cx:pt>
          <cx:pt idx="184">KLA</cx:pt>
          <cx:pt idx="185">Diageo</cx:pt>
          <cx:pt idx="186">GlaxoSmithKline</cx:pt>
          <cx:pt idx="187">Cadence Design Systems</cx:pt>
          <cx:pt idx="188">Canadian National Railway</cx:pt>
          <cx:pt idx="189">Illinois Tool Works</cx:pt>
          <cx:pt idx="190">ABB</cx:pt>
          <cx:pt idx="191">RELX</cx:pt>
          <cx:pt idx="192">Safran</cx:pt>
          <cx:pt idx="193">Sherwin-Williams</cx:pt>
          <cx:pt idx="194">Equinix</cx:pt>
          <cx:pt idx="195">Workday</cx:pt>
          <cx:pt idx="196">BNP Paribas</cx:pt>
          <cx:pt idx="197">KKR &amp; Co.</cx:pt>
          <cx:pt idx="198">Shin-Etsu Chemical</cx:pt>
          <cx:pt idx="199">Enbridge</cx:pt>
          <cx:pt idx="200">HCA Healthcare</cx:pt>
          <cx:pt idx="201">Porsche</cx:pt>
          <cx:pt idx="202">AXA</cx:pt>
          <cx:pt idx="203">Schlumberger</cx:pt>
          <cx:pt idx="204">Southern Company</cx:pt>
          <cx:pt idx="205">Zurich Insurance Group</cx:pt>
          <cx:pt idx="206">Waste Management</cx:pt>
          <cx:pt idx="207">Bank Central Asia</cx:pt>
          <cx:pt idx="208">CME Group</cx:pt>
          <cx:pt idx="209">Duke Energy</cx:pt>
          <cx:pt idx="210">Atlas Copco</cx:pt>
          <cx:pt idx="211">Arm Holdings</cx:pt>
          <cx:pt idx="212">Iberdrola</cx:pt>
          <cx:pt idx="213">Canadian Pacific Railway</cx:pt>
          <cx:pt idx="214">Intercontinental Exchange</cx:pt>
          <cx:pt idx="215">Mitsubishi Corporation</cx:pt>
          <cx:pt idx="216">Merck KGaA</cx:pt>
          <cx:pt idx="217">General Dynamics</cx:pt>
          <cx:pt idx="218">Vinci</cx:pt>
          <cx:pt idx="219">Mercedes-Benz</cx:pt>
          <cx:pt idx="220">Hitachi</cx:pt>
          <cx:pt idx="221">CrowdStrike</cx:pt>
          <cx:pt idx="222">Investor AB</cx:pt>
          <cx:pt idx="223">Wuliangye Yibin</cx:pt>
          <cx:pt idx="224">Altria Group</cx:pt>
          <cx:pt idx="225">Moody's</cx:pt>
          <cx:pt idx="226">Marriott International</cx:pt>
          <cx:pt idx="227">Walmex</cx:pt>
          <cx:pt idx="228">BYD</cx:pt>
          <cx:pt idx="229">China Telecom</cx:pt>
          <cx:pt idx="230">CSX Corporation</cx:pt>
          <cx:pt idx="231">Canadian Natural Resources</cx:pt>
          <cx:pt idx="232">Life Insurance Corporation of India (LIC)</cx:pt>
          <cx:pt idx="233">SK Hynix</cx:pt>
          <cx:pt idx="234">KDDI</cx:pt>
          <cx:pt idx="235">Dassault Systèmes</cx:pt>
          <cx:pt idx="236">Hindustan Unilever</cx:pt>
          <cx:pt idx="237">Colgate-Palmolive</cx:pt>
          <cx:pt idx="238">Becton Dickinson</cx:pt>
          <cx:pt idx="239">Bank of Montreal</cx:pt>
          <cx:pt idx="240">Enel</cx:pt>
          <cx:pt idx="241">The Saudi Arabia National Bank</cx:pt>
          <cx:pt idx="242">Rosneft</cx:pt>
          <cx:pt idx="243">Thomson Reuters</cx:pt>
          <cx:pt idx="244">Snowflake</cx:pt>
          <cx:pt idx="245">PayPal</cx:pt>
          <cx:pt idx="246">ITC</cx:pt>
          <cx:pt idx="247">BMW</cx:pt>
          <cx:pt idx="248">Sumitomo Mitsui Financial Group</cx:pt>
          <cx:pt idx="249">ADNOC Gas</cx:pt>
          <cx:pt idx="250">State Bank of India</cx:pt>
          <cx:pt idx="251">EOG Resources</cx:pt>
          <cx:pt idx="252">British American Tobacco</cx:pt>
          <cx:pt idx="253">Itōchū Shōji</cx:pt>
          <cx:pt idx="254">LG Energy Solution</cx:pt>
          <cx:pt idx="255">National Australia Bank</cx:pt>
          <cx:pt idx="256">U.S. Bancorp</cx:pt>
          <cx:pt idx="257">Sberbank</cx:pt>
          <cx:pt idx="258">Volkswagen</cx:pt>
          <cx:pt idx="259">Glencore</cx:pt>
          <cx:pt idx="260">Northrop Grumman</cx:pt>
          <cx:pt idx="261">Atlassian</cx:pt>
          <cx:pt idx="262">Chipotle Mexican Grill</cx:pt>
          <cx:pt idx="263">SoftBank</cx:pt>
          <cx:pt idx="264">McKesson</cx:pt>
          <cx:pt idx="265">Southern Copper</cx:pt>
          <cx:pt idx="266">Itaú Unibanco</cx:pt>
          <cx:pt idx="267">Target</cx:pt>
          <cx:pt idx="268">Nintendo</cx:pt>
          <cx:pt idx="269">NetEase</cx:pt>
          <cx:pt idx="270">SABIC</cx:pt>
          <cx:pt idx="271">Siemens Healthineers</cx:pt>
          <cx:pt idx="272">Stellantis</cx:pt>
          <cx:pt idx="273">Brookfield Corporation</cx:pt>
          <cx:pt idx="274">Recruit</cx:pt>
          <cx:pt idx="275">Postal Savings Bank of China</cx:pt>
          <cx:pt idx="276">FedEx</cx:pt>
          <cx:pt idx="277">Ferrari</cx:pt>
          <cx:pt idx="278">London Stock Exchange</cx:pt>
          <cx:pt idx="279">DBS Group</cx:pt>
          <cx:pt idx="280">Larsen &amp; Toubro</cx:pt>
          <cx:pt idx="281">Santander</cx:pt>
          <cx:pt idx="282">Phillips 66</cx:pt>
          <cx:pt idx="283">Oriental Land</cx:pt>
          <cx:pt idx="284">Nongfu Spring</cx:pt>
          <cx:pt idx="285">Housing Development Finance Corporation</cx:pt>
          <cx:pt idx="286">O'Reilly Automotive</cx:pt>
          <cx:pt idx="287">Chugai Pharmaceutical</cx:pt>
          <cx:pt idx="288">Cintas</cx:pt>
          <cx:pt idx="289">Marathon Petroleum</cx:pt>
          <cx:pt idx="290">lululemon athletica</cx:pt>
          <cx:pt idx="291">Parker-Hannifin</cx:pt>
          <cx:pt idx="292">PNC Financial Services</cx:pt>
          <cx:pt idx="293">Mitsui Bussan</cx:pt>
          <cx:pt idx="294">Amphenol</cx:pt>
          <cx:pt idx="295">Marvell Technology Group</cx:pt>
          <cx:pt idx="296">Vale</cx:pt>
          <cx:pt idx="297">Aon</cx:pt>
          <cx:pt idx="298">TransDigm</cx:pt>
          <cx:pt idx="299">Dell</cx:pt>
          <cx:pt idx="300">Fortescue</cx:pt>
          <cx:pt idx="301">Roper Technologies</cx:pt>
          <cx:pt idx="302">Enterprise Products</cx:pt>
          <cx:pt idx="303">Constellation Software</cx:pt>
          <cx:pt idx="304">Munich RE (Münchener Rück)</cx:pt>
          <cx:pt idx="305">Monster Beverage</cx:pt>
          <cx:pt idx="306">Air Products and Chemicals</cx:pt>
          <cx:pt idx="307">DHL Group (Deutsche Post)</cx:pt>
          <cx:pt idx="308">Midea</cx:pt>
          <cx:pt idx="309">Trane Technologies</cx:pt>
          <cx:pt idx="310">Alimentation Couche-Tard</cx:pt>
          <cx:pt idx="311">Heineken</cx:pt>
          <cx:pt idx="312">Apollo Global Management</cx:pt>
          <cx:pt idx="313">Freeport-McMoRan</cx:pt>
          <cx:pt idx="314">Daiichi Sankyō</cx:pt>
          <cx:pt idx="315">Ecolab</cx:pt>
          <cx:pt idx="316">Saudi Arabia Telecom Company</cx:pt>
          <cx:pt idx="317">Scotiabank</cx:pt>
          <cx:pt idx="318">Charter Communications</cx:pt>
          <cx:pt idx="319">America Movil</cx:pt>
          <cx:pt idx="320">NXP Semiconductors</cx:pt>
          <cx:pt idx="321">Westpac Banking</cx:pt>
          <cx:pt idx="322">Intesa Sanpaolo</cx:pt>
          <cx:pt idx="323">Motorola Solutions</cx:pt>
          <cx:pt idx="324">Autodesk</cx:pt>
          <cx:pt idx="325">Bank Rakyat Indonesia</cx:pt>
          <cx:pt idx="326">Universal Music Group</cx:pt>
          <cx:pt idx="327">Republic Services</cx:pt>
          <cx:pt idx="328">Norfolk Southern</cx:pt>
          <cx:pt idx="329">Bank of Communications</cx:pt>
          <cx:pt idx="330">Emerson</cx:pt>
          <cx:pt idx="331">Lukoil</cx:pt>
          <cx:pt idx="332">Honda</cx:pt>
          <cx:pt idx="333">Pioneer Natural Resources</cx:pt>
          <cx:pt idx="334">Bajaj Finance</cx:pt>
          <cx:pt idx="335">Meituan</cx:pt>
          <cx:pt idx="336">ANZ Bank</cx:pt>
          <cx:pt idx="337">3M</cx:pt>
          <cx:pt idx="338">Simon Property Group</cx:pt>
          <cx:pt idx="339">Paccar</cx:pt>
          <cx:pt idx="340">Capital One</cx:pt>
          <cx:pt idx="341">MetLife</cx:pt>
          <cx:pt idx="342">ENI</cx:pt>
          <cx:pt idx="343">HCL Technologies</cx:pt>
          <cx:pt idx="344">Reckitt Benckiser</cx:pt>
          <cx:pt idx="345">Fortinet</cx:pt>
          <cx:pt idx="346">Banco Bilbao Vizcaya Argentaria</cx:pt>
          <cx:pt idx="347">Kering</cx:pt>
          <cx:pt idx="348">Public Storage</cx:pt>
          <cx:pt idx="349">Tokio Marine</cx:pt>
          <cx:pt idx="350">Occidental Petroleum</cx:pt>
          <cx:pt idx="351">Truist Financial</cx:pt>
          <cx:pt idx="352">Arthur J. Gallagher &amp; Co.</cx:pt>
          <cx:pt idx="353">National Grid</cx:pt>
          <cx:pt idx="354">Carrier</cx:pt>
          <cx:pt idx="355">Cement Roadstone Holding</cx:pt>
          <cx:pt idx="356">Aflac</cx:pt>
          <cx:pt idx="357">Hilton Worldwide</cx:pt>
          <cx:pt idx="358">American International Group</cx:pt>
          <cx:pt idx="359">Novatek</cx:pt>
          <cx:pt idx="360">Fomento Económico Mexicano</cx:pt>
          <cx:pt idx="361">Alpha Dhabi</cx:pt>
          <cx:pt idx="362">UniCredit</cx:pt>
          <cx:pt idx="363">AutoZone</cx:pt>
          <cx:pt idx="364">Energy Transfer Partners</cx:pt>
          <cx:pt idx="365">General Motors</cx:pt>
          <cx:pt idx="366">Welltower</cx:pt>
          <cx:pt idx="367">Microchip Technology</cx:pt>
          <cx:pt idx="368">Volvo Group</cx:pt>
          <cx:pt idx="369">The Travelers Companies</cx:pt>
          <cx:pt idx="370">MediaTek</cx:pt>
          <cx:pt idx="371">Crown Castle</cx:pt>
          <cx:pt idx="372">Ross Stores</cx:pt>
          <cx:pt idx="373">Estee Lauder</cx:pt>
          <cx:pt idx="374">Macquarie</cx:pt>
          <cx:pt idx="375">Daikin</cx:pt>
          <cx:pt idx="376">Infineon</cx:pt>
          <cx:pt idx="377">Denso</cx:pt>
          <cx:pt idx="378">Valero Energy</cx:pt>
          <cx:pt idx="379">Maaden</cx:pt>
          <cx:pt idx="380">ING</cx:pt>
          <cx:pt idx="381">Emirates Telecom (Etisalat Group)</cx:pt>
          <cx:pt idx="382">D. R. Horton</cx:pt>
          <cx:pt idx="383">Compass Group</cx:pt>
          <cx:pt idx="384">Takeda Pharmaceutical</cx:pt>
          <cx:pt idx="385">DexCom</cx:pt>
          <cx:pt idx="386">Copart</cx:pt>
          <cx:pt idx="387">Ford</cx:pt>
          <cx:pt idx="388">Japan Tobacco</cx:pt>
          <cx:pt idx="389">Kraft Heinz</cx:pt>
          <cx:pt idx="390">Realty Income</cx:pt>
          <cx:pt idx="391">Mizuho Financial Group</cx:pt>
          <cx:pt idx="392">Foxconn (Hon Hai Precision Industry)</cx:pt>
          <cx:pt idx="393">Industrial Bank</cx:pt>
          <cx:pt idx="394">BAE Systems</cx:pt>
          <cx:pt idx="395">Mindray</cx:pt>
          <cx:pt idx="396">Constellation Brands</cx:pt>
          <cx:pt idx="397">Nu Holdings</cx:pt>
          <cx:pt idx="398">Digital Realty</cx:pt>
          <cx:pt idx="399">Edwards Lifesciences</cx:pt>
          <cx:pt idx="400">TE Connectivity</cx:pt>
          <cx:pt idx="401">Sempra Energy</cx:pt>
          <cx:pt idx="402">Keurig Dr Pepper</cx:pt>
          <cx:pt idx="403">Sika</cx:pt>
          <cx:pt idx="404">Holcim Group</cx:pt>
          <cx:pt idx="405">Humana</cx:pt>
          <cx:pt idx="406">W. W. Grainger</cx:pt>
          <cx:pt idx="407">First Abu Dhabi Bank</cx:pt>
          <cx:pt idx="408">IDEXX Laboratories</cx:pt>
          <cx:pt idx="409">Zijin Mining</cx:pt>
          <cx:pt idx="410">Hess</cx:pt>
          <cx:pt idx="411">Cencora</cx:pt>
          <cx:pt idx="412">Hoya</cx:pt>
          <cx:pt idx="413">Kotak Mahindra Bank</cx:pt>
          <cx:pt idx="414">Nordea Bank</cx:pt>
          <cx:pt idx="415">Banco Santander Brasil</cx:pt>
          <cx:pt idx="416">BASF</cx:pt>
          <cx:pt idx="417">Old Dominion Freight Line</cx:pt>
          <cx:pt idx="418">Paychex</cx:pt>
          <cx:pt idx="419">Crédit Agricole</cx:pt>
          <cx:pt idx="420">Wesfarmers</cx:pt>
          <cx:pt idx="421">Pacific Gas and Electric</cx:pt>
          <cx:pt idx="422">OCBC Bank</cx:pt>
          <cx:pt idx="423">Gazprom</cx:pt>
          <cx:pt idx="424">Seagen</cx:pt>
          <cx:pt idx="425">Danone</cx:pt>
          <cx:pt idx="426">Nucor</cx:pt>
          <cx:pt idx="427">MSCI</cx:pt>
          <cx:pt idx="428">United Rentals</cx:pt>
          <cx:pt idx="429">DoorDash</cx:pt>
          <cx:pt idx="430">Samsung Biologics</cx:pt>
          <cx:pt idx="431">CIBC</cx:pt>
          <cx:pt idx="432">Suncor Energy</cx:pt>
          <cx:pt idx="433">Spotify</cx:pt>
          <cx:pt idx="434">Williams Companies</cx:pt>
          <cx:pt idx="435">Pernod Ricard</cx:pt>
          <cx:pt idx="436">Bank of New York Mellon</cx:pt>
          <cx:pt idx="437">Adani Enterprises</cx:pt>
          <cx:pt idx="438">Lennar</cx:pt>
          <cx:pt idx="439">Bayan Resources</cx:pt>
          <cx:pt idx="440">Ambev</cx:pt>
          <cx:pt idx="441">Datadog</cx:pt>
          <cx:pt idx="442">Block</cx:pt>
          <cx:pt idx="443">STMicroelectronics</cx:pt>
          <cx:pt idx="444">Titan Company</cx:pt>
          <cx:pt idx="445">Allstate</cx:pt>
          <cx:pt idx="446">American Electric Power</cx:pt>
          <cx:pt idx="447">Hikvision</cx:pt>
          <cx:pt idx="448">Kimberly-Clark</cx:pt>
          <cx:pt idx="449">TC Energy</cx:pt>
          <cx:pt idx="450">Kühne + Nagel</cx:pt>
          <cx:pt idx="451">Sun Pharmaceutical</cx:pt>
          <cx:pt idx="452">Xiaomi</cx:pt>
          <cx:pt idx="453">Kenvue</cx:pt>
          <cx:pt idx="454">CITIC Securities</cx:pt>
          <cx:pt idx="455">Oneok</cx:pt>
          <cx:pt idx="456">QNB (Qatar National Bank)</cx:pt>
          <cx:pt idx="457">Waste Connections</cx:pt>
          <cx:pt idx="458">Grupo México</cx:pt>
          <cx:pt idx="459">Hong Kong Exchanges &amp; Clearing</cx:pt>
          <cx:pt idx="460">L3Harris Technologies</cx:pt>
          <cx:pt idx="461">ENGIE</cx:pt>
          <cx:pt idx="462">Cheniere Energy</cx:pt>
          <cx:pt idx="463">Woodside Energy</cx:pt>
          <cx:pt idx="464">Newmont</cx:pt>
          <cx:pt idx="465">Centene</cx:pt>
          <cx:pt idx="466">IQVIA</cx:pt>
          <cx:pt idx="467">Axis Bank</cx:pt>
          <cx:pt idx="468">Givaudan</cx:pt>
          <cx:pt idx="469">Manulife Financial</cx:pt>
          <cx:pt idx="470">The Hershey Company</cx:pt>
          <cx:pt idx="471">Adyen</cx:pt>
          <cx:pt idx="472">Ameriprise Financial</cx:pt>
          <cx:pt idx="473">Moderna</cx:pt>
          <cx:pt idx="474">Constellation Energy</cx:pt>
          <cx:pt idx="475">Fastenal</cx:pt>
          <cx:pt idx="476">Cognizant Technology Solutions</cx:pt>
          <cx:pt idx="477">Agilent Technologies</cx:pt>
          <cx:pt idx="478">Murata Manufacturing (Murata Seisakusho)</cx:pt>
          <cx:pt idx="479">Kinder Morgan</cx:pt>
          <cx:pt idx="480">Johnson Controls</cx:pt>
          <cx:pt idx="481">Bank Mandiri</cx:pt>
          <cx:pt idx="482">Oil &amp; Natural Gas</cx:pt>
          <cx:pt idx="483">Ferguson</cx:pt>
          <cx:pt idx="484">MPLX</cx:pt>
          <cx:pt idx="485">Dominion Energy</cx:pt>
          <cx:pt idx="486">Experian</cx:pt>
          <cx:pt idx="487">Prudential Financial</cx:pt>
          <cx:pt idx="488">Sysco</cx:pt>
          <cx:pt idx="489">NTPC Limited</cx:pt>
          <cx:pt idx="490">Haleon</cx:pt>
          <cx:pt idx="491">Interactive Brokers</cx:pt>
          <cx:pt idx="492">Ametek</cx:pt>
          <cx:pt idx="493">Maruti Suzuki India</cx:pt>
          <cx:pt idx="494">DSV</cx:pt>
          <cx:pt idx="495">Dow</cx:pt>
          <cx:pt idx="496">Fidelity National Information Services</cx:pt>
          <cx:pt idx="497">Foxconn Industrial Internet</cx:pt>
          <cx:pt idx="498">Japan Post Bank</cx:pt>
          <cx:pt idx="499">Las Vegas Sands</cx:pt>
        </cx:lvl>
      </cx:strDim>
      <cx:numDim type="val">
        <cx:f>[Companies_Market_Capitalisation.xlsx]Cleaned_Dataset!$F$3:$F$502</cx:f>
        <cx:lvl ptCount="500" formatCode="[$$-en-US]#,##0.00">
          <cx:pt idx="0">407.20999999999998</cx:pt>
          <cx:pt idx="1">190.91999999999999</cx:pt>
          <cx:pt idx="2">8.3399999999999999</cx:pt>
          <cx:pt idx="3">153.46000000000001</cx:pt>
          <cx:pt idx="4">160.05000000000001</cx:pt>
          <cx:pt idx="5">616.49000000000001</cx:pt>
          <cx:pt idx="6">399.95999999999998</cx:pt>
          <cx:pt idx="7">380.36000000000001</cx:pt>
          <cx:pt idx="8">644.09000000000003</cx:pt>
          <cx:pt idx="9">116.23999999999999</cx:pt>
          <cx:pt idx="10">188.41999999999999</cx:pt>
          <cx:pt idx="11">1215</cx:pt>
          <cx:pt idx="12">272.38999999999999</cx:pt>
          <cx:pt idx="13">171.75999999999999</cx:pt>
          <cx:pt idx="14">108.09999999999999</cx:pt>
          <cx:pt idx="15">503.55000000000001</cx:pt>
          <cx:pt idx="16">164.24000000000001</cx:pt>
          <cx:pt idx="17">838.42999999999995</cx:pt>
          <cx:pt idx="18">437.89999999999998</cx:pt>
          <cx:pt idx="19">102.56</cx:pt>
          <cx:pt idx="20">159.59999999999999</cx:pt>
          <cx:pt idx="21">55.780000000000001</cx:pt>
          <cx:pt idx="22">155.72</cx:pt>
          <cx:pt idx="23">353.60000000000002</cx:pt>
          <cx:pt idx="24">869.98000000000002</cx:pt>
          <cx:pt idx="25">35.57</cx:pt>
          <cx:pt idx="26">113.48</cx:pt>
          <cx:pt idx="27">115.08</cx:pt>
          <cx:pt idx="28">120.98</cx:pt>
          <cx:pt idx="29">688.94000000000005</cx:pt>
          <cx:pt idx="30">164.05000000000001</cx:pt>
          <cx:pt idx="31">229.83000000000001</cx:pt>
          <cx:pt idx="32">176.68000000000001</cx:pt>
          <cx:pt idx="33">626.83000000000004</cx:pt>
          <cx:pt idx="34">147.66</cx:pt>
          <cx:pt idx="35">284.38999999999999</cx:pt>
          <cx:pt idx="36">200.90000000000001</cx:pt>
          <cx:pt idx="37">33.32</cx:pt>
          <cx:pt idx="38">59.5</cx:pt>
          <cx:pt idx="39">480.24000000000001</cx:pt>
          <cx:pt idx="40">573.76999999999998</cx:pt>
          <cx:pt idx="41">108.78</cx:pt>
          <cx:pt idx="42">0.48999999999999999</cx:pt>
          <cx:pt idx="43">34.859999999999999</cx:pt>
          <cx:pt idx="44">371.52999999999997</cx:pt>
          <cx:pt idx="45">168.15000000000001</cx:pt>
          <cx:pt idx="46">285.69999999999999</cx:pt>
          <cx:pt idx="47">2124</cx:pt>
          <cx:pt idx="48">107.34</cx:pt>
          <cx:pt idx="49">555.05999999999995</cx:pt>
          <cx:pt idx="50">289.83999999999997</cx:pt>
          <cx:pt idx="51">52.18</cx:pt>
          <cx:pt idx="52">67.040000000000006</cx:pt>
          <cx:pt idx="53">175.13999999999999</cx:pt>
          <cx:pt idx="54">63.100000000000001</cx:pt>
          <cx:pt idx="55">1.1699999999999999</cx:pt>
          <cx:pt idx="56">112.98999999999999</cx:pt>
          <cx:pt idx="57">403.83999999999997</cx:pt>
          <cx:pt idx="58">162.09999999999999</cx:pt>
          <cx:pt idx="59">8.6600000000000001</cx:pt>
          <cx:pt idx="60">0.54000000000000004</cx:pt>
          <cx:pt idx="61">46.049999999999997</cx:pt>
          <cx:pt idx="62">43.359999999999999</cx:pt>
          <cx:pt idx="63">73.310000000000002</cx:pt>
          <cx:pt idx="64">50.289999999999999</cx:pt>
          <cx:pt idx="65">646.44000000000005</cx:pt>
          <cx:pt idx="66">96.280000000000001</cx:pt>
          <cx:pt idx="67">41.920000000000002</cx:pt>
          <cx:pt idx="68">130.94999999999999</cx:pt>
          <cx:pt idx="69">231.72</cx:pt>
          <cx:pt idx="70">187.06</cx:pt>
          <cx:pt idx="71">149.28999999999999</cx:pt>
          <cx:pt idx="72">310.80000000000001</cx:pt>
          <cx:pt idx="73">45.75</cx:pt>
          <cx:pt idx="74">777.01999999999998</cx:pt>
          <cx:pt idx="75">0.59999999999999998</cx:pt>
          <cx:pt idx="76">61.619999999999997</cx:pt>
          <cx:pt idx="77">102.40000000000001</cx:pt>
          <cx:pt idx="78">27.379999999999999</cx:pt>
          <cx:pt idx="79">300.19999999999999</cx:pt>
          <cx:pt idx="80">65.109999999999999</cx:pt>
          <cx:pt idx="81">0.95999999999999996</cx:pt>
          <cx:pt idx="82">39.359999999999999</cx:pt>
          <cx:pt idx="83">164.96000000000001</cx:pt>
          <cx:pt idx="84">241.36000000000001</cx:pt>
          <cx:pt idx="85">199.41</cx:pt>
          <cx:pt idx="86">797.05999999999995</cx:pt>
          <cx:pt idx="87">180.72999999999999</cx:pt>
          <cx:pt idx="88">86.680000000000007</cx:pt>
          <cx:pt idx="89">130.50999999999999</cx:pt>
          <cx:pt idx="90">91.239999999999995</cx:pt>
          <cx:pt idx="91">446.19999999999999</cx:pt>
          <cx:pt idx="92">55.090000000000003</cx:pt>
          <cx:pt idx="93">167.11000000000001</cx:pt>
          <cx:pt idx="94">98.200000000000003</cx:pt>
          <cx:pt idx="95">66.439999999999998</cx:pt>
          <cx:pt idx="96">156.93000000000001</cx:pt>
          <cx:pt idx="97">201.22999999999999</cx:pt>
          <cx:pt idx="98">376.08999999999997</cx:pt>
          <cx:pt idx="99">30.280000000000001</cx:pt>
          <cx:pt idx="100">111.11</cx:pt>
          <cx:pt idx="101">21.07</cx:pt>
          <cx:pt idx="102">90.120000000000005</cx:pt>
          <cx:pt idx="103">76.420000000000002</cx:pt>
          <cx:pt idx="104">161.00999999999999</cx:pt>
          <cx:pt idx="105">50.200000000000003</cx:pt>
          <cx:pt idx="106">204.38</cx:pt>
          <cx:pt idx="107">24.850000000000001</cx:pt>
          <cx:pt idx="108">62.079999999999998</cx:pt>
          <cx:pt idx="109">376.80000000000001</cx:pt>
          <cx:pt idx="110">17.18</cx:pt>
          <cx:pt idx="111">3511</cx:pt>
          <cx:pt idx="112">48.479999999999997</cx:pt>
          <cx:pt idx="113">59.079999999999998</cx:pt>
          <cx:pt idx="114">209.91</cx:pt>
          <cx:pt idx="115">127.23999999999999</cx:pt>
          <cx:pt idx="116">96.799999999999997</cx:pt>
          <cx:pt idx="117">312.13999999999999</cx:pt>
          <cx:pt idx="118">63.880000000000003</cx:pt>
          <cx:pt idx="119">783.67999999999995</cx:pt>
          <cx:pt idx="120">86.590000000000003</cx:pt>
          <cx:pt idx="121">70.739999999999995</cx:pt>
          <cx:pt idx="122">484.74000000000001</cx:pt>
          <cx:pt idx="123">431.55000000000001</cx:pt>
          <cx:pt idx="124">17.059999999999999</cx:pt>
          <cx:pt idx="125">394.33999999999997</cx:pt>
          <cx:pt idx="126">838.67999999999995</cx:pt>
          <cx:pt idx="127">197.13</cx:pt>
          <cx:pt idx="128">1.29</cx:pt>
          <cx:pt idx="129">3.79</cx:pt>
          <cx:pt idx="130">9.1999999999999993</cx:pt>
          <cx:pt idx="131">61.189999999999998</cx:pt>
          <cx:pt idx="132">450.77999999999997</cx:pt>
          <cx:pt idx="133">95.909999999999997</cx:pt>
          <cx:pt idx="134">343.52999999999997</cx:pt>
          <cx:pt idx="135">82.079999999999998</cx:pt>
          <cx:pt idx="136">92.840000000000003</cx:pt>
          <cx:pt idx="137">179.08000000000001</cx:pt>
          <cx:pt idx="138">266.27999999999997</cx:pt>
          <cx:pt idx="139">429.33999999999997</cx:pt>
          <cx:pt idx="140">949.15999999999997</cx:pt>
          <cx:pt idx="141">75.340000000000003</cx:pt>
          <cx:pt idx="142">53.840000000000003</cx:pt>
          <cx:pt idx="143">49.509999999999998</cx:pt>
          <cx:pt idx="144">35.359999999999999</cx:pt>
          <cx:pt idx="145">88.590000000000003</cx:pt>
          <cx:pt idx="146">79.359999999999999</cx:pt>
          <cx:pt idx="147">241.00999999999999</cx:pt>
          <cx:pt idx="148">245.74000000000001</cx:pt>
          <cx:pt idx="149">186.06999999999999</cx:pt>
          <cx:pt idx="150">0.85999999999999999</cx:pt>
          <cx:pt idx="151">235.75</cx:pt>
          <cx:pt idx="152">150.94999999999999</cx:pt>
          <cx:pt idx="153">194.99000000000001</cx:pt>
          <cx:pt idx="154">24.149999999999999</cx:pt>
          <cx:pt idx="155">29.719999999999999</cx:pt>
          <cx:pt idx="156">4.9699999999999998</cx:pt>
          <cx:pt idx="157">73.120000000000005</cx:pt>
          <cx:pt idx="158">8.2899999999999991</cx:pt>
          <cx:pt idx="159">190.78</cx:pt>
          <cx:pt idx="160">1.8799999999999999</cx:pt>
          <cx:pt idx="161">193.31999999999999</cx:pt>
          <cx:pt idx="162">4.04</cx:pt>
          <cx:pt idx="163">5.71</cx:pt>
          <cx:pt idx="164">196.90000000000001</cx:pt>
          <cx:pt idx="165">126.56</cx:pt>
          <cx:pt idx="166">0.82999999999999996</cx:pt>
          <cx:pt idx="167">20.48</cx:pt>
          <cx:pt idx="168">189.63999999999999</cx:pt>
          <cx:pt idx="169">1772</cx:pt>
          <cx:pt idx="170">61.039999999999999</cx:pt>
          <cx:pt idx="171">196.78</cx:pt>
          <cx:pt idx="172">191.52000000000001</cx:pt>
          <cx:pt idx="173">149.06999999999999</cx:pt>
          <cx:pt idx="174">297.56999999999999</cx:pt>
          <cx:pt idx="175">24.260000000000002</cx:pt>
          <cx:pt idx="176">142.09999999999999</cx:pt>
          <cx:pt idx="177">28.920000000000002</cx:pt>
          <cx:pt idx="178">20.109999999999999</cx:pt>
          <cx:pt idx="179">267.25999999999999</cx:pt>
          <cx:pt idx="180">3.3799999999999999</cx:pt>
          <cx:pt idx="181">13.99</cx:pt>
          <cx:pt idx="182">264.73000000000002</cx:pt>
          <cx:pt idx="183">532.28999999999996</cx:pt>
          <cx:pt idx="184">596.97000000000003</cx:pt>
          <cx:pt idx="185">144.24000000000001</cx:pt>
          <cx:pt idx="186">38.890000000000001</cx:pt>
          <cx:pt idx="187">292.62</cx:pt>
          <cx:pt idx="188">123.12</cx:pt>
          <cx:pt idx="189">262.04000000000002</cx:pt>
          <cx:pt idx="190">42.780000000000001</cx:pt>
          <cx:pt idx="191">41.420000000000002</cx:pt>
          <cx:pt idx="192">188.47</cx:pt>
          <cx:pt idx="193">303.17000000000002</cx:pt>
          <cx:pt idx="194">824.17999999999995</cx:pt>
          <cx:pt idx="195">293.20999999999998</cx:pt>
          <cx:pt idx="196">67.010000000000005</cx:pt>
          <cx:pt idx="197">86.390000000000001</cx:pt>
          <cx:pt idx="198">38.259999999999998</cx:pt>
          <cx:pt idx="199">35.82</cx:pt>
          <cx:pt idx="200">283.05000000000001</cx:pt>
          <cx:pt idx="201">82.879999999999995</cx:pt>
          <cx:pt idx="202">33.509999999999998</cx:pt>
          <cx:pt idx="203">52.799999999999997</cx:pt>
          <cx:pt idx="204">69.060000000000002</cx:pt>
          <cx:pt idx="205">514.09000000000003</cx:pt>
          <cx:pt idx="206">185.86000000000001</cx:pt>
          <cx:pt idx="207">0.59999999999999998</cx:pt>
          <cx:pt idx="208">205.56</cx:pt>
          <cx:pt idx="209">95.879999999999995</cx:pt>
          <cx:pt idx="210">13.720000000000001</cx:pt>
          <cx:pt idx="211">71.870000000000005</cx:pt>
          <cx:pt idx="212">11.9</cx:pt>
          <cx:pt idx="213">78.700000000000003</cx:pt>
          <cx:pt idx="214">127.41</cx:pt>
          <cx:pt idx="215">17.210000000000001</cx:pt>
          <cx:pt idx="216">166</cx:pt>
          <cx:pt idx="217">264.23000000000002</cx:pt>
          <cx:pt idx="218">126.26000000000001</cx:pt>
          <cx:pt idx="219">66.829999999999998</cx:pt>
          <cx:pt idx="220">77.079999999999998</cx:pt>
          <cx:pt idx="221">296.93000000000001</cx:pt>
          <cx:pt idx="222">23.329999999999998</cx:pt>
          <cx:pt idx="223">18.359999999999999</cx:pt>
          <cx:pt idx="224">40.280000000000001</cx:pt>
          <cx:pt idx="225">386.95999999999998</cx:pt>
          <cx:pt idx="226">240.56999999999999</cx:pt>
          <cx:pt idx="227">4.04</cx:pt>
          <cx:pt idx="228">24.850000000000001</cx:pt>
          <cx:pt idx="229">0.51000000000000001</cx:pt>
          <cx:pt idx="230">35.399999999999999</cx:pt>
          <cx:pt idx="231">64.150000000000006</cx:pt>
          <cx:pt idx="232">11.02</cx:pt>
          <cx:pt idx="233">101.22</cx:pt>
          <cx:pt idx="234">33.170000000000002</cx:pt>
          <cx:pt idx="235">51.740000000000002</cx:pt>
          <cx:pt idx="236">29.420000000000002</cx:pt>
          <cx:pt idx="237">83.719999999999999</cx:pt>
          <cx:pt idx="238">237.30000000000001</cx:pt>
          <cx:pt idx="239">95.239999999999995</cx:pt>
          <cx:pt idx="240">6.7199999999999998</cx:pt>
          <cx:pt idx="241">11.449999999999999</cx:pt>
          <cx:pt idx="242">6.4100000000000001</cx:pt>
          <cx:pt idx="243">149.25</cx:pt>
          <cx:pt idx="244">206.59</cx:pt>
          <cx:pt idx="245">62.960000000000001</cx:pt>
          <cx:pt idx="246">5.4100000000000001</cx:pt>
          <cx:pt idx="247">102.51000000000001</cx:pt>
          <cx:pt idx="248">10.140000000000001</cx:pt>
          <cx:pt idx="249">0.87</cx:pt>
          <cx:pt idx="250">7.5</cx:pt>
          <cx:pt idx="251">114.65000000000001</cx:pt>
          <cx:pt idx="252">29.84</cx:pt>
          <cx:pt idx="253">45.18</cx:pt>
          <cx:pt idx="254">283.05000000000001</cx:pt>
          <cx:pt idx="255">21.190000000000001</cx:pt>
          <cx:pt idx="256">42.439999999999998</cx:pt>
          <cx:pt idx="257">3.0499999999999998</cx:pt>
          <cx:pt idx="258">125.23999999999999</cx:pt>
          <cx:pt idx="259">5.3700000000000001</cx:pt>
          <cx:pt idx="260">436.10000000000002</cx:pt>
          <cx:pt idx="261">253</cx:pt>
          <cx:pt idx="262">2375</cx:pt>
          <cx:pt idx="263">44.310000000000002</cx:pt>
          <cx:pt idx="264">485.94</cx:pt>
          <cx:pt idx="265">83.099999999999994</cx:pt>
          <cx:pt idx="266">6.54</cx:pt>
          <cx:pt idx="267">138.75</cx:pt>
          <cx:pt idx="268">54.780000000000001</cx:pt>
          <cx:pt idx="269">98.989999999999995</cx:pt>
          <cx:pt idx="270">21.260000000000002</cx:pt>
          <cx:pt idx="271">56.439999999999998</cx:pt>
          <cx:pt idx="272">21.039999999999999</cx:pt>
          <cx:pt idx="273">40.5</cx:pt>
          <cx:pt idx="274">40.310000000000002</cx:pt>
          <cx:pt idx="275">0.66000000000000003</cx:pt>
          <cx:pt idx="276">247.90000000000001</cx:pt>
          <cx:pt idx="277">342.64999999999998</cx:pt>
          <cx:pt idx="278">113.03</cx:pt>
          <cx:pt idx="279">23.789999999999999</cx:pt>
          <cx:pt idx="280">44.630000000000003</cx:pt>
          <cx:pt idx="281">3.8399999999999999</cx:pt>
          <cx:pt idx="282">138.62</cx:pt>
          <cx:pt idx="283">37.219999999999999</cx:pt>
          <cx:pt idx="284">5.4199999999999999</cx:pt>
          <cx:pt idx="285">32.880000000000003</cx:pt>
          <cx:pt idx="286">1026</cx:pt>
          <cx:pt idx="287">36.899999999999999</cx:pt>
          <cx:pt idx="288">598.5</cx:pt>
          <cx:pt idx="289">159.55000000000001</cx:pt>
          <cx:pt idx="290">479.88999999999999</cx:pt>
          <cx:pt idx="291">469.88999999999999</cx:pt>
          <cx:pt idx="292">151.58000000000001</cx:pt>
          <cx:pt idx="293">40.009999999999998</cx:pt>
          <cx:pt idx="294">100.55</cx:pt>
          <cx:pt idx="295">69.159999999999997</cx:pt>
          <cx:pt idx="296">13.869999999999999</cx:pt>
          <cx:pt idx="297">297.69</cx:pt>
          <cx:pt idx="298">1071</cx:pt>
          <cx:pt idx="299">84.060000000000002</cx:pt>
          <cx:pt idx="300">19.280000000000001</cx:pt>
          <cx:pt idx="301">555.15999999999997</cx:pt>
          <cx:pt idx="302">27.23</cx:pt>
          <cx:pt idx="303">2765</cx:pt>
          <cx:pt idx="304">427.14999999999998</cx:pt>
          <cx:pt idx="305">55.68</cx:pt>
          <cx:pt idx="306">260.63999999999999</cx:pt>
          <cx:pt idx="307">48.409999999999997</cx:pt>
          <cx:pt idx="308">8.1699999999999999</cx:pt>
          <cx:pt idx="309">252.40000000000001</cx:pt>
          <cx:pt idx="310">59.520000000000003</cx:pt>
          <cx:pt idx="311">100.51000000000001</cx:pt>
          <cx:pt idx="312">100.59</cx:pt>
          <cx:pt idx="313">39.789999999999999</cx:pt>
          <cx:pt idx="314">29.420000000000002</cx:pt>
          <cx:pt idx="315">197.47999999999999</cx:pt>
          <cx:pt idx="316">11.15</cx:pt>
          <cx:pt idx="317">46.140000000000001</cx:pt>
          <cx:pt idx="318">377.24000000000001</cx:pt>
          <cx:pt idx="319">17.850000000000001</cx:pt>
          <cx:pt idx="320">215.37</cx:pt>
          <cx:pt idx="321">15.779999999999999</cx:pt>
          <cx:pt idx="322">3</cx:pt>
          <cx:pt idx="323">327.31999999999999</cx:pt>
          <cx:pt idx="324">254.25999999999999</cx:pt>
          <cx:pt idx="325">0.34999999999999998</cx:pt>
          <cx:pt idx="326">29.699999999999999</cx:pt>
          <cx:pt idx="327">171.56999999999999</cx:pt>
          <cx:pt idx="328">235.08000000000001</cx:pt>
          <cx:pt idx="329">0.83999999999999997</cx:pt>
          <cx:pt idx="330">94.079999999999998</cx:pt>
          <cx:pt idx="331">76.530000000000001</cx:pt>
          <cx:pt idx="332">33.200000000000003</cx:pt>
          <cx:pt idx="333">229.44999999999999</cx:pt>
          <cx:pt idx="334">86.549999999999997</cx:pt>
          <cx:pt idx="335">8.6099999999999994</cx:pt>
          <cx:pt idx="336">17.699999999999999</cx:pt>
          <cx:pt idx="337">95.819999999999993</cx:pt>
          <cx:pt idx="338">140.84</cx:pt>
          <cx:pt idx="339">100.89</cx:pt>
          <cx:pt idx="340">137.87</cx:pt>
          <cx:pt idx="341">70.230000000000004</cx:pt>
          <cx:pt idx="342">32.219999999999999</cx:pt>
          <cx:pt idx="343">18.949999999999999</cx:pt>
          <cx:pt idx="344">71.900000000000006</cx:pt>
          <cx:pt idx="345">66.480000000000004</cx:pt>
          <cx:pt idx="346">8.7400000000000002</cx:pt>
          <cx:pt idx="347">415.64999999999998</cx:pt>
          <cx:pt idx="348">288.66000000000003</cx:pt>
          <cx:pt idx="349">25.73</cx:pt>
          <cx:pt idx="350">57.960000000000001</cx:pt>
          <cx:pt idx="351">37.640000000000001</cx:pt>
          <cx:pt idx="352">231</cx:pt>
          <cx:pt idx="353">67.230000000000004</cx:pt>
          <cx:pt idx="354">55.579999999999998</cx:pt>
          <cx:pt idx="355">70.189999999999998</cx:pt>
          <cx:pt idx="356">84.459999999999994</cx:pt>
          <cx:pt idx="357">191.78</cx:pt>
          <cx:pt idx="358">69.319999999999993</cx:pt>
          <cx:pt idx="359">15.99</cx:pt>
          <cx:pt idx="360">135.65000000000001</cx:pt>
          <cx:pt idx="361">4.8499999999999996</cx:pt>
          <cx:pt idx="362">28.809999999999999</cx:pt>
          <cx:pt idx="363">2799</cx:pt>
          <cx:pt idx="364">14.369999999999999</cx:pt>
          <cx:pt idx="365">35.259999999999998</cx:pt>
          <cx:pt idx="366">87.030000000000001</cx:pt>
          <cx:pt idx="367">86.129999999999995</cx:pt>
          <cx:pt idx="368">23.82</cx:pt>
          <cx:pt idx="369">210.40000000000001</cx:pt>
          <cx:pt idx="370">30.039999999999999</cx:pt>
          <cx:pt idx="371">107.88</cx:pt>
          <cx:pt idx="372">141.71000000000001</cx:pt>
          <cx:pt idx="373">133.22</cx:pt>
          <cx:pt idx="374">123.68000000000001</cx:pt>
          <cx:pt idx="375">162.09</cx:pt>
          <cx:pt idx="376">36.200000000000003</cx:pt>
          <cx:pt idx="377">15.779999999999999</cx:pt>
          <cx:pt idx="378">138.34999999999999</cx:pt>
          <cx:pt idx="379">12.73</cx:pt>
          <cx:pt idx="380">14.109999999999999</cx:pt>
          <cx:pt idx="381">5.3899999999999997</cx:pt>
          <cx:pt idx="382">140.38</cx:pt>
          <cx:pt idx="383">27.260000000000002</cx:pt>
          <cx:pt idx="384">14.699999999999999</cx:pt>
          <cx:pt idx="385">121.63</cx:pt>
          <cx:pt idx="386">48.340000000000003</cx:pt>
          <cx:pt idx="387">11.449999999999999</cx:pt>
          <cx:pt idx="388">25.800000000000001</cx:pt>
          <cx:pt idx="389">37.219999999999999</cx:pt>
          <cx:pt idx="390">54.840000000000003</cx:pt>
          <cx:pt idx="391">3.6000000000000001</cx:pt>
          <cx:pt idx="392">3.2799999999999998</cx:pt>
          <cx:pt idx="393">2.1899999999999999</cx:pt>
          <cx:pt idx="394">14.99</cx:pt>
          <cx:pt idx="395">37.469999999999999</cx:pt>
          <cx:pt idx="396">247.88999999999999</cx:pt>
          <cx:pt idx="397">9.4800000000000004</cx:pt>
          <cx:pt idx="398">145.31999999999999</cx:pt>
          <cx:pt idx="399">73.939999999999998</cx:pt>
          <cx:pt idx="400">144.81999999999999</cx:pt>
          <cx:pt idx="401">71.170000000000002</cx:pt>
          <cx:pt idx="402">31.969999999999999</cx:pt>
          <cx:pt idx="403">278.35000000000002</cx:pt>
          <cx:pt idx="404">77.829999999999998</cx:pt>
          <cx:pt idx="405">360.81999999999999</cx:pt>
          <cx:pt idx="406">886.62</cx:pt>
          <cx:pt idx="407">3.98</cx:pt>
          <cx:pt idx="408">528.20000000000005</cx:pt>
          <cx:pt idx="409">1.7</cx:pt>
          <cx:pt idx="410">142.65000000000001</cx:pt>
          <cx:pt idx="411">217.53999999999999</cx:pt>
          <cx:pt idx="412">124.51000000000001</cx:pt>
          <cx:pt idx="413">21.940000000000001</cx:pt>
          <cx:pt idx="414">12.41</cx:pt>
          <cx:pt idx="415">5.8399999999999999</cx:pt>
          <cx:pt idx="416">48.670000000000002</cx:pt>
          <cx:pt idx="417">395.25999999999999</cx:pt>
          <cx:pt idx="418">120.64</cx:pt>
          <cx:pt idx="419">14.31</cx:pt>
          <cx:pt idx="420">38.159999999999997</cx:pt>
          <cx:pt idx="421">17</cx:pt>
          <cx:pt idx="422">9.6099999999999994</cx:pt>
          <cx:pt idx="423">1.8400000000000001</cx:pt>
          <cx:pt idx="424">228.74000000000001</cx:pt>
          <cx:pt idx="425">67.219999999999999</cx:pt>
          <cx:pt idx="426">175.27000000000001</cx:pt>
          <cx:pt idx="427">544.71000000000004</cx:pt>
          <cx:pt idx="428">640.16999999999996</cx:pt>
          <cx:pt idx="429">107.94</cx:pt>
          <cx:pt idx="430">599.84000000000003</cx:pt>
          <cx:pt idx="431">45.729999999999997</cx:pt>
          <cx:pt idx="432">32.619999999999997</cx:pt>
          <cx:pt idx="433">216.16</cx:pt>
          <cx:pt idx="434">34.600000000000001</cx:pt>
          <cx:pt idx="435">166.75999999999999</cx:pt>
          <cx:pt idx="436">55.420000000000002</cx:pt>
          <cx:pt idx="437">36.880000000000003</cx:pt>
          <cx:pt idx="438">148.05000000000001</cx:pt>
          <cx:pt idx="439">1.25</cx:pt>
          <cx:pt idx="440">2.6400000000000001</cx:pt>
          <cx:pt idx="441">126.22</cx:pt>
          <cx:pt idx="442">67.340000000000003</cx:pt>
          <cx:pt idx="443">44.280000000000001</cx:pt>
          <cx:pt idx="444">46.539999999999999</cx:pt>
          <cx:pt idx="445">157.36000000000001</cx:pt>
          <cx:pt idx="446">77.900000000000006</cx:pt>
          <cx:pt idx="447">4.3899999999999997</cx:pt>
          <cx:pt idx="448">120.78</cx:pt>
          <cx:pt idx="449">39.32</cx:pt>
          <cx:pt idx="450">339.72000000000003</cx:pt>
          <cx:pt idx="451">16.859999999999999</cx:pt>
          <cx:pt idx="452">1.6599999999999999</cx:pt>
          <cx:pt idx="453">21</cx:pt>
          <cx:pt idx="454">2.8700000000000001</cx:pt>
          <cx:pt idx="455">68.890000000000001</cx:pt>
          <cx:pt idx="456">4.3300000000000001</cx:pt>
          <cx:pt idx="457">155.30000000000001</cx:pt>
          <cx:pt idx="458">5.1299999999999999</cx:pt>
          <cx:pt idx="459">31.48</cx:pt>
          <cx:pt idx="460">210.13999999999999</cx:pt>
          <cx:pt idx="461">15.880000000000001</cx:pt>
          <cx:pt idx="462">166.59999999999999</cx:pt>
          <cx:pt idx="463">20.82</cx:pt>
          <cx:pt idx="464">34.259999999999998</cx:pt>
          <cx:pt idx="465">73.859999999999999</cx:pt>
          <cx:pt idx="466">216.16999999999999</cx:pt>
          <cx:pt idx="467">12.779999999999999</cx:pt>
          <cx:pt idx="468">4267</cx:pt>
          <cx:pt idx="469">21.739999999999998</cx:pt>
          <cx:pt idx="470">191.77000000000001</cx:pt>
          <cx:pt idx="471">1263</cx:pt>
          <cx:pt idx="472">390.61000000000001</cx:pt>
          <cx:pt idx="473">102.61</cx:pt>
          <cx:pt idx="474">121.52</cx:pt>
          <cx:pt idx="475">67.840000000000003</cx:pt>
          <cx:pt idx="476">77.329999999999998</cx:pt>
          <cx:pt idx="477">132.08000000000001</cx:pt>
          <cx:pt idx="478">20.469999999999999</cx:pt>
          <cx:pt idx="479">17.32</cx:pt>
          <cx:pt idx="480">56.189999999999998</cx:pt>
          <cx:pt idx="481">0.40999999999999998</cx:pt>
          <cx:pt idx="482">3.04</cx:pt>
          <cx:pt idx="483">188.13999999999999</cx:pt>
          <cx:pt idx="484">38.079999999999998</cx:pt>
          <cx:pt idx="485">45.549999999999997</cx:pt>
          <cx:pt idx="486">41.460000000000001</cx:pt>
          <cx:pt idx="487">105.33</cx:pt>
          <cx:pt idx="488">75.140000000000001</cx:pt>
          <cx:pt idx="489">3.9100000000000001</cx:pt>
          <cx:pt idx="490">8.1999999999999993</cx:pt>
          <cx:pt idx="491">90.790000000000006</cx:pt>
          <cx:pt idx="492">163.81</cx:pt>
          <cx:pt idx="493">120.25</cx:pt>
          <cx:pt idx="494">180.19999999999999</cx:pt>
          <cx:pt idx="495">53.649999999999999</cx:pt>
          <cx:pt idx="496">63.469999999999999</cx:pt>
          <cx:pt idx="497">1.8899999999999999</cx:pt>
          <cx:pt idx="498">10.390000000000001</cx:pt>
          <cx:pt idx="499">49.869999999999997</cx:pt>
        </cx:lvl>
      </cx:numDim>
    </cx:data>
  </cx:chartData>
  <cx:chart>
    <cx:title pos="t" align="ctr" overlay="0">
      <cx:tx>
        <cx:txData>
          <cx:v>The number of Top 500 companies belonging to different stock price ranges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400" b="1">
              <a:latin typeface="Calibri (Body)"/>
              <a:ea typeface="Calibri (Body)"/>
              <a:cs typeface="Calibri (Body)"/>
            </a:defRPr>
          </a:pPr>
          <a:r>
            <a:rPr lang="en-US" sz="1400" b="1" i="0" u="none" strike="noStrike" baseline="0">
              <a:solidFill>
                <a:sysClr val="windowText" lastClr="000000"/>
              </a:solidFill>
              <a:latin typeface="Calibri (Body)"/>
              <a:ea typeface="Calibri Light" panose="020F0302020204030204" pitchFamily="34" charset="0"/>
              <a:cs typeface="Calibri Light" panose="020F0302020204030204" pitchFamily="34" charset="0"/>
            </a:rPr>
            <a:t>The number of Top 500 companies belonging to different stock price ranges</a:t>
          </a:r>
        </a:p>
      </cx:txPr>
    </cx:title>
    <cx:plotArea>
      <cx:plotAreaRegion>
        <cx:series layoutId="clusteredColumn" uniqueId="{DF3D80D7-021E-4E18-A29F-A01FC2BD7844}" formatIdx="0">
          <cx:spPr>
            <a:solidFill>
              <a:srgbClr val="FFC000"/>
            </a:solidFill>
            <a:ln>
              <a:solidFill>
                <a:srgbClr val="002060"/>
              </a:solidFill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200" b="1">
                    <a:solidFill>
                      <a:sysClr val="windowText" lastClr="000000"/>
                    </a:solidFill>
                  </a:defRPr>
                </a:pPr>
                <a:endParaRPr lang="en-US" sz="1200" b="1" i="0" u="none" strike="noStrike" baseline="0">
                  <a:solidFill>
                    <a:sysClr val="windowText" lastClr="000000"/>
                  </a:solidFill>
                  <a:latin typeface="Calibri"/>
                </a:endParaRPr>
              </a:p>
            </cx:txPr>
          </cx:dataLabels>
          <cx:dataId val="0"/>
          <cx:layoutPr>
            <cx:binning intervalClosed="r" overflow="auto"/>
          </cx:layoutPr>
        </cx:series>
      </cx:plotAreaRegion>
      <cx:axis id="0">
        <cx:catScaling gapWidth="0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 b="0">
                <a:solidFill>
                  <a:sysClr val="windowText" lastClr="000000"/>
                </a:solidFill>
                <a:latin typeface="Calibri (Body)"/>
                <a:ea typeface="Calibri (Body)"/>
                <a:cs typeface="Calibri (Body)"/>
              </a:defRPr>
            </a:pPr>
            <a:endParaRPr lang="en-US" sz="800" b="0" i="0" u="none" strike="noStrike" baseline="0">
              <a:solidFill>
                <a:sysClr val="windowText" lastClr="000000"/>
              </a:solidFill>
              <a:latin typeface="Calibri (Body)"/>
            </a:endParaRPr>
          </a:p>
        </cx:txPr>
      </cx:axis>
      <cx:axis id="1">
        <cx:valScaling/>
        <cx:majorGridlines/>
        <cx:tickLabels/>
        <cx:numFmt formatCode="General" sourceLinked="0"/>
        <cx:spPr>
          <a:ln w="0">
            <a:solidFill>
              <a:schemeClr val="bg1">
                <a:lumMod val="95000"/>
              </a:schemeClr>
            </a:solidFill>
          </a:ln>
        </cx:spPr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>
                <a:solidFill>
                  <a:sysClr val="windowText" lastClr="000000"/>
                </a:solidFill>
                <a:latin typeface="Calibri (Body)"/>
                <a:ea typeface="Calibri (Body)"/>
                <a:cs typeface="Calibri (Body)"/>
              </a:defRPr>
            </a:pPr>
            <a:endParaRPr lang="en-US" sz="800" b="0" i="0" u="none" strike="noStrike" baseline="0">
              <a:solidFill>
                <a:sysClr val="windowText" lastClr="000000"/>
              </a:solidFill>
              <a:latin typeface="Calibri (Body)"/>
            </a:endParaRPr>
          </a:p>
        </cx:txPr>
      </cx:axis>
    </cx:plotArea>
  </cx:chart>
  <cx:spPr>
    <a:solidFill>
      <a:schemeClr val="lt1"/>
    </a:solidFill>
    <a:ln w="25400" cap="flat" cmpd="sng" algn="ctr">
      <a:solidFill>
        <a:schemeClr val="tx1"/>
      </a:solidFill>
      <a:prstDash val="solid"/>
    </a:ln>
    <a:effectLst/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C8B21-FDCF-4A8C-92F8-4BEAF176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Saeme Qamar</dc:creator>
  <cp:keywords/>
  <dc:description/>
  <cp:lastModifiedBy>Saeme Qamar</cp:lastModifiedBy>
  <cp:revision>664</cp:revision>
  <dcterms:created xsi:type="dcterms:W3CDTF">2024-03-28T16:11:00Z</dcterms:created>
  <dcterms:modified xsi:type="dcterms:W3CDTF">2024-03-29T14:27:00Z</dcterms:modified>
</cp:coreProperties>
</file>