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600" w:val="clear"/>
        <w:spacing w:after="0" w:before="0"/>
      </w:pPr>
      <w:r>
        <w:rPr>
          <w:rFonts w:ascii="Arial" w:cs="Arial" w:eastAsia="Arial" w:hAnsi="Arial"/>
          <w:b/>
          <w:bCs/>
          <w:color w:val="FFFFFF"/>
          <w:sz w:val="40"/>
          <w:szCs w:val="40"/>
        </w:rPr>
        <w:t xml:space="preserve">CIVIC EDUCATION KENYA (CEKA)</w:t>
      </w:r>
    </w:p>
    <w:p>
      <w:pPr>
        <w:shd w:fill="006600" w:val="clear"/>
        <w:spacing w:after="0" w:before="0"/>
      </w:pPr>
      <w:r>
        <w:rPr>
          <w:rFonts w:ascii="Arial" w:cs="Arial" w:eastAsia="Arial" w:hAnsi="Arial"/>
          <w:color w:val="D0F0D0"/>
          <w:sz w:val="30"/>
          <w:szCs w:val="30"/>
        </w:rPr>
        <w:t xml:space="preserve">Concept Note</w:t>
      </w:r>
    </w:p>
    <w:p>
      <w:pPr>
        <w:shd w:fill="b71c2b" w:val="clear"/>
        <w:spacing w:after="0" w:before="0"/>
      </w:pPr>
      <w:r>
        <w:rPr>
          <w:sz w:val="6"/>
          <w:szCs w:val="6"/>
        </w:rPr>
        <w:t xml:space="preserve"> </w:t>
      </w:r>
    </w:p>
    <w:p>
      <w:pPr>
        <w:spacing w:after="0" w:before="0"/>
      </w:pPr>
      <w:r>
        <w:rPr>
          <w:sz w:val="16"/>
          <w:szCs w:val="16"/>
        </w:rPr>
        <w:t xml:space="preserve"/>
      </w:r>
    </w:p>
    <w:p>
      <w:pPr>
        <w:spacing w:after="60" w:before="60"/>
      </w:pPr>
      <w:r>
        <w:rPr>
          <w:rFonts w:ascii="Arial" w:cs="Arial" w:eastAsia="Arial" w:hAnsi="Arial"/>
          <w:b/>
          <w:bCs/>
          <w:color w:val="006600"/>
          <w:sz w:val="22"/>
          <w:szCs w:val="22"/>
        </w:rPr>
        <w:t xml:space="preserve">Initiative: </w:t>
      </w:r>
      <w:r>
        <w:rPr>
          <w:rFonts w:ascii="Arial" w:cs="Arial" w:eastAsia="Arial" w:hAnsi="Arial"/>
          <w:color w:val="1A1A1A"/>
          <w:sz w:val="22"/>
          <w:szCs w:val="22"/>
        </w:rPr>
        <w:t xml:space="preserve">Civic Education Kenya (CEKA)</w:t>
      </w:r>
    </w:p>
    <w:p>
      <w:pPr>
        <w:spacing w:after="60" w:before="60"/>
      </w:pPr>
      <w:r>
        <w:rPr>
          <w:rFonts w:ascii="Arial" w:cs="Arial" w:eastAsia="Arial" w:hAnsi="Arial"/>
          <w:b/>
          <w:bCs/>
          <w:color w:val="006600"/>
          <w:sz w:val="22"/>
          <w:szCs w:val="22"/>
        </w:rPr>
        <w:t xml:space="preserve">Website: </w:t>
      </w:r>
      <w:r>
        <w:rPr>
          <w:rFonts w:ascii="Arial" w:cs="Arial" w:eastAsia="Arial" w:hAnsi="Arial"/>
          <w:color w:val="1A1A1A"/>
          <w:sz w:val="22"/>
          <w:szCs w:val="22"/>
        </w:rPr>
        <w:t xml:space="preserve">civiceducationkenya.com</w:t>
      </w:r>
    </w:p>
    <w:p>
      <w:pPr>
        <w:spacing w:after="60" w:before="60"/>
      </w:pPr>
      <w:r>
        <w:rPr>
          <w:rFonts w:ascii="Arial" w:cs="Arial" w:eastAsia="Arial" w:hAnsi="Arial"/>
          <w:b/>
          <w:bCs/>
          <w:color w:val="006600"/>
          <w:sz w:val="22"/>
          <w:szCs w:val="22"/>
        </w:rPr>
        <w:t xml:space="preserve">Type: </w:t>
      </w:r>
      <w:r>
        <w:rPr>
          <w:rFonts w:ascii="Arial" w:cs="Arial" w:eastAsia="Arial" w:hAnsi="Arial"/>
          <w:color w:val="1A1A1A"/>
          <w:sz w:val="22"/>
          <w:szCs w:val="22"/>
        </w:rPr>
        <w:t xml:space="preserve">Open-Source Civic-Technology Ecosystem — Non-Profit</w:t>
      </w:r>
    </w:p>
    <w:p>
      <w:pPr>
        <w:spacing w:after="60" w:before="60"/>
      </w:pPr>
      <w:r>
        <w:rPr>
          <w:rFonts w:ascii="Arial" w:cs="Arial" w:eastAsia="Arial" w:hAnsi="Arial"/>
          <w:b/>
          <w:bCs/>
          <w:color w:val="006600"/>
          <w:sz w:val="22"/>
          <w:szCs w:val="22"/>
        </w:rPr>
        <w:t xml:space="preserve">Geography: </w:t>
      </w:r>
      <w:r>
        <w:rPr>
          <w:rFonts w:ascii="Arial" w:cs="Arial" w:eastAsia="Arial" w:hAnsi="Arial"/>
          <w:color w:val="1A1A1A"/>
          <w:sz w:val="22"/>
          <w:szCs w:val="22"/>
        </w:rPr>
        <w:t xml:space="preserve">Kenya (National) | East Africa (Prospective)</w:t>
      </w:r>
    </w:p>
    <w:p>
      <w:pPr>
        <w:spacing w:after="60" w:before="60"/>
      </w:pPr>
      <w:r>
        <w:rPr>
          <w:rFonts w:ascii="Arial" w:cs="Arial" w:eastAsia="Arial" w:hAnsi="Arial"/>
          <w:b/>
          <w:bCs/>
          <w:color w:val="006600"/>
          <w:sz w:val="22"/>
          <w:szCs w:val="22"/>
        </w:rPr>
        <w:t xml:space="preserve">Tagline: </w:t>
      </w:r>
      <w:r>
        <w:rPr>
          <w:rFonts w:ascii="Arial" w:cs="Arial" w:eastAsia="Arial" w:hAnsi="Arial"/>
          <w:color w:val="1A1A1A"/>
          <w:sz w:val="22"/>
          <w:szCs w:val="22"/>
        </w:rPr>
        <w:t xml:space="preserve">Educate • Amplify • Empower</w:t>
      </w:r>
    </w:p>
    <w:p>
      <w:pPr>
        <w:spacing w:after="60" w:before="60"/>
      </w:pPr>
      <w:r>
        <w:rPr>
          <w:rFonts w:ascii="Arial" w:cs="Arial" w:eastAsia="Arial" w:hAnsi="Arial"/>
          <w:b/>
          <w:bCs/>
          <w:color w:val="006600"/>
          <w:sz w:val="22"/>
          <w:szCs w:val="22"/>
        </w:rPr>
        <w:t xml:space="preserve">Document Date: </w:t>
      </w:r>
      <w:r>
        <w:rPr>
          <w:rFonts w:ascii="Arial" w:cs="Arial" w:eastAsia="Arial" w:hAnsi="Arial"/>
          <w:color w:val="1A1A1A"/>
          <w:sz w:val="22"/>
          <w:szCs w:val="22"/>
        </w:rPr>
        <w:t xml:space="preserve">2026</w:t>
      </w:r>
    </w:p>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Executive Summary</w:t>
      </w:r>
    </w:p>
    <w:p>
      <w:pPr>
        <w:spacing w:after="100" w:before="60"/>
      </w:pPr>
      <w:r>
        <w:rPr>
          <w:rFonts w:ascii="Arial" w:cs="Arial" w:eastAsia="Arial" w:hAnsi="Arial"/>
          <w:b w:val="false"/>
          <w:bCs w:val="false"/>
          <w:color w:val="1A1A1A"/>
          <w:sz w:val="22"/>
          <w:szCs w:val="22"/>
        </w:rPr>
        <w:t xml:space="preserve">Kenya faces a significant civic education deficit. Despite a progressive Constitution and a population with overwhelming youth representation, most citizens — particularly those aged 18–35 — remain disconnected from the political processes that shape their lives. Complex legislative language, fragmented information channels, and limited civic infrastructure have created a gap between government and citizen.</w:t>
      </w:r>
    </w:p>
    <w:p>
      <w:pPr>
        <w:spacing w:after="100" w:before="60"/>
      </w:pPr>
      <w:r>
        <w:rPr>
          <w:rFonts w:ascii="Arial" w:cs="Arial" w:eastAsia="Arial" w:hAnsi="Arial"/>
          <w:b w:val="false"/>
          <w:bCs w:val="false"/>
          <w:color w:val="1A1A1A"/>
          <w:sz w:val="22"/>
          <w:szCs w:val="22"/>
        </w:rPr>
        <w:t xml:space="preserve">Civic Education Kenya (CEKA) is a community-led, open-source digital platform built to close that gap. CEKA makes civic knowledge accessible and actionable: it simplifies legislation, tracks Parliamentary bills in real time, enables public participation, maps electoral infrastructure, and connects citizens to fiscal accountability tools — all in one open platform. CEKA does not serve any political interest. It serves the Kenyan public.</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1. The Problem</w:t>
      </w:r>
    </w:p>
    <w:p>
      <w:pPr>
        <w:pStyle w:val="Heading2"/>
        <w:spacing w:after="80" w:before="240"/>
      </w:pPr>
      <w:r>
        <w:rPr>
          <w:rFonts w:ascii="Arial" w:cs="Arial" w:eastAsia="Arial" w:hAnsi="Arial"/>
          <w:b/>
          <w:bCs/>
          <w:color w:val="006600"/>
          <w:sz w:val="26"/>
          <w:szCs w:val="26"/>
        </w:rPr>
        <w:t xml:space="preserve">1.1 Civic Knowledge Gap</w:t>
      </w:r>
    </w:p>
    <w:p>
      <w:pPr>
        <w:spacing w:after="100" w:before="60"/>
      </w:pPr>
      <w:r>
        <w:rPr>
          <w:rFonts w:ascii="Arial" w:cs="Arial" w:eastAsia="Arial" w:hAnsi="Arial"/>
          <w:b w:val="false"/>
          <w:bCs w:val="false"/>
          <w:color w:val="1A1A1A"/>
          <w:sz w:val="22"/>
          <w:szCs w:val="22"/>
        </w:rPr>
        <w:t xml:space="preserve">Kenya's young population — constituting roughly three-quarters of citizens aged 18–35 — remains largely disconnected from political processes due to insufficient civic literacy. Most Kenyans have never read the Constitution they are governed by. Legislative bills are published in dense legal language inaccessible to the general public. There is no permanent national digital platform dedicated to civic education.</w:t>
      </w:r>
    </w:p>
    <w:p>
      <w:pPr>
        <w:pStyle w:val="Heading2"/>
        <w:spacing w:after="80" w:before="240"/>
      </w:pPr>
      <w:r>
        <w:rPr>
          <w:rFonts w:ascii="Arial" w:cs="Arial" w:eastAsia="Arial" w:hAnsi="Arial"/>
          <w:b/>
          <w:bCs/>
          <w:color w:val="006600"/>
          <w:sz w:val="26"/>
          <w:szCs w:val="26"/>
        </w:rPr>
        <w:t xml:space="preserve">1.2 Limited Participation Infrastructure</w:t>
      </w:r>
    </w:p>
    <w:p>
      <w:pPr>
        <w:spacing w:after="100" w:before="60"/>
      </w:pPr>
      <w:r>
        <w:rPr>
          <w:rFonts w:ascii="Arial" w:cs="Arial" w:eastAsia="Arial" w:hAnsi="Arial"/>
          <w:b w:val="false"/>
          <w:bCs w:val="false"/>
          <w:color w:val="1A1A1A"/>
          <w:sz w:val="22"/>
          <w:szCs w:val="22"/>
        </w:rPr>
        <w:t xml:space="preserve">Citizens who wish to engage — to comment on a bill, petition their MP, report electoral malpractice, or verify their voter registration status — face fragmented, difficult-to-navigate systems. Public participation mechanisms exist constitutionally but are practically inaccessible without guidance.</w:t>
      </w:r>
    </w:p>
    <w:p>
      <w:pPr>
        <w:pStyle w:val="Heading2"/>
        <w:spacing w:after="80" w:before="240"/>
      </w:pPr>
      <w:r>
        <w:rPr>
          <w:rFonts w:ascii="Arial" w:cs="Arial" w:eastAsia="Arial" w:hAnsi="Arial"/>
          <w:b/>
          <w:bCs/>
          <w:color w:val="006600"/>
          <w:sz w:val="26"/>
          <w:szCs w:val="26"/>
        </w:rPr>
        <w:t xml:space="preserve">1.3 Fiscal Opacity</w:t>
      </w:r>
    </w:p>
    <w:p>
      <w:pPr>
        <w:spacing w:after="100" w:before="60"/>
      </w:pPr>
      <w:r>
        <w:rPr>
          <w:rFonts w:ascii="Arial" w:cs="Arial" w:eastAsia="Arial" w:hAnsi="Arial"/>
          <w:b w:val="false"/>
          <w:bCs w:val="false"/>
          <w:color w:val="1A1A1A"/>
          <w:sz w:val="22"/>
          <w:szCs w:val="22"/>
        </w:rPr>
        <w:t xml:space="preserve">Kenya's public finance data is published but largely inaccessible to ordinary citizens. Complex budget documents, debt schedules, and expenditure reports require expert interpretation. Citizens have no intuitive way to audit how public funds are used or to track wastage and leakages.</w:t>
      </w:r>
    </w:p>
    <w:p>
      <w:pPr>
        <w:pStyle w:val="Heading2"/>
        <w:spacing w:after="80" w:before="240"/>
      </w:pPr>
      <w:r>
        <w:rPr>
          <w:rFonts w:ascii="Arial" w:cs="Arial" w:eastAsia="Arial" w:hAnsi="Arial"/>
          <w:b/>
          <w:bCs/>
          <w:color w:val="006600"/>
          <w:sz w:val="26"/>
          <w:szCs w:val="26"/>
        </w:rPr>
        <w:t xml:space="preserve">1.4 Healthcare Accountability Gap</w:t>
      </w:r>
    </w:p>
    <w:p>
      <w:pPr>
        <w:spacing w:after="100" w:before="60"/>
      </w:pPr>
      <w:r>
        <w:rPr>
          <w:rFonts w:ascii="Arial" w:cs="Arial" w:eastAsia="Arial" w:hAnsi="Arial"/>
          <w:b w:val="false"/>
          <w:bCs w:val="false"/>
          <w:color w:val="1A1A1A"/>
          <w:sz w:val="22"/>
          <w:szCs w:val="22"/>
        </w:rPr>
        <w:t xml:space="preserve">The transition to the Social Health Authority (SHA/SHIF) created a documented trail of facility failures, patient rejections, and healthcare coverage disruptions. There was no centralized public record or tool for citizens to log, track, or cross-reference these systemic failures.</w:t>
      </w:r>
    </w:p>
    <w:p>
      <w:pPr>
        <w:pStyle w:val="Heading2"/>
        <w:spacing w:after="80" w:before="240"/>
      </w:pPr>
      <w:r>
        <w:rPr>
          <w:rFonts w:ascii="Arial" w:cs="Arial" w:eastAsia="Arial" w:hAnsi="Arial"/>
          <w:b/>
          <w:bCs/>
          <w:color w:val="006600"/>
          <w:sz w:val="26"/>
          <w:szCs w:val="26"/>
        </w:rPr>
        <w:t xml:space="preserve">1.5 Misinformation and Apathy</w:t>
      </w:r>
    </w:p>
    <w:p>
      <w:pPr>
        <w:spacing w:after="100" w:before="60"/>
      </w:pPr>
      <w:r>
        <w:rPr>
          <w:rFonts w:ascii="Arial" w:cs="Arial" w:eastAsia="Arial" w:hAnsi="Arial"/>
          <w:b w:val="false"/>
          <w:bCs w:val="false"/>
          <w:color w:val="1A1A1A"/>
          <w:sz w:val="22"/>
          <w:szCs w:val="22"/>
        </w:rPr>
        <w:t xml:space="preserve">The vacuum created by civic illiteracy is filled by misinformation and political manipulation. Apathy toward elections, misunderstanding of budget processes, and distrust of governance institutions are direct consequences of a civic education gap that no existing institution has systematically addressed.</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2. The Solution: CEKA</w:t>
      </w:r>
    </w:p>
    <w:p>
      <w:pPr>
        <w:spacing w:after="100" w:before="60"/>
      </w:pPr>
      <w:r>
        <w:rPr>
          <w:rFonts w:ascii="Arial" w:cs="Arial" w:eastAsia="Arial" w:hAnsi="Arial"/>
          <w:b w:val="false"/>
          <w:bCs w:val="false"/>
          <w:color w:val="1A1A1A"/>
          <w:sz w:val="22"/>
          <w:szCs w:val="22"/>
        </w:rPr>
        <w:t xml:space="preserve">CEKA addresses these gaps by creating a comprehensive digital civic infrastructure — one that translates government processes into understandable content, tracks legislation in real time, visualizes fiscal data, documents systemic failures, and equips citizens with tools to participate meaningfully across all dimensions of democratic life.</w:t>
      </w:r>
    </w:p>
    <w:p>
      <w:pPr>
        <w:pStyle w:val="Heading2"/>
        <w:spacing w:after="80" w:before="240"/>
      </w:pPr>
      <w:r>
        <w:rPr>
          <w:rFonts w:ascii="Arial" w:cs="Arial" w:eastAsia="Arial" w:hAnsi="Arial"/>
          <w:b/>
          <w:bCs/>
          <w:color w:val="006600"/>
          <w:sz w:val="26"/>
          <w:szCs w:val="26"/>
        </w:rPr>
        <w:t xml:space="preserve">2.1 What CEKA Does</w:t>
      </w:r>
    </w:p>
    <w:p>
      <w:pPr>
        <w:pStyle w:val="ListParagraph"/>
        <w:numPr>
          <w:ilvl w:val="0"/>
          <w:numId w:val="2"/>
        </w:numPr>
        <w:spacing w:after="40" w:before="40"/>
      </w:pPr>
      <w:r>
        <w:rPr>
          <w:rFonts w:ascii="Arial" w:cs="Arial" w:eastAsia="Arial" w:hAnsi="Arial"/>
          <w:color w:val="1A1A1A"/>
          <w:sz w:val="22"/>
          <w:szCs w:val="22"/>
        </w:rPr>
        <w:t xml:space="preserve">Translates complex legislative texts into plain-language summaries and explainers</w:t>
      </w:r>
    </w:p>
    <w:p>
      <w:pPr>
        <w:pStyle w:val="ListParagraph"/>
        <w:numPr>
          <w:ilvl w:val="0"/>
          <w:numId w:val="2"/>
        </w:numPr>
        <w:spacing w:after="40" w:before="40"/>
      </w:pPr>
      <w:r>
        <w:rPr>
          <w:rFonts w:ascii="Arial" w:cs="Arial" w:eastAsia="Arial" w:hAnsi="Arial"/>
          <w:color w:val="1A1A1A"/>
          <w:sz w:val="22"/>
          <w:szCs w:val="22"/>
        </w:rPr>
        <w:t xml:space="preserve">Tracks Parliamentary bills from introduction to assent with real-time updates and AI-generated citizen concerns</w:t>
      </w:r>
    </w:p>
    <w:p>
      <w:pPr>
        <w:pStyle w:val="ListParagraph"/>
        <w:numPr>
          <w:ilvl w:val="0"/>
          <w:numId w:val="2"/>
        </w:numPr>
        <w:spacing w:after="40" w:before="40"/>
      </w:pPr>
      <w:r>
        <w:rPr>
          <w:rFonts w:ascii="Arial" w:cs="Arial" w:eastAsia="Arial" w:hAnsi="Arial"/>
          <w:color w:val="1A1A1A"/>
          <w:sz w:val="22"/>
          <w:szCs w:val="22"/>
        </w:rPr>
        <w:t xml:space="preserve">Enables citizens to submit memoranda and public feedback on active legislation</w:t>
      </w:r>
    </w:p>
    <w:p>
      <w:pPr>
        <w:pStyle w:val="ListParagraph"/>
        <w:numPr>
          <w:ilvl w:val="0"/>
          <w:numId w:val="2"/>
        </w:numPr>
        <w:spacing w:after="40" w:before="40"/>
      </w:pPr>
      <w:r>
        <w:rPr>
          <w:rFonts w:ascii="Arial" w:cs="Arial" w:eastAsia="Arial" w:hAnsi="Arial"/>
          <w:color w:val="1A1A1A"/>
          <w:sz w:val="22"/>
          <w:szCs w:val="22"/>
        </w:rPr>
        <w:t xml:space="preserve">Provides an interactive voter registration center locator across Kenya's 47 counties</w:t>
      </w:r>
    </w:p>
    <w:p>
      <w:pPr>
        <w:pStyle w:val="ListParagraph"/>
        <w:numPr>
          <w:ilvl w:val="0"/>
          <w:numId w:val="2"/>
        </w:numPr>
        <w:spacing w:after="40" w:before="40"/>
      </w:pPr>
      <w:r>
        <w:rPr>
          <w:rFonts w:ascii="Arial" w:cs="Arial" w:eastAsia="Arial" w:hAnsi="Arial"/>
          <w:color w:val="1A1A1A"/>
          <w:sz w:val="22"/>
          <w:szCs w:val="22"/>
        </w:rPr>
        <w:t xml:space="preserve">Educates citizens about constitutional rights including the right to recall elected leaders</w:t>
      </w:r>
    </w:p>
    <w:p>
      <w:pPr>
        <w:pStyle w:val="ListParagraph"/>
        <w:numPr>
          <w:ilvl w:val="0"/>
          <w:numId w:val="2"/>
        </w:numPr>
        <w:spacing w:after="40" w:before="40"/>
      </w:pPr>
      <w:r>
        <w:rPr>
          <w:rFonts w:ascii="Arial" w:cs="Arial" w:eastAsia="Arial" w:hAnsi="Arial"/>
          <w:color w:val="1A1A1A"/>
          <w:sz w:val="22"/>
          <w:szCs w:val="22"/>
        </w:rPr>
        <w:t xml:space="preserve">Enables secure, anonymous reporting of state malpractice and electoral irregularities</w:t>
      </w:r>
    </w:p>
    <w:p>
      <w:pPr>
        <w:pStyle w:val="ListParagraph"/>
        <w:numPr>
          <w:ilvl w:val="0"/>
          <w:numId w:val="2"/>
        </w:numPr>
        <w:spacing w:after="40" w:before="40"/>
      </w:pPr>
      <w:r>
        <w:rPr>
          <w:rFonts w:ascii="Arial" w:cs="Arial" w:eastAsia="Arial" w:hAnsi="Arial"/>
          <w:color w:val="1A1A1A"/>
          <w:sz w:val="22"/>
          <w:szCs w:val="22"/>
        </w:rPr>
        <w:t xml:space="preserve">Visualizes Kenya's public finances, debt, and expenditure via Sankey diagrams and dashboards</w:t>
      </w:r>
    </w:p>
    <w:p>
      <w:pPr>
        <w:pStyle w:val="ListParagraph"/>
        <w:numPr>
          <w:ilvl w:val="0"/>
          <w:numId w:val="2"/>
        </w:numPr>
        <w:spacing w:after="40" w:before="40"/>
      </w:pPr>
      <w:r>
        <w:rPr>
          <w:rFonts w:ascii="Arial" w:cs="Arial" w:eastAsia="Arial" w:hAnsi="Arial"/>
          <w:color w:val="1A1A1A"/>
          <w:sz w:val="22"/>
          <w:szCs w:val="22"/>
        </w:rPr>
        <w:t xml:space="preserve">Documents healthcare sector failures under SHA/SHIF through a public accountability ledger</w:t>
      </w:r>
    </w:p>
    <w:p>
      <w:pPr>
        <w:pStyle w:val="ListParagraph"/>
        <w:numPr>
          <w:ilvl w:val="0"/>
          <w:numId w:val="2"/>
        </w:numPr>
        <w:spacing w:after="40" w:before="40"/>
      </w:pPr>
      <w:r>
        <w:rPr>
          <w:rFonts w:ascii="Arial" w:cs="Arial" w:eastAsia="Arial" w:hAnsi="Arial"/>
          <w:color w:val="1A1A1A"/>
          <w:sz w:val="22"/>
          <w:szCs w:val="22"/>
        </w:rPr>
        <w:t xml:space="preserve">Exposes civic data via an open API for developers and civic organizations</w:t>
      </w:r>
    </w:p>
    <w:p>
      <w:pPr>
        <w:pStyle w:val="ListParagraph"/>
        <w:numPr>
          <w:ilvl w:val="0"/>
          <w:numId w:val="2"/>
        </w:numPr>
        <w:spacing w:after="40" w:before="40"/>
      </w:pPr>
      <w:r>
        <w:rPr>
          <w:rFonts w:ascii="Arial" w:cs="Arial" w:eastAsia="Arial" w:hAnsi="Arial"/>
          <w:color w:val="1A1A1A"/>
          <w:sz w:val="22"/>
          <w:szCs w:val="22"/>
        </w:rPr>
        <w:t xml:space="preserve">Distributes civic news, alerts, and educational content via social media, email, and in-app notifications</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2.2 How CEKA Is Different</w:t>
      </w:r>
    </w:p>
    <w:p>
      <w:pPr>
        <w:spacing w:after="100" w:before="60"/>
      </w:pPr>
      <w:r>
        <w:rPr>
          <w:rFonts w:ascii="Arial" w:cs="Arial" w:eastAsia="Arial" w:hAnsi="Arial"/>
          <w:b w:val="false"/>
          <w:bCs w:val="false"/>
          <w:color w:val="1A1A1A"/>
          <w:sz w:val="22"/>
          <w:szCs w:val="22"/>
        </w:rPr>
        <w:t xml:space="preserve">CEKA is not a news outlet, a government portal, or an NGO program. It is a permanent, independent civic infrastructure built on open-source technology and community ownership. Unlike point solutions that address a single gap, CEKA is an integrated ecosystem — education, legislation, participation, accountability, and fiscal transparency operate together under one platform. Its neutrality is structural: no political affiliations, no partisan funding, no editorial opinions.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3. Complete Product Ecosystem</w:t>
      </w:r>
    </w:p>
    <w:p>
      <w:pPr>
        <w:spacing w:after="100" w:before="60"/>
      </w:pPr>
      <w:r>
        <w:rPr>
          <w:rFonts w:ascii="Arial" w:cs="Arial" w:eastAsia="Arial" w:hAnsi="Arial"/>
          <w:b w:val="false"/>
          <w:bCs w:val="false"/>
          <w:color w:val="1A1A1A"/>
          <w:sz w:val="22"/>
          <w:szCs w:val="22"/>
        </w:rPr>
        <w:t xml:space="preserve">The following are the verified, live and in-development tools operating under the CEKA umbrella:</w:t>
      </w:r>
    </w:p>
    <w:p>
      <w:pPr>
        <w:spacing w:after="0" w:before="0"/>
      </w:pPr>
      <w:r>
        <w:rPr>
          <w:sz w:val="4"/>
          <w:szCs w:val="4"/>
        </w:rPr>
        <w:t xml:space="preserve"/>
      </w:r>
    </w:p>
    <w:p>
      <w:pPr>
        <w:shd w:fill="006600" w:val="clear"/>
        <w:spacing w:after="100" w:before="280"/>
      </w:pPr>
      <w:r>
        <w:rPr>
          <w:rFonts w:ascii="Arial" w:cs="Arial" w:eastAsia="Arial" w:hAnsi="Arial"/>
          <w:b/>
          <w:bCs/>
          <w:color w:val="FFFFFF"/>
          <w:sz w:val="22"/>
          <w:szCs w:val="22"/>
        </w:rPr>
        <w:t xml:space="preserve">  FLAGSHIP PLATFORM  </w:t>
      </w:r>
    </w:p>
    <w:p>
      <w:pPr>
        <w:spacing w:after="0" w:before="0"/>
      </w:pPr>
      <w:r>
        <w:rPr>
          <w:sz w:val="4"/>
          <w:szCs w:val="4"/>
        </w:rPr>
        <w:t xml:space="preserve"/>
      </w:r>
    </w:p>
    <w:p>
      <w:pPr>
        <w:pStyle w:val="Heading2"/>
        <w:spacing w:after="80" w:before="240"/>
      </w:pPr>
      <w:r>
        <w:rPr>
          <w:rFonts w:ascii="Arial" w:cs="Arial" w:eastAsia="Arial" w:hAnsi="Arial"/>
          <w:b/>
          <w:bCs/>
          <w:color w:val="006600"/>
          <w:sz w:val="26"/>
          <w:szCs w:val="26"/>
        </w:rPr>
        <w:t xml:space="preserve">3.1 CEKA Core Platform — civiceducationkenya.com</w:t>
      </w:r>
    </w:p>
    <w:p>
      <w:pPr>
        <w:spacing w:after="100" w:before="60"/>
      </w:pPr>
      <w:r>
        <w:rPr>
          <w:rFonts w:ascii="Arial" w:cs="Arial" w:eastAsia="Arial" w:hAnsi="Arial"/>
          <w:b w:val="false"/>
          <w:bCs w:val="false"/>
          <w:color w:val="1A1A1A"/>
          <w:sz w:val="22"/>
          <w:szCs w:val="22"/>
        </w:rPr>
        <w:t xml:space="preserve">The central hub for all civic education and engagement. Features interactive learning modules on the Constitution of Kenya 2010, Bill of Rights, government structures (Executive, Legislature, Judiciary), devolution, electoral processes, public participation, anti-corruption, gender equality, and youth leadership. Includes community forums, the Ask CEKA AI assistant, the Pieces editorial platform, a Resource Vault, and access to all other CEKA tools.</w:t>
      </w:r>
    </w:p>
    <w:p>
      <w:pPr>
        <w:pStyle w:val="Heading2"/>
        <w:spacing w:after="80" w:before="240"/>
      </w:pPr>
      <w:r>
        <w:rPr>
          <w:rFonts w:ascii="Arial" w:cs="Arial" w:eastAsia="Arial" w:hAnsi="Arial"/>
          <w:b/>
          <w:bCs/>
          <w:color w:val="006600"/>
          <w:sz w:val="26"/>
          <w:szCs w:val="26"/>
        </w:rPr>
        <w:t xml:space="preserve">3.2 Legislative Bill Tracker — civiceducationkenya.com</w:t>
      </w:r>
    </w:p>
    <w:p>
      <w:pPr>
        <w:spacing w:after="100" w:before="60"/>
      </w:pPr>
      <w:r>
        <w:rPr>
          <w:rFonts w:ascii="Arial" w:cs="Arial" w:eastAsia="Arial" w:hAnsi="Arial"/>
          <w:b w:val="false"/>
          <w:bCs w:val="false"/>
          <w:color w:val="1A1A1A"/>
          <w:sz w:val="22"/>
          <w:szCs w:val="22"/>
        </w:rPr>
        <w:t xml:space="preserve">A real-time monitoring dashboard tracking Parliamentary proceedings, bill statuses, and public participation deadlines. Includes AI-generated plain-language summaries, clause-level analysis (with Finance Bill 2026 seed data), a memorandum builder for formal submissions to Parliament, and a 23-category ministry-aligned taxonomy across 527+ bills. The tracker routes citizen submissions to the appropriate Parliamentary committee and displays countdown windows for participation deadlines.</w:t>
      </w:r>
    </w:p>
    <w:p>
      <w:pPr>
        <w:pStyle w:val="Heading2"/>
        <w:spacing w:after="80" w:before="240"/>
      </w:pPr>
      <w:r>
        <w:rPr>
          <w:rFonts w:ascii="Arial" w:cs="Arial" w:eastAsia="Arial" w:hAnsi="Arial"/>
          <w:b/>
          <w:bCs/>
          <w:color w:val="006600"/>
          <w:sz w:val="26"/>
          <w:szCs w:val="26"/>
        </w:rPr>
        <w:t xml:space="preserve">3.3 Ask CEKA AI — Integrated Across Platform</w:t>
      </w:r>
    </w:p>
    <w:p>
      <w:pPr>
        <w:spacing w:after="100" w:before="60"/>
      </w:pPr>
      <w:r>
        <w:rPr>
          <w:rFonts w:ascii="Arial" w:cs="Arial" w:eastAsia="Arial" w:hAnsi="Arial"/>
          <w:b w:val="false"/>
          <w:bCs w:val="false"/>
          <w:color w:val="1A1A1A"/>
          <w:sz w:val="22"/>
          <w:szCs w:val="22"/>
        </w:rPr>
        <w:t xml:space="preserve">An AI chatbot embedded throughout the CEKA platform providing natural-language responses to civic, constitutional, and governance queries. On bill pages, it surfaces 'Citizen Concerns (AI-identified)' — practical implications of proposed legislation framed from a citizen perspective. It explains constitutional articles, guides users through civic tools, and provides plain-language breakdowns of legal content in English and Swahili.</w:t>
      </w:r>
    </w:p>
    <w:p>
      <w:pPr>
        <w:pStyle w:val="Heading2"/>
        <w:spacing w:after="80" w:before="240"/>
      </w:pPr>
      <w:r>
        <w:rPr>
          <w:rFonts w:ascii="Arial" w:cs="Arial" w:eastAsia="Arial" w:hAnsi="Arial"/>
          <w:b/>
          <w:bCs/>
          <w:color w:val="006600"/>
          <w:sz w:val="26"/>
          <w:szCs w:val="26"/>
        </w:rPr>
        <w:t xml:space="preserve">3.4 Constitution RAG Chat — civiceducationkenya.com</w:t>
      </w:r>
    </w:p>
    <w:p>
      <w:pPr>
        <w:spacing w:after="100" w:before="60"/>
      </w:pPr>
      <w:r>
        <w:rPr>
          <w:rFonts w:ascii="Arial" w:cs="Arial" w:eastAsia="Arial" w:hAnsi="Arial"/>
          <w:b w:val="false"/>
          <w:bCs w:val="false"/>
          <w:color w:val="1A1A1A"/>
          <w:sz w:val="22"/>
          <w:szCs w:val="22"/>
        </w:rPr>
        <w:t xml:space="preserve">A Retrieval-Augmented Generation (RAG) interface built specifically over the full text of the Constitution of Kenya 2010. Citizens can query any constitutional article, clause, or concept directly and receive grounded, accurate responses sourced from the constitutional text itself — not general AI inference.</w:t>
      </w:r>
    </w:p>
    <w:p>
      <w:pPr>
        <w:pStyle w:val="Heading2"/>
        <w:spacing w:after="80" w:before="240"/>
      </w:pPr>
      <w:r>
        <w:rPr>
          <w:rFonts w:ascii="Arial" w:cs="Arial" w:eastAsia="Arial" w:hAnsi="Arial"/>
          <w:b/>
          <w:bCs/>
          <w:color w:val="006600"/>
          <w:sz w:val="26"/>
          <w:szCs w:val="26"/>
        </w:rPr>
        <w:t xml:space="preserve">3.5 Resource Vault — civiceducationkenya.com</w:t>
      </w:r>
    </w:p>
    <w:p>
      <w:pPr>
        <w:spacing w:after="100" w:before="60"/>
      </w:pPr>
      <w:r>
        <w:rPr>
          <w:rFonts w:ascii="Arial" w:cs="Arial" w:eastAsia="Arial" w:hAnsi="Arial"/>
          <w:b w:val="false"/>
          <w:bCs w:val="false"/>
          <w:color w:val="1A1A1A"/>
          <w:sz w:val="22"/>
          <w:szCs w:val="22"/>
        </w:rPr>
        <w:t xml:space="preserve">A comprehensive, searchable digital library of civic education materials, legal documents, government reports, and constitutional resources. Includes full-text search across all CEKA content with auto-complete, date filters, and topic navigation.</w:t>
      </w:r>
    </w:p>
    <w:p>
      <w:pPr>
        <w:pStyle w:val="Heading2"/>
        <w:spacing w:after="80" w:before="240"/>
      </w:pPr>
      <w:r>
        <w:rPr>
          <w:rFonts w:ascii="Arial" w:cs="Arial" w:eastAsia="Arial" w:hAnsi="Arial"/>
          <w:b/>
          <w:bCs/>
          <w:color w:val="006600"/>
          <w:sz w:val="26"/>
          <w:szCs w:val="26"/>
        </w:rPr>
        <w:t xml:space="preserve">3.6 Pieces — civiceducationkenya.com</w:t>
      </w:r>
    </w:p>
    <w:p>
      <w:pPr>
        <w:spacing w:after="100" w:before="60"/>
      </w:pPr>
      <w:r>
        <w:rPr>
          <w:rFonts w:ascii="Arial" w:cs="Arial" w:eastAsia="Arial" w:hAnsi="Arial"/>
          <w:b w:val="false"/>
          <w:bCs w:val="false"/>
          <w:color w:val="1A1A1A"/>
          <w:sz w:val="22"/>
          <w:szCs w:val="22"/>
        </w:rPr>
        <w:t xml:space="preserve">CEKA's editorial platform hosting long-form civic explainers, analytical pieces, and campaign content including the #LetsBreakDown series on roles of MPs, Senators, Women Representatives, and MCAs. Content is produced by the CEKA team and community contributors.</w:t>
      </w:r>
    </w:p>
    <w:p>
      <w:pPr>
        <w:spacing w:after="0" w:before="0"/>
      </w:pPr>
      <w:r>
        <w:rPr>
          <w:sz w:val="4"/>
          <w:szCs w:val="4"/>
        </w:rPr>
        <w:t xml:space="preserve"/>
      </w:r>
    </w:p>
    <w:p>
      <w:pPr>
        <w:shd w:fill="006600" w:val="clear"/>
        <w:spacing w:after="100" w:before="280"/>
      </w:pPr>
      <w:r>
        <w:rPr>
          <w:rFonts w:ascii="Arial" w:cs="Arial" w:eastAsia="Arial" w:hAnsi="Arial"/>
          <w:b/>
          <w:bCs/>
          <w:color w:val="FFFFFF"/>
          <w:sz w:val="22"/>
          <w:szCs w:val="22"/>
        </w:rPr>
        <w:t xml:space="preserve">  SPECIALIZED PUBLIC LEDGERS &amp; TRACKERS  </w:t>
      </w:r>
    </w:p>
    <w:p>
      <w:pPr>
        <w:spacing w:after="0" w:before="0"/>
      </w:pPr>
      <w:r>
        <w:rPr>
          <w:sz w:val="4"/>
          <w:szCs w:val="4"/>
        </w:rPr>
        <w:t xml:space="preserve"/>
      </w:r>
    </w:p>
    <w:p>
      <w:pPr>
        <w:pStyle w:val="Heading2"/>
        <w:spacing w:after="80" w:before="240"/>
      </w:pPr>
      <w:r>
        <w:rPr>
          <w:rFonts w:ascii="Arial" w:cs="Arial" w:eastAsia="Arial" w:hAnsi="Arial"/>
          <w:b/>
          <w:bCs/>
          <w:color w:val="006600"/>
          <w:sz w:val="26"/>
          <w:szCs w:val="26"/>
        </w:rPr>
        <w:t xml:space="preserve">3.7 SHAmbles — civiceducationkenya.com/shambles</w:t>
      </w:r>
    </w:p>
    <w:p>
      <w:pPr>
        <w:spacing w:after="100" w:before="60"/>
      </w:pPr>
      <w:r>
        <w:rPr>
          <w:rFonts w:ascii="Arial" w:cs="Arial" w:eastAsia="Arial" w:hAnsi="Arial"/>
          <w:b w:val="false"/>
          <w:bCs w:val="false"/>
          <w:color w:val="1A1A1A"/>
          <w:sz w:val="22"/>
          <w:szCs w:val="22"/>
        </w:rPr>
        <w:t xml:space="preserve">A public accountability ledger documenting the systemic failures, healthcare coverage disruptions, and patient rejections caused by Kenya's transition to the Social Health Authority (SHA/SHIF). Functions as a public database with exportable case data, an accountability timeline, county and sector filters, and a whistleblower submission channel for citizens to log healthcare governance failures.</w:t>
      </w:r>
    </w:p>
    <w:p>
      <w:pPr>
        <w:pStyle w:val="Heading2"/>
        <w:spacing w:after="80" w:before="240"/>
      </w:pPr>
      <w:r>
        <w:rPr>
          <w:rFonts w:ascii="Arial" w:cs="Arial" w:eastAsia="Arial" w:hAnsi="Arial"/>
          <w:b/>
          <w:bCs/>
          <w:color w:val="006600"/>
          <w:sz w:val="26"/>
          <w:szCs w:val="26"/>
        </w:rPr>
        <w:t xml:space="preserve">3.8 People's Audit — civiceducationkenya.com/peoples-audit</w:t>
      </w:r>
    </w:p>
    <w:p>
      <w:pPr>
        <w:spacing w:after="100" w:before="60"/>
      </w:pPr>
      <w:r>
        <w:rPr>
          <w:rFonts w:ascii="Arial" w:cs="Arial" w:eastAsia="Arial" w:hAnsi="Arial"/>
          <w:b w:val="false"/>
          <w:bCs w:val="false"/>
          <w:color w:val="1A1A1A"/>
          <w:sz w:val="22"/>
          <w:szCs w:val="22"/>
        </w:rPr>
        <w:t xml:space="preserve">An economic analysis and fiscal oversight dashboard that uses Sankey diagrams and dynamic visualizations to chart Kenya's national debt, trace tax leakages, reveal state resource wastage, and break down public expenditure patterns for ordinary citizens. Data is dynamically loaded from official sources including the Controller of Budget and Auditor General reports. Includes API documentation and full dataset access links.</w:t>
      </w:r>
    </w:p>
    <w:p>
      <w:pPr>
        <w:pStyle w:val="Heading2"/>
        <w:spacing w:after="80" w:before="240"/>
      </w:pPr>
      <w:r>
        <w:rPr>
          <w:rFonts w:ascii="Arial" w:cs="Arial" w:eastAsia="Arial" w:hAnsi="Arial"/>
          <w:b/>
          <w:bCs/>
          <w:color w:val="006600"/>
          <w:sz w:val="26"/>
          <w:szCs w:val="26"/>
        </w:rPr>
        <w:t xml:space="preserve">3.9 Malpractice Report — report.civiceducationkenya.com</w:t>
      </w:r>
    </w:p>
    <w:p>
      <w:pPr>
        <w:spacing w:after="100" w:before="60"/>
      </w:pPr>
      <w:r>
        <w:rPr>
          <w:rFonts w:ascii="Arial" w:cs="Arial" w:eastAsia="Arial" w:hAnsi="Arial"/>
          <w:b w:val="false"/>
          <w:bCs w:val="false"/>
          <w:color w:val="1A1A1A"/>
          <w:sz w:val="22"/>
          <w:szCs w:val="22"/>
        </w:rPr>
        <w:t xml:space="preserve">A security-conscious, standalone monitoring application providing citizens with a secure and anonymous avenue to log and crowdsource instances of state malpractice, police brutality, electoral anomalies, and voter registration irregularities. Features include behavioral anti-spam scoring, Telegram-based admin notifications, an admin dashboard for managing submissions, and data encryption for whistleblower protection.</w:t>
      </w:r>
    </w:p>
    <w:p>
      <w:pPr>
        <w:spacing w:after="0" w:before="0"/>
      </w:pPr>
      <w:r>
        <w:rPr>
          <w:sz w:val="4"/>
          <w:szCs w:val="4"/>
        </w:rPr>
        <w:t xml:space="preserve"/>
      </w:r>
    </w:p>
    <w:p>
      <w:pPr>
        <w:shd w:fill="006600" w:val="clear"/>
        <w:spacing w:after="100" w:before="280"/>
      </w:pPr>
      <w:r>
        <w:rPr>
          <w:rFonts w:ascii="Arial" w:cs="Arial" w:eastAsia="Arial" w:hAnsi="Arial"/>
          <w:b/>
          <w:bCs/>
          <w:color w:val="FFFFFF"/>
          <w:sz w:val="22"/>
          <w:szCs w:val="22"/>
        </w:rPr>
        <w:t xml:space="preserve">  ELECTORAL INFRASTRUCTURE  </w:t>
      </w:r>
    </w:p>
    <w:p>
      <w:pPr>
        <w:spacing w:after="0" w:before="0"/>
      </w:pPr>
      <w:r>
        <w:rPr>
          <w:sz w:val="4"/>
          <w:szCs w:val="4"/>
        </w:rPr>
        <w:t xml:space="preserve"/>
      </w:r>
    </w:p>
    <w:p>
      <w:pPr>
        <w:pStyle w:val="Heading2"/>
        <w:spacing w:after="80" w:before="240"/>
      </w:pPr>
      <w:r>
        <w:rPr>
          <w:rFonts w:ascii="Arial" w:cs="Arial" w:eastAsia="Arial" w:hAnsi="Arial"/>
          <w:b/>
          <w:bCs/>
          <w:color w:val="006600"/>
          <w:sz w:val="26"/>
          <w:szCs w:val="26"/>
        </w:rPr>
        <w:t xml:space="preserve">3.10 NASAKA IEBC — nasakaiebc.civiceducationkenya.com</w:t>
      </w:r>
    </w:p>
    <w:p>
      <w:pPr>
        <w:spacing w:after="100" w:before="60"/>
      </w:pPr>
      <w:r>
        <w:rPr>
          <w:rFonts w:ascii="Arial" w:cs="Arial" w:eastAsia="Arial" w:hAnsi="Arial"/>
          <w:b w:val="false"/>
          <w:bCs w:val="false"/>
          <w:color w:val="1A1A1A"/>
          <w:sz w:val="22"/>
          <w:szCs w:val="22"/>
        </w:rPr>
        <w:t xml:space="preserve">An interactive geolocated mapping service covering 24,000+ IEBC electoral offices, voter registration centers, and polling stations across all 47 counties and constituencies. Built with a multi-provider geocoding pipeline (versioned through v10+ with Titan AI cascade fallback). Features GPS-enabled location search, turn-by-turn navigation, community-verified data, operating hours, contact information, and multilingual support across 15 languages including Swahili and Sheng. The companion Android app is published on the Google Play Store. Location data is processed locally — no user data is collected or stored. Platform is independent of and not affiliated with the Government of Kenya or IEBC.</w:t>
      </w:r>
    </w:p>
    <w:p>
      <w:pPr>
        <w:spacing w:after="100" w:before="60"/>
      </w:pPr>
      <w:r>
        <w:rPr>
          <w:rFonts w:ascii="Arial" w:cs="Arial" w:eastAsia="Arial" w:hAnsi="Arial"/>
          <w:b w:val="false"/>
          <w:bCs w:val="false"/>
          <w:color w:val="1A1A1A"/>
          <w:sz w:val="22"/>
          <w:szCs w:val="22"/>
        </w:rPr>
        <w:t xml:space="preserve">NASAKA reached over 1 million requests in a single month, triggering a server infrastructure upgrade — a direct measure of civic demand. The platform is listed on Wikidata (Q139784812).</w:t>
      </w:r>
    </w:p>
    <w:p>
      <w:pPr>
        <w:pStyle w:val="Heading2"/>
        <w:spacing w:after="80" w:before="240"/>
      </w:pPr>
      <w:r>
        <w:rPr>
          <w:rFonts w:ascii="Arial" w:cs="Arial" w:eastAsia="Arial" w:hAnsi="Arial"/>
          <w:b/>
          <w:bCs/>
          <w:color w:val="006600"/>
          <w:sz w:val="26"/>
          <w:szCs w:val="26"/>
        </w:rPr>
        <w:t xml:space="preserve">3.11 NASAKA Developer API — nasakaiebc.civiceducationkenya.com/docs</w:t>
      </w:r>
    </w:p>
    <w:p>
      <w:pPr>
        <w:spacing w:after="100" w:before="60"/>
      </w:pPr>
      <w:r>
        <w:rPr>
          <w:rFonts w:ascii="Arial" w:cs="Arial" w:eastAsia="Arial" w:hAnsi="Arial"/>
          <w:b w:val="false"/>
          <w:bCs w:val="false"/>
          <w:color w:val="1A1A1A"/>
          <w:sz w:val="22"/>
          <w:szCs w:val="22"/>
        </w:rPr>
        <w:t xml:space="preserve">An open data engine exposing parsed IEBC datasets, mapping configurations, and geospatial data frameworks via documented API endpoints. Enables independent developers, civil society organizations, researchers, and other civic-tech actors to cleanly pull and repurpose verified Kenyan electoral data without building from scratch.</w:t>
      </w:r>
    </w:p>
    <w:p>
      <w:pPr>
        <w:pStyle w:val="Heading2"/>
        <w:spacing w:after="80" w:before="240"/>
      </w:pPr>
      <w:r>
        <w:rPr>
          <w:rFonts w:ascii="Arial" w:cs="Arial" w:eastAsia="Arial" w:hAnsi="Arial"/>
          <w:b/>
          <w:bCs/>
          <w:color w:val="006600"/>
          <w:sz w:val="26"/>
          <w:szCs w:val="26"/>
        </w:rPr>
        <w:t xml:space="preserve">3.12 Recall254 — civiceducationkenya.com</w:t>
      </w:r>
    </w:p>
    <w:p>
      <w:pPr>
        <w:spacing w:after="100" w:before="60"/>
      </w:pPr>
      <w:r>
        <w:rPr>
          <w:rFonts w:ascii="Arial" w:cs="Arial" w:eastAsia="Arial" w:hAnsi="Arial"/>
          <w:b w:val="false"/>
          <w:bCs w:val="false"/>
          <w:color w:val="1A1A1A"/>
          <w:sz w:val="22"/>
          <w:szCs w:val="22"/>
        </w:rPr>
        <w:t xml:space="preserve">A civic education and mobilization module built around the constitutional right to recall non-performing elected leaders under Article 104 of the Constitution of Kenya. Provides step-by-step guidance on eligibility criteria and petition processes, petition templates, legal text references, and an active recall campaign bulletin. Addresses a constitutionally guaranteed right most Kenyans are unaware they possess.</w:t>
      </w:r>
    </w:p>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4. Impact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IMPACT AREA</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RESULTS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Instagram Reach</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11,000+ followers on @civiceducationke. Protest law campaign: 1M+ Kenyans reached. Finance Bill 2026 campaign: ~2.1M social media impressions (internal analytics).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TikTok Presence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@civiceducationkenya: ~2,989 followers, 13,800+ likes. Youth-first short-form civic content aligned with Educate • Amplify • Empower.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X (Twitter)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@CivicEdKenya: Active on bill updates, civic tools, and accountability commentary. Publicly corrected NTV Kenya misrepresentation of CEKA's civic tools as a government portal.</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NASAKA Traffic</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1M+ monthly requests, triggering a server infrastructure upgrade. Google Play app published. Wikidata Q139784812 established.</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Legislative Engagement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Measurable surge in citizen memoranda to Parliament during Finance Bill 2026 review, directly facilitated by CEKA's memorandum builder.</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Platform Scale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23+ Supabase Edge Functions in production. Multi-provider Cloudflare/Vercel deployment. Full CI/CD via GitLab. Three-remote Git configuration across GitHub, GitLab, and Codeberg.</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Community Reception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Consistent positive feedback: 'Super easy to use', 'Amazing job', 'Asanteee sana for this initiative', 'This feels Govt-level' (LinkedIn). No major criticism. Strong volunteer interest.</w:t>
            </w:r>
          </w:p>
        </w:tc>
      </w:tr>
    </w:tbl>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5. Target Beneficiaries</w:t>
      </w:r>
    </w:p>
    <w:p>
      <w:pPr>
        <w:pStyle w:val="ListParagraph"/>
        <w:numPr>
          <w:ilvl w:val="0"/>
          <w:numId w:val="2"/>
        </w:numPr>
        <w:spacing w:after="40" w:before="40"/>
      </w:pPr>
      <w:r>
        <w:rPr>
          <w:rFonts w:ascii="Arial" w:cs="Arial" w:eastAsia="Arial" w:hAnsi="Arial"/>
          <w:color w:val="1A1A1A"/>
          <w:sz w:val="22"/>
          <w:szCs w:val="22"/>
        </w:rPr>
        <w:t xml:space="preserve">Youth &amp; Students (18–35) — Kenya's largest demographic, most underserved by traditional civic education</w:t>
      </w:r>
    </w:p>
    <w:p>
      <w:pPr>
        <w:pStyle w:val="ListParagraph"/>
        <w:numPr>
          <w:ilvl w:val="0"/>
          <w:numId w:val="2"/>
        </w:numPr>
        <w:spacing w:after="40" w:before="40"/>
      </w:pPr>
      <w:r>
        <w:rPr>
          <w:rFonts w:ascii="Arial" w:cs="Arial" w:eastAsia="Arial" w:hAnsi="Arial"/>
          <w:color w:val="1A1A1A"/>
          <w:sz w:val="22"/>
          <w:szCs w:val="22"/>
        </w:rPr>
        <w:t xml:space="preserve">Educators &amp; Schools — Teachers using CEKA modules to enhance classroom civics curriculum</w:t>
      </w:r>
    </w:p>
    <w:p>
      <w:pPr>
        <w:pStyle w:val="ListParagraph"/>
        <w:numPr>
          <w:ilvl w:val="0"/>
          <w:numId w:val="2"/>
        </w:numPr>
        <w:spacing w:after="40" w:before="40"/>
      </w:pPr>
      <w:r>
        <w:rPr>
          <w:rFonts w:ascii="Arial" w:cs="Arial" w:eastAsia="Arial" w:hAnsi="Arial"/>
          <w:color w:val="1A1A1A"/>
          <w:sz w:val="22"/>
          <w:szCs w:val="22"/>
        </w:rPr>
        <w:t xml:space="preserve">Civil Society &amp; NGOs — Organizations using CEKA's tools and data to inform their communities</w:t>
      </w:r>
    </w:p>
    <w:p>
      <w:pPr>
        <w:pStyle w:val="ListParagraph"/>
        <w:numPr>
          <w:ilvl w:val="0"/>
          <w:numId w:val="2"/>
        </w:numPr>
        <w:spacing w:after="40" w:before="40"/>
      </w:pPr>
      <w:r>
        <w:rPr>
          <w:rFonts w:ascii="Arial" w:cs="Arial" w:eastAsia="Arial" w:hAnsi="Arial"/>
          <w:color w:val="1A1A1A"/>
          <w:sz w:val="22"/>
          <w:szCs w:val="22"/>
        </w:rPr>
        <w:t xml:space="preserve">Rural and Remote Communities — Citizens in counties with limited access to civic information</w:t>
      </w:r>
    </w:p>
    <w:p>
      <w:pPr>
        <w:pStyle w:val="ListParagraph"/>
        <w:numPr>
          <w:ilvl w:val="0"/>
          <w:numId w:val="2"/>
        </w:numPr>
        <w:spacing w:after="40" w:before="40"/>
      </w:pPr>
      <w:r>
        <w:rPr>
          <w:rFonts w:ascii="Arial" w:cs="Arial" w:eastAsia="Arial" w:hAnsi="Arial"/>
          <w:color w:val="1A1A1A"/>
          <w:sz w:val="22"/>
          <w:szCs w:val="22"/>
        </w:rPr>
        <w:t xml:space="preserve">Voters &amp; the General Public — Citizens navigating legislation, elections, and public participation</w:t>
      </w:r>
    </w:p>
    <w:p>
      <w:pPr>
        <w:pStyle w:val="ListParagraph"/>
        <w:numPr>
          <w:ilvl w:val="0"/>
          <w:numId w:val="2"/>
        </w:numPr>
        <w:spacing w:after="40" w:before="40"/>
      </w:pPr>
      <w:r>
        <w:rPr>
          <w:rFonts w:ascii="Arial" w:cs="Arial" w:eastAsia="Arial" w:hAnsi="Arial"/>
          <w:color w:val="1A1A1A"/>
          <w:sz w:val="22"/>
          <w:szCs w:val="22"/>
        </w:rPr>
        <w:t xml:space="preserve">Media &amp; Journalists — Reporters using CEKA's simplified content as a basis for public-interest reporting</w:t>
      </w:r>
    </w:p>
    <w:p>
      <w:pPr>
        <w:pStyle w:val="ListParagraph"/>
        <w:numPr>
          <w:ilvl w:val="0"/>
          <w:numId w:val="2"/>
        </w:numPr>
        <w:spacing w:after="40" w:before="40"/>
      </w:pPr>
      <w:r>
        <w:rPr>
          <w:rFonts w:ascii="Arial" w:cs="Arial" w:eastAsia="Arial" w:hAnsi="Arial"/>
          <w:color w:val="1A1A1A"/>
          <w:sz w:val="22"/>
          <w:szCs w:val="22"/>
        </w:rPr>
        <w:t xml:space="preserve">Kenyan Diaspora — Citizens abroad seeking voter registration guidance and civic information</w:t>
      </w:r>
    </w:p>
    <w:p>
      <w:pPr>
        <w:pStyle w:val="ListParagraph"/>
        <w:numPr>
          <w:ilvl w:val="0"/>
          <w:numId w:val="2"/>
        </w:numPr>
        <w:spacing w:after="40" w:before="40"/>
      </w:pPr>
      <w:r>
        <w:rPr>
          <w:rFonts w:ascii="Arial" w:cs="Arial" w:eastAsia="Arial" w:hAnsi="Arial"/>
          <w:color w:val="1A1A1A"/>
          <w:sz w:val="22"/>
          <w:szCs w:val="22"/>
        </w:rPr>
        <w:t xml:space="preserve">Developers &amp; Researchers — Civic-tech actors building on CEKA's open API and open-source codebase</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6. Sustainability &amp; Funding Model</w:t>
      </w:r>
    </w:p>
    <w:p>
      <w:pPr>
        <w:pStyle w:val="ListParagraph"/>
        <w:numPr>
          <w:ilvl w:val="0"/>
          <w:numId w:val="2"/>
        </w:numPr>
        <w:spacing w:after="40" w:before="40"/>
      </w:pPr>
      <w:r>
        <w:rPr>
          <w:rFonts w:ascii="Arial" w:cs="Arial" w:eastAsia="Arial" w:hAnsi="Arial"/>
          <w:color w:val="1A1A1A"/>
          <w:sz w:val="22"/>
          <w:szCs w:val="22"/>
        </w:rPr>
        <w:t xml:space="preserve">Public donations via Ko-fi, M-Pesa, and Bitcoin/Lightning Network contributions</w:t>
      </w:r>
    </w:p>
    <w:p>
      <w:pPr>
        <w:pStyle w:val="ListParagraph"/>
        <w:numPr>
          <w:ilvl w:val="0"/>
          <w:numId w:val="2"/>
        </w:numPr>
        <w:spacing w:after="40" w:before="40"/>
      </w:pPr>
      <w:r>
        <w:rPr>
          <w:rFonts w:ascii="Arial" w:cs="Arial" w:eastAsia="Arial" w:hAnsi="Arial"/>
          <w:color w:val="1A1A1A"/>
          <w:sz w:val="22"/>
          <w:szCs w:val="22"/>
        </w:rPr>
        <w:t xml:space="preserve">Civic grants from democracy-support organizations and electoral cycle funding programs</w:t>
      </w:r>
    </w:p>
    <w:p>
      <w:pPr>
        <w:pStyle w:val="ListParagraph"/>
        <w:numPr>
          <w:ilvl w:val="0"/>
          <w:numId w:val="2"/>
        </w:numPr>
        <w:spacing w:after="40" w:before="40"/>
      </w:pPr>
      <w:r>
        <w:rPr>
          <w:rFonts w:ascii="Arial" w:cs="Arial" w:eastAsia="Arial" w:hAnsi="Arial"/>
          <w:color w:val="1A1A1A"/>
          <w:sz w:val="22"/>
          <w:szCs w:val="22"/>
        </w:rPr>
        <w:t xml:space="preserve">Institutional partnerships with universities, media houses, and civil society organizations</w:t>
      </w:r>
    </w:p>
    <w:p>
      <w:pPr>
        <w:pStyle w:val="ListParagraph"/>
        <w:numPr>
          <w:ilvl w:val="0"/>
          <w:numId w:val="2"/>
        </w:numPr>
        <w:spacing w:after="40" w:before="40"/>
      </w:pPr>
      <w:r>
        <w:rPr>
          <w:rFonts w:ascii="Arial" w:cs="Arial" w:eastAsia="Arial" w:hAnsi="Arial"/>
          <w:color w:val="1A1A1A"/>
          <w:sz w:val="22"/>
          <w:szCs w:val="22"/>
        </w:rPr>
        <w:t xml:space="preserve">Community volunteer network of developers, translators, and civic educators</w:t>
      </w:r>
    </w:p>
    <w:p>
      <w:pPr>
        <w:pStyle w:val="ListParagraph"/>
        <w:numPr>
          <w:ilvl w:val="0"/>
          <w:numId w:val="2"/>
        </w:numPr>
        <w:spacing w:after="40" w:before="40"/>
      </w:pPr>
      <w:r>
        <w:rPr>
          <w:rFonts w:ascii="Arial" w:cs="Arial" w:eastAsia="Arial" w:hAnsi="Arial"/>
          <w:color w:val="1A1A1A"/>
          <w:sz w:val="22"/>
          <w:szCs w:val="22"/>
        </w:rPr>
        <w:t xml:space="preserve">HRF Bitcoin Development Fund eligibility: CEKA's open-source model, civic impact, and African context align with HRF BDF criteria. Application pathway active.</w:t>
      </w:r>
    </w:p>
    <w:p>
      <w:pPr>
        <w:pStyle w:val="ListParagraph"/>
        <w:numPr>
          <w:ilvl w:val="0"/>
          <w:numId w:val="2"/>
        </w:numPr>
        <w:spacing w:after="40" w:before="40"/>
      </w:pPr>
      <w:r>
        <w:rPr>
          <w:rFonts w:ascii="Arial" w:cs="Arial" w:eastAsia="Arial" w:hAnsi="Arial"/>
          <w:color w:val="1A1A1A"/>
          <w:sz w:val="22"/>
          <w:szCs w:val="22"/>
        </w:rPr>
        <w:t xml:space="preserve">Long-term: African Union Civic Tech Fund (AUCTF), Code for Africa network grants, and institutional sponsors aligned with electoral cycles</w:t>
      </w:r>
    </w:p>
    <w:p>
      <w:pPr>
        <w:spacing w:after="100" w:before="60"/>
      </w:pPr>
      <w:r>
        <w:rPr>
          <w:rFonts w:ascii="Arial" w:cs="Arial" w:eastAsia="Arial" w:hAnsi="Arial"/>
          <w:b w:val="false"/>
          <w:bCs w:val="false"/>
          <w:color w:val="1A1A1A"/>
          <w:sz w:val="22"/>
          <w:szCs w:val="22"/>
        </w:rPr>
        <w:t xml:space="preserve">CEKA's infrastructure minimizes operational costs: open-source codebase, community-managed content, and cloud-native deployment on Supabase, Cloudflare, and Vercel. The platform is designed to scale without proportional cost increases.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7. Civic Tech Positioning</w:t>
      </w:r>
    </w:p>
    <w:p>
      <w:pPr>
        <w:spacing w:after="100" w:before="60"/>
      </w:pPr>
      <w:r>
        <w:rPr>
          <w:rFonts w:ascii="Arial" w:cs="Arial" w:eastAsia="Arial" w:hAnsi="Arial"/>
          <w:b w:val="false"/>
          <w:bCs w:val="false"/>
          <w:color w:val="1A1A1A"/>
          <w:sz w:val="22"/>
          <w:szCs w:val="22"/>
        </w:rPr>
        <w:t xml:space="preserve">CEKA operates in a growing Kenyan civic tech ecosystem alongside established players. Its differentiation is breadth, integration,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STRENGTH</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CEKA'S DIFFERENTIATION</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Mzalendo / Dokeza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Institutional depth, MP scorecards, Parliament endorsement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adds youth accessibility, AI explainers, fiscal tools, electoral mapping, and a unified ecosystem</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Official Parliament Tracker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Authoritative primary data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translates that data into plain language with participation tools and community reach</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Ushahidi</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Crisis mapping, crowdsourcing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focuses on civic education and legislative transparency as its permanent, non-crisis mandate</w:t>
            </w:r>
          </w:p>
        </w:tc>
      </w:tr>
    </w:tbl>
    <w:p>
      <w:pPr>
        <w:spacing w:after="100" w:before="60"/>
      </w:pPr>
      <w:r>
        <w:rPr>
          <w:rFonts w:ascii="Arial" w:cs="Arial" w:eastAsia="Arial" w:hAnsi="Arial"/>
          <w:b w:val="false"/>
          <w:bCs w:val="false"/>
          <w:color w:val="1A1A1A"/>
          <w:sz w:val="22"/>
          <w:szCs w:val="22"/>
        </w:rPr>
        <w:t xml:space="preserve">CEKA lists Mzalendo as a complementary partner on its Tools page. The ecosystem approach — rather than competitive displacement — is deliberate and reflects the maturity of the civic infrastructure vision.</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8. Roadmap</w:t>
      </w:r>
    </w:p>
    <w:p>
      <w:pPr>
        <w:pStyle w:val="Heading2"/>
        <w:spacing w:after="80" w:before="240"/>
      </w:pPr>
      <w:r>
        <w:rPr>
          <w:rFonts w:ascii="Arial" w:cs="Arial" w:eastAsia="Arial" w:hAnsi="Arial"/>
          <w:b/>
          <w:bCs/>
          <w:color w:val="006600"/>
          <w:sz w:val="26"/>
          <w:szCs w:val="26"/>
        </w:rPr>
        <w:t xml:space="preserve">Short-Term (2026)</w:t>
      </w:r>
    </w:p>
    <w:p>
      <w:pPr>
        <w:pStyle w:val="ListParagraph"/>
        <w:numPr>
          <w:ilvl w:val="0"/>
          <w:numId w:val="2"/>
        </w:numPr>
        <w:spacing w:after="40" w:before="40"/>
      </w:pPr>
      <w:r>
        <w:rPr>
          <w:rFonts w:ascii="Arial" w:cs="Arial" w:eastAsia="Arial" w:hAnsi="Arial"/>
          <w:color w:val="1A1A1A"/>
          <w:sz w:val="22"/>
          <w:szCs w:val="22"/>
        </w:rPr>
        <w:t xml:space="preserve">Launch mobile CEKA App versions (Android/iOS) with full feature parity</w:t>
      </w:r>
    </w:p>
    <w:p>
      <w:pPr>
        <w:pStyle w:val="ListParagraph"/>
        <w:numPr>
          <w:ilvl w:val="0"/>
          <w:numId w:val="2"/>
        </w:numPr>
        <w:spacing w:after="40" w:before="40"/>
      </w:pPr>
      <w:r>
        <w:rPr>
          <w:rFonts w:ascii="Arial" w:cs="Arial" w:eastAsia="Arial" w:hAnsi="Arial"/>
          <w:color w:val="1A1A1A"/>
          <w:sz w:val="22"/>
          <w:szCs w:val="22"/>
        </w:rPr>
        <w:t xml:space="preserve">Expand bill tracker notifications and multi-channel alert infrastructure</w:t>
      </w:r>
    </w:p>
    <w:p>
      <w:pPr>
        <w:pStyle w:val="ListParagraph"/>
        <w:numPr>
          <w:ilvl w:val="0"/>
          <w:numId w:val="2"/>
        </w:numPr>
        <w:spacing w:after="40" w:before="40"/>
      </w:pPr>
      <w:r>
        <w:rPr>
          <w:rFonts w:ascii="Arial" w:cs="Arial" w:eastAsia="Arial" w:hAnsi="Arial"/>
          <w:color w:val="1A1A1A"/>
          <w:sz w:val="22"/>
          <w:szCs w:val="22"/>
        </w:rPr>
        <w:t xml:space="preserve">Full Swahili language implementation across core platform</w:t>
      </w:r>
    </w:p>
    <w:p>
      <w:pPr>
        <w:pStyle w:val="ListParagraph"/>
        <w:numPr>
          <w:ilvl w:val="0"/>
          <w:numId w:val="2"/>
        </w:numPr>
        <w:spacing w:after="40" w:before="40"/>
      </w:pPr>
      <w:r>
        <w:rPr>
          <w:rFonts w:ascii="Arial" w:cs="Arial" w:eastAsia="Arial" w:hAnsi="Arial"/>
          <w:color w:val="1A1A1A"/>
          <w:sz w:val="22"/>
          <w:szCs w:val="22"/>
        </w:rPr>
        <w:t xml:space="preserve">Grow email subscriber base and community engagement</w:t>
      </w:r>
    </w:p>
    <w:p>
      <w:pPr>
        <w:pStyle w:val="ListParagraph"/>
        <w:numPr>
          <w:ilvl w:val="0"/>
          <w:numId w:val="2"/>
        </w:numPr>
        <w:spacing w:after="40" w:before="40"/>
      </w:pPr>
      <w:r>
        <w:rPr>
          <w:rFonts w:ascii="Arial" w:cs="Arial" w:eastAsia="Arial" w:hAnsi="Arial"/>
          <w:color w:val="1A1A1A"/>
          <w:sz w:val="22"/>
          <w:szCs w:val="22"/>
        </w:rPr>
        <w:t xml:space="preserve">Apply to HRF Bitcoin Development Fund and AUCTF</w:t>
      </w:r>
    </w:p>
    <w:p>
      <w:pPr>
        <w:pStyle w:val="Heading2"/>
        <w:spacing w:after="80" w:before="240"/>
      </w:pPr>
      <w:r>
        <w:rPr>
          <w:rFonts w:ascii="Arial" w:cs="Arial" w:eastAsia="Arial" w:hAnsi="Arial"/>
          <w:b/>
          <w:bCs/>
          <w:color w:val="006600"/>
          <w:sz w:val="26"/>
          <w:szCs w:val="26"/>
        </w:rPr>
        <w:t xml:space="preserve">Mid-Term (2027–2028)</w:t>
      </w:r>
    </w:p>
    <w:p>
      <w:pPr>
        <w:pStyle w:val="ListParagraph"/>
        <w:numPr>
          <w:ilvl w:val="0"/>
          <w:numId w:val="2"/>
        </w:numPr>
        <w:spacing w:after="40" w:before="40"/>
      </w:pPr>
      <w:r>
        <w:rPr>
          <w:rFonts w:ascii="Arial" w:cs="Arial" w:eastAsia="Arial" w:hAnsi="Arial"/>
          <w:color w:val="1A1A1A"/>
          <w:sz w:val="22"/>
          <w:szCs w:val="22"/>
        </w:rPr>
        <w:t xml:space="preserve">Scale platform adoption to all 47 counties with county governance tracking</w:t>
      </w:r>
    </w:p>
    <w:p>
      <w:pPr>
        <w:pStyle w:val="ListParagraph"/>
        <w:numPr>
          <w:ilvl w:val="0"/>
          <w:numId w:val="2"/>
        </w:numPr>
        <w:spacing w:after="40" w:before="40"/>
      </w:pPr>
      <w:r>
        <w:rPr>
          <w:rFonts w:ascii="Arial" w:cs="Arial" w:eastAsia="Arial" w:hAnsi="Arial"/>
          <w:color w:val="1A1A1A"/>
          <w:sz w:val="22"/>
          <w:szCs w:val="22"/>
        </w:rPr>
        <w:t xml:space="preserve">Offline app capabilities for low-connectivity areas</w:t>
      </w:r>
    </w:p>
    <w:p>
      <w:pPr>
        <w:pStyle w:val="ListParagraph"/>
        <w:numPr>
          <w:ilvl w:val="0"/>
          <w:numId w:val="2"/>
        </w:numPr>
        <w:spacing w:after="40" w:before="40"/>
      </w:pPr>
      <w:r>
        <w:rPr>
          <w:rFonts w:ascii="Arial" w:cs="Arial" w:eastAsia="Arial" w:hAnsi="Arial"/>
          <w:color w:val="1A1A1A"/>
          <w:sz w:val="22"/>
          <w:szCs w:val="22"/>
        </w:rPr>
        <w:t xml:space="preserve">Civic Champions volunteer network across all counties</w:t>
      </w:r>
    </w:p>
    <w:p>
      <w:pPr>
        <w:pStyle w:val="ListParagraph"/>
        <w:numPr>
          <w:ilvl w:val="0"/>
          <w:numId w:val="2"/>
        </w:numPr>
        <w:spacing w:after="40" w:before="40"/>
      </w:pPr>
      <w:r>
        <w:rPr>
          <w:rFonts w:ascii="Arial" w:cs="Arial" w:eastAsia="Arial" w:hAnsi="Arial"/>
          <w:color w:val="1A1A1A"/>
          <w:sz w:val="22"/>
          <w:szCs w:val="22"/>
        </w:rPr>
        <w:t xml:space="preserve">Formal school curriculum integration with Ministry of Education</w:t>
      </w:r>
    </w:p>
    <w:p>
      <w:pPr>
        <w:pStyle w:val="ListParagraph"/>
        <w:numPr>
          <w:ilvl w:val="0"/>
          <w:numId w:val="2"/>
        </w:numPr>
        <w:spacing w:after="40" w:before="40"/>
      </w:pPr>
      <w:r>
        <w:rPr>
          <w:rFonts w:ascii="Arial" w:cs="Arial" w:eastAsia="Arial" w:hAnsi="Arial"/>
          <w:color w:val="1A1A1A"/>
          <w:sz w:val="22"/>
          <w:szCs w:val="22"/>
        </w:rPr>
        <w:t xml:space="preserve">Host first national CEKA Civic Tech community event</w:t>
      </w:r>
    </w:p>
    <w:p>
      <w:pPr>
        <w:pStyle w:val="Heading2"/>
        <w:spacing w:after="80" w:before="240"/>
      </w:pPr>
      <w:r>
        <w:rPr>
          <w:rFonts w:ascii="Arial" w:cs="Arial" w:eastAsia="Arial" w:hAnsi="Arial"/>
          <w:b/>
          <w:bCs/>
          <w:color w:val="006600"/>
          <w:sz w:val="26"/>
          <w:szCs w:val="26"/>
        </w:rPr>
        <w:t xml:space="preserve">Long-Term (2029–2030)</w:t>
      </w:r>
    </w:p>
    <w:p>
      <w:pPr>
        <w:pStyle w:val="ListParagraph"/>
        <w:numPr>
          <w:ilvl w:val="0"/>
          <w:numId w:val="2"/>
        </w:numPr>
        <w:spacing w:after="40" w:before="40"/>
      </w:pPr>
      <w:r>
        <w:rPr>
          <w:rFonts w:ascii="Arial" w:cs="Arial" w:eastAsia="Arial" w:hAnsi="Arial"/>
          <w:color w:val="1A1A1A"/>
          <w:sz w:val="22"/>
          <w:szCs w:val="22"/>
        </w:rPr>
        <w:t xml:space="preserve">AI civic assistant for real-time queries on laws and rights</w:t>
      </w:r>
    </w:p>
    <w:p>
      <w:pPr>
        <w:pStyle w:val="ListParagraph"/>
        <w:numPr>
          <w:ilvl w:val="0"/>
          <w:numId w:val="2"/>
        </w:numPr>
        <w:spacing w:after="40" w:before="40"/>
      </w:pPr>
      <w:r>
        <w:rPr>
          <w:rFonts w:ascii="Arial" w:cs="Arial" w:eastAsia="Arial" w:hAnsi="Arial"/>
          <w:color w:val="1A1A1A"/>
          <w:sz w:val="22"/>
          <w:szCs w:val="22"/>
        </w:rPr>
        <w:t xml:space="preserve">County data portals for localized governance tracking</w:t>
      </w:r>
    </w:p>
    <w:p>
      <w:pPr>
        <w:pStyle w:val="ListParagraph"/>
        <w:numPr>
          <w:ilvl w:val="0"/>
          <w:numId w:val="2"/>
        </w:numPr>
        <w:spacing w:after="40" w:before="40"/>
      </w:pPr>
      <w:r>
        <w:rPr>
          <w:rFonts w:ascii="Arial" w:cs="Arial" w:eastAsia="Arial" w:hAnsi="Arial"/>
          <w:color w:val="1A1A1A"/>
          <w:sz w:val="22"/>
          <w:szCs w:val="22"/>
        </w:rPr>
        <w:t xml:space="preserve">Financial sustainability through institutional and large-scale donor support</w:t>
      </w:r>
    </w:p>
    <w:p>
      <w:pPr>
        <w:pStyle w:val="Heading2"/>
        <w:spacing w:after="80" w:before="240"/>
      </w:pPr>
      <w:r>
        <w:rPr>
          <w:rFonts w:ascii="Arial" w:cs="Arial" w:eastAsia="Arial" w:hAnsi="Arial"/>
          <w:b/>
          <w:bCs/>
          <w:color w:val="006600"/>
          <w:sz w:val="26"/>
          <w:szCs w:val="26"/>
        </w:rPr>
        <w:t xml:space="preserve">Beyond (2030+)</w:t>
      </w:r>
    </w:p>
    <w:p>
      <w:pPr>
        <w:pStyle w:val="ListParagraph"/>
        <w:numPr>
          <w:ilvl w:val="0"/>
          <w:numId w:val="2"/>
        </w:numPr>
        <w:spacing w:after="40" w:before="40"/>
      </w:pPr>
      <w:r>
        <w:rPr>
          <w:rFonts w:ascii="Arial" w:cs="Arial" w:eastAsia="Arial" w:hAnsi="Arial"/>
          <w:color w:val="1A1A1A"/>
          <w:sz w:val="22"/>
          <w:szCs w:val="22"/>
        </w:rPr>
        <w:t xml:space="preserve">Adapt CEKA's open-source model for at least 2–3 additional African countries</w:t>
      </w:r>
    </w:p>
    <w:p>
      <w:pPr>
        <w:pStyle w:val="ListParagraph"/>
        <w:numPr>
          <w:ilvl w:val="0"/>
          <w:numId w:val="2"/>
        </w:numPr>
        <w:spacing w:after="40" w:before="40"/>
      </w:pPr>
      <w:r>
        <w:rPr>
          <w:rFonts w:ascii="Arial" w:cs="Arial" w:eastAsia="Arial" w:hAnsi="Arial"/>
          <w:color w:val="1A1A1A"/>
          <w:sz w:val="22"/>
          <w:szCs w:val="22"/>
        </w:rPr>
        <w:t xml:space="preserve">Form the African Civic Tech Alliance using CEKA's codebase as regional backbone</w:t>
      </w:r>
    </w:p>
    <w:p>
      <w:pPr>
        <w:pStyle w:val="ListParagraph"/>
        <w:numPr>
          <w:ilvl w:val="0"/>
          <w:numId w:val="2"/>
        </w:numPr>
        <w:spacing w:after="40" w:before="40"/>
      </w:pPr>
      <w:r>
        <w:rPr>
          <w:rFonts w:ascii="Arial" w:cs="Arial" w:eastAsia="Arial" w:hAnsi="Arial"/>
          <w:color w:val="1A1A1A"/>
          <w:sz w:val="22"/>
          <w:szCs w:val="22"/>
        </w:rPr>
        <w:t xml:space="preserve">CEKA recognized as a continental civic infrastructure standard</w:t>
      </w:r>
    </w:p>
    <w:p>
      <w:pPr>
        <w:spacing w:after="0" w:before="0"/>
      </w:pPr>
      <w:r>
        <w:rPr>
          <w:sz w:val="16"/>
          <w:szCs w:val="16"/>
        </w:rPr>
        <w:t xml:space="preserve"/>
      </w:r>
    </w:p>
    <w:p>
      <w:pPr>
        <w:pBdr>
          <w:top w:val="single" w:color="006600" w:sz="6" w:space="4"/>
        </w:pBdr>
        <w:spacing w:after="0" w:before="200"/>
      </w:pPr>
      <w:r>
        <w:rPr>
          <w:rFonts w:ascii="Arial" w:cs="Arial" w:eastAsia="Arial" w:hAnsi="Arial"/>
          <w:color w:val="555555"/>
          <w:sz w:val="18"/>
          <w:szCs w:val="18"/>
        </w:rPr>
        <w:t xml:space="preserve">For partnership, funding, or collaboration: civiceducationkenya.com  |  Document Version: 1.1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680"/>
        <w:tab w:val="right" w:pos="9360"/>
      </w:tabs>
      <w:spacing w:after="0" w:before="80"/>
    </w:pPr>
    <w:r>
      <w:rPr>
        <w:rFonts w:ascii="Arial" w:cs="Arial" w:eastAsia="Arial" w:hAnsi="Arial"/>
        <w:color w:val="555555"/>
        <w:sz w:val="16"/>
        <w:szCs w:val="16"/>
      </w:rPr>
      <w:t xml:space="preserve">civiceducationkenya.com</w:t>
    </w:r>
    <w:r>
      <w:rPr>
        <w:rFonts w:ascii="Arial" w:cs="Arial" w:eastAsia="Arial" w:hAnsi="Arial"/>
        <w:sz w:val="16"/>
        <w:szCs w:val="16"/>
      </w:rPr>
      <w:t xml:space="preserve">	</w:t>
    </w:r>
    <w:r>
      <w:rPr>
        <w:rFonts w:ascii="Arial" w:cs="Arial" w:eastAsia="Arial" w:hAnsi="Arial"/>
        <w:color w:val="555555"/>
        <w:sz w:val="16"/>
        <w:szCs w:val="16"/>
      </w:rPr>
      <w:t xml:space="preserve">CONFIDENTIAL — INTERNAL USE</w:t>
    </w:r>
    <w:r>
      <w:rPr>
        <w:rFonts w:ascii="Arial" w:cs="Arial" w:eastAsia="Arial" w:hAnsi="Arial"/>
        <w:color w:val="555555"/>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00" w:sz="8" w:space="1"/>
      </w:pBdr>
      <w:tabs>
        <w:tab w:val="right" w:pos="9360"/>
      </w:tabs>
      <w:spacing w:after="80" w:before="0"/>
    </w:pPr>
    <w:r>
      <w:rPr>
        <w:rFonts w:ascii="Arial" w:cs="Arial" w:eastAsia="Arial" w:hAnsi="Arial"/>
        <w:b/>
        <w:bCs/>
        <w:color w:val="006600"/>
        <w:sz w:val="18"/>
        <w:szCs w:val="18"/>
      </w:rPr>
      <w:t xml:space="preserve">CIVIC EDUCATION KENYA (CEKA)</w:t>
    </w:r>
    <w:r>
      <w:rPr>
        <w:rFonts w:ascii="Arial" w:cs="Arial" w:eastAsia="Arial" w:hAnsi="Arial"/>
        <w:color w:val="555555"/>
        <w:sz w:val="18"/>
        <w:szCs w:val="18"/>
      </w:rPr>
      <w:t xml:space="preserve">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66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66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2026-06-08T23:22:17.828Z</dcterms:created>
  <dcterms:modified xsi:type="dcterms:W3CDTF">2026-06-08T23:22:17.828Z</dcterms:modified>
</cp:coreProperties>
</file>

<file path=docProps/custom.xml><?xml version="1.0" encoding="utf-8"?>
<Properties xmlns="http://schemas.openxmlformats.org/officeDocument/2006/custom-properties" xmlns:vt="http://schemas.openxmlformats.org/officeDocument/2006/docPropsVTypes"/>
</file>