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rPr>
          <w:rFonts w:ascii="Arial" w:cs="Arial" w:eastAsia="Arial" w:hAnsi="Arial"/>
        </w:rPr>
        <w:t xml:space="preserve"/>
      </w:r>
    </w:p>
    <w:p>
      <w:pPr>
        <w:spacing w:before="0" w:after="120"/>
        <w:jc w:val="center"/>
      </w:pPr>
      <w:r>
        <w:rPr>
          <w:rFonts w:ascii="Arial" w:cs="Arial" w:eastAsia="Arial" w:hAnsi="Arial"/>
          <w:b/>
          <w:bCs/>
          <w:color w:val="1A6E3C"/>
          <w:sz w:val="48"/>
          <w:szCs w:val="48"/>
        </w:rPr>
        <w:t xml:space="preserve">CIVIC EDUCATION KENYA</w:t>
      </w:r>
    </w:p>
    <w:p>
      <w:pPr>
        <w:spacing w:before="0" w:after="600"/>
        <w:jc w:val="center"/>
      </w:pPr>
      <w:r>
        <w:rPr>
          <w:rFonts w:ascii="Arial" w:cs="Arial" w:eastAsia="Arial" w:hAnsi="Arial"/>
          <w:i/>
          <w:iCs/>
          <w:color w:val="D4A017"/>
          <w:sz w:val="24"/>
          <w:szCs w:val="24"/>
        </w:rPr>
        <w:t xml:space="preserve">Building Kenya's Open Civic Infrastructure</w:t>
      </w:r>
    </w:p>
    <w:p>
      <w:pPr>
        <w:pBdr>
          <w:top w:val="single" w:color="1A6E3C" w:sz="8"/>
          <w:bottom w:val="single" w:color="1A6E3C" w:sz="8"/>
        </w:pBdr>
        <w:spacing w:before="0" w:after="120"/>
        <w:jc w:val="center"/>
      </w:pPr>
      <w:r>
        <w:rPr>
          <w:rFonts w:ascii="Arial" w:cs="Arial" w:eastAsia="Arial" w:hAnsi="Arial"/>
          <w:b/>
          <w:bCs/>
          <w:color w:val="1C1C1C"/>
          <w:sz w:val="40"/>
          <w:szCs w:val="40"/>
        </w:rPr>
        <w:t xml:space="preserve">MEMORANDUM OF UNDERSTANDING</w:t>
      </w:r>
    </w:p>
    <w:p>
      <w:pPr>
        <w:spacing w:before="120" w:after="600"/>
        <w:jc w:val="center"/>
      </w:pPr>
      <w:r>
        <w:rPr>
          <w:rFonts w:ascii="Arial" w:cs="Arial" w:eastAsia="Arial" w:hAnsi="Arial"/>
          <w:b/>
          <w:bCs/>
          <w:color w:val="5A5A5A"/>
          <w:sz w:val="28"/>
          <w:szCs w:val="28"/>
        </w:rPr>
        <w:t xml:space="preserve">PARTNERSHIP TEMPLATE</w:t>
      </w:r>
    </w:p>
    <w:p>
      <w:pPr>
        <w:spacing w:before="0" w:after="200"/>
        <w:jc w:val="center"/>
      </w:pPr>
      <w:r>
        <w:rPr>
          <w:rFonts w:ascii="Arial" w:cs="Arial" w:eastAsia="Arial" w:hAnsi="Arial"/>
          <w:b/>
          <w:bCs/>
          <w:color w:val="5A5A5A"/>
          <w:sz w:val="24"/>
          <w:szCs w:val="24"/>
        </w:rPr>
        <w:t xml:space="preserve">Between</w:t>
      </w:r>
    </w:p>
    <w:p>
      <w:pPr>
        <w:spacing w:before="0" w:after="80"/>
        <w:jc w:val="center"/>
      </w:pPr>
      <w:r>
        <w:rPr>
          <w:rFonts w:ascii="Arial" w:cs="Arial" w:eastAsia="Arial" w:hAnsi="Arial"/>
          <w:b/>
          <w:bCs/>
          <w:color w:val="1A6E3C"/>
          <w:sz w:val="28"/>
          <w:szCs w:val="28"/>
        </w:rPr>
        <w:t xml:space="preserve">CIVIC EDUCATION KENYA (CEKA)</w:t>
      </w:r>
    </w:p>
    <w:p>
      <w:pPr>
        <w:spacing w:before="80" w:after="80"/>
        <w:jc w:val="center"/>
      </w:pPr>
      <w:r>
        <w:rPr>
          <w:rFonts w:ascii="Arial" w:cs="Arial" w:eastAsia="Arial" w:hAnsi="Arial"/>
          <w:i/>
          <w:iCs/>
          <w:color w:val="5A5A5A"/>
          <w:sz w:val="24"/>
          <w:szCs w:val="24"/>
        </w:rPr>
        <w:t xml:space="preserve">and</w:t>
      </w:r>
    </w:p>
    <w:p>
      <w:pPr>
        <w:spacing w:before="0" w:after="600"/>
        <w:jc w:val="center"/>
      </w:pPr>
      <w:r>
        <w:rPr>
          <w:rFonts w:ascii="Arial" w:cs="Arial" w:eastAsia="Arial" w:hAnsi="Arial"/>
          <w:b/>
          <w:bCs/>
          <w:color w:val="8B0000"/>
          <w:sz w:val="22"/>
          <w:szCs w:val="22"/>
          <w:highlight w:val="yellow"/>
          <w:highlightCs w:val="yellow"/>
        </w:rPr>
        <w:t xml:space="preserve">[PARTNER ORGANIZATION FULL NAME]</w:t>
      </w:r>
    </w:p>
    <w:p>
      <w:pPr>
        <w:spacing w:before="0" w:after="240"/>
      </w:pPr>
      <w:r>
        <w:rPr>
          <w:rFonts w:ascii="Arial" w:cs="Arial" w:eastAsia="Arial" w:hAnsi="Arial"/>
          <w:sz w:val="22"/>
          <w:szCs w:val="22"/>
        </w:rP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none" w:color="FFFFFF" w:sz="0"/>
              <w:left w:val="none" w:color="FFFFFF" w:sz="0"/>
              <w:bottom w:val="none" w:color="FFFFFF" w:sz="0"/>
              <w:right w:val="none" w:color="FFFFFF" w:sz="0"/>
            </w:tcBorders>
            <w:shd w:fill="E8F5EE" w:val="clear"/>
            <w:tcMar>
              <w:top w:type="dxa" w:w="80"/>
              <w:left w:type="dxa" w:w="120"/>
              <w:bottom w:type="dxa" w:w="80"/>
              <w:right w:type="dxa" w:w="120"/>
            </w:tcMar>
          </w:tcPr>
          <w:p>
            <w:pPr>
              <w:spacing w:before="80" w:after="80"/>
            </w:pPr>
            <w:r>
              <w:rPr>
                <w:rFonts w:ascii="Arial" w:cs="Arial" w:eastAsia="Arial" w:hAnsi="Arial"/>
                <w:b/>
                <w:bCs/>
                <w:color w:val="1C1C1C"/>
                <w:sz w:val="22"/>
                <w:szCs w:val="22"/>
              </w:rPr>
              <w:t xml:space="preserve">Reference No.:</w:t>
            </w:r>
          </w:p>
          <w:p>
            <w:pPr>
              <w:spacing w:before="80" w:after="80"/>
            </w:pPr>
            <w:r>
              <w:rPr>
                <w:rFonts w:ascii="Arial" w:cs="Arial" w:eastAsia="Arial" w:hAnsi="Arial"/>
                <w:b/>
                <w:bCs/>
                <w:color w:val="1C1C1C"/>
                <w:sz w:val="22"/>
                <w:szCs w:val="22"/>
              </w:rPr>
              <w:t xml:space="preserve">Effective Date:</w:t>
            </w:r>
          </w:p>
          <w:p>
            <w:pPr>
              <w:spacing w:before="80" w:after="80"/>
            </w:pPr>
            <w:r>
              <w:rPr>
                <w:rFonts w:ascii="Arial" w:cs="Arial" w:eastAsia="Arial" w:hAnsi="Arial"/>
                <w:b/>
                <w:bCs/>
                <w:color w:val="1C1C1C"/>
                <w:sz w:val="22"/>
                <w:szCs w:val="22"/>
              </w:rPr>
              <w:t xml:space="preserve">MoU Duration:</w:t>
            </w:r>
          </w:p>
          <w:p>
            <w:pPr>
              <w:spacing w:before="80" w:after="80"/>
            </w:pPr>
            <w:r>
              <w:rPr>
                <w:rFonts w:ascii="Arial" w:cs="Arial" w:eastAsia="Arial" w:hAnsi="Arial"/>
                <w:b/>
                <w:bCs/>
                <w:color w:val="1C1C1C"/>
                <w:sz w:val="22"/>
                <w:szCs w:val="22"/>
              </w:rPr>
              <w:t xml:space="preserve">Governing Law:</w:t>
            </w:r>
          </w:p>
        </w:tc>
        <w:tc>
          <w:tcPr>
            <w:tcW w:type="dxa" w:w="2880"/>
            <w:tcBorders>
              <w:top w:val="none" w:color="FFFFFF" w:sz="0"/>
              <w:left w:val="none" w:color="FFFFFF" w:sz="0"/>
              <w:bottom w:val="none" w:color="FFFFFF" w:sz="0"/>
              <w:right w:val="none" w:color="FFFFFF" w:sz="0"/>
            </w:tcBorders>
            <w:shd w:fill="F0F7F4" w:val="clear"/>
            <w:tcMar>
              <w:top w:type="dxa" w:w="80"/>
              <w:left w:type="dxa" w:w="120"/>
              <w:bottom w:type="dxa" w:w="80"/>
              <w:right w:type="dxa" w:w="120"/>
            </w:tcMar>
          </w:tcPr>
          <w:p>
            <w:pPr>
              <w:spacing w:before="80" w:after="80"/>
            </w:pPr>
            <w:r>
              <w:rPr>
                <w:rFonts w:ascii="Arial" w:cs="Arial" w:eastAsia="Arial" w:hAnsi="Arial"/>
                <w:b/>
                <w:bCs/>
                <w:color w:val="8B0000"/>
                <w:sz w:val="22"/>
                <w:szCs w:val="22"/>
                <w:highlight w:val="yellow"/>
                <w:highlightCs w:val="yellow"/>
              </w:rPr>
              <w:t xml:space="preserve">[e.g. CEKA-PARTNER-MOU-2025-00X]</w:t>
            </w:r>
          </w:p>
          <w:p>
            <w:pPr>
              <w:spacing w:before="80" w:after="80"/>
            </w:pPr>
            <w:r>
              <w:rPr>
                <w:rFonts w:ascii="Arial" w:cs="Arial" w:eastAsia="Arial" w:hAnsi="Arial"/>
                <w:b/>
                <w:bCs/>
                <w:color w:val="8B0000"/>
                <w:sz w:val="22"/>
                <w:szCs w:val="22"/>
                <w:highlight w:val="yellow"/>
                <w:highlightCs w:val="yellow"/>
              </w:rPr>
              <w:t xml:space="preserve">[DD Month YYYY]</w:t>
            </w:r>
          </w:p>
          <w:p>
            <w:pPr>
              <w:spacing w:before="80" w:after="80"/>
            </w:pPr>
            <w:r>
              <w:rPr>
                <w:rFonts w:ascii="Arial" w:cs="Arial" w:eastAsia="Arial" w:hAnsi="Arial"/>
                <w:b/>
                <w:bCs/>
                <w:color w:val="8B0000"/>
                <w:sz w:val="22"/>
                <w:szCs w:val="22"/>
                <w:highlight w:val="yellow"/>
                <w:highlightCs w:val="yellow"/>
              </w:rPr>
              <w:t xml:space="preserve">[e.g. 12 months / 24 months]</w:t>
            </w:r>
          </w:p>
          <w:p>
            <w:pPr>
              <w:spacing w:before="80" w:after="80"/>
            </w:pPr>
            <w:r>
              <w:rPr>
                <w:rFonts w:ascii="Arial" w:cs="Arial" w:eastAsia="Arial" w:hAnsi="Arial"/>
                <w:color w:val="1C1C1C"/>
                <w:sz w:val="22"/>
                <w:szCs w:val="22"/>
              </w:rPr>
              <w:t xml:space="preserve">Republic of Kenya</w:t>
            </w:r>
          </w:p>
        </w:tc>
      </w:tr>
    </w:tbl>
    <w:p>
      <w:pPr>
        <w:spacing w:before="0" w:after="240"/>
      </w:pPr>
      <w:r>
        <w:rPr>
          <w:rFonts w:ascii="Arial" w:cs="Arial" w:eastAsia="Arial" w:hAnsi="Arial"/>
          <w:sz w:val="22"/>
          <w:szCs w:val="22"/>
        </w:rPr>
        <w:t xml:space="preserve"/>
      </w:r>
    </w:p>
    <w:p>
      <w:pPr>
        <w:spacing w:before="200" w:after="200"/>
        <w:jc w:val="center"/>
      </w:pPr>
      <w:r>
        <w:rPr>
          <w:rFonts w:ascii="Arial" w:cs="Arial" w:eastAsia="Arial" w:hAnsi="Arial"/>
          <w:i/>
          <w:iCs/>
          <w:color w:val="8B0000"/>
          <w:sz w:val="20"/>
          <w:szCs w:val="20"/>
        </w:rPr>
        <w:t xml:space="preserve">All fields highlighted in yellow and marked with [BRACKETS] must be completed by the relevant party prior to execution.</w:t>
      </w:r>
    </w:p>
    <w:p>
      <w:pPr>
        <w:spacing w:before="0" w:after="0"/>
      </w:pPr>
      <w:r>
        <w:br w:type="pag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1. PREAMBLE</w:t>
      </w:r>
    </w:p>
    <w:p>
      <w:pPr>
        <w:spacing w:before="80" w:after="80"/>
      </w:pPr>
      <w:r>
        <w:rPr>
          <w:rFonts w:ascii="Arial" w:cs="Arial" w:eastAsia="Arial" w:hAnsi="Arial"/>
          <w:color w:val="1C1C1C"/>
          <w:sz w:val="22"/>
          <w:szCs w:val="22"/>
        </w:rPr>
        <w:t xml:space="preserve">This Memorandum of Understanding ("MoU") is entered into on this </w:t>
      </w:r>
      <w:r>
        <w:rPr>
          <w:rFonts w:ascii="Arial" w:cs="Arial" w:eastAsia="Arial" w:hAnsi="Arial"/>
          <w:b/>
          <w:bCs/>
          <w:color w:val="8B0000"/>
          <w:sz w:val="22"/>
          <w:szCs w:val="22"/>
          <w:highlight w:val="yellow"/>
          <w:highlightCs w:val="yellow"/>
        </w:rPr>
        <w:t xml:space="preserve">[DAY]</w:t>
      </w:r>
      <w:r>
        <w:rPr>
          <w:rFonts w:ascii="Arial" w:cs="Arial" w:eastAsia="Arial" w:hAnsi="Arial"/>
          <w:color w:val="1C1C1C"/>
          <w:sz w:val="22"/>
          <w:szCs w:val="22"/>
        </w:rPr>
        <w:t xml:space="preserve"> day of </w:t>
      </w:r>
      <w:r>
        <w:rPr>
          <w:rFonts w:ascii="Arial" w:cs="Arial" w:eastAsia="Arial" w:hAnsi="Arial"/>
          <w:b/>
          <w:bCs/>
          <w:color w:val="8B0000"/>
          <w:sz w:val="22"/>
          <w:szCs w:val="22"/>
          <w:highlight w:val="yellow"/>
          <w:highlightCs w:val="yellow"/>
        </w:rPr>
        <w:t xml:space="preserve">[MONTH]</w:t>
      </w:r>
      <w:r>
        <w:rPr>
          <w:rFonts w:ascii="Arial" w:cs="Arial" w:eastAsia="Arial" w:hAnsi="Arial"/>
          <w:color w:val="1C1C1C"/>
          <w:sz w:val="22"/>
          <w:szCs w:val="22"/>
        </w:rPr>
        <w:t xml:space="preserve"> </w:t>
      </w:r>
      <w:r>
        <w:rPr>
          <w:rFonts w:ascii="Arial" w:cs="Arial" w:eastAsia="Arial" w:hAnsi="Arial"/>
          <w:b/>
          <w:bCs/>
          <w:color w:val="8B0000"/>
          <w:sz w:val="22"/>
          <w:szCs w:val="22"/>
          <w:highlight w:val="yellow"/>
          <w:highlightCs w:val="yellow"/>
        </w:rPr>
        <w:t xml:space="preserve">[YEAR]</w:t>
      </w:r>
      <w:r>
        <w:rPr>
          <w:rFonts w:ascii="Arial" w:cs="Arial" w:eastAsia="Arial" w:hAnsi="Arial"/>
          <w:color w:val="1C1C1C"/>
          <w:sz w:val="22"/>
          <w:szCs w:val="22"/>
        </w:rPr>
        <w:t xml:space="preserve">, between:</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6"/>
              <w:left w:val="single" w:color="1A6E3C" w:sz="6"/>
              <w:bottom w:val="single" w:color="1A6E3C" w:sz="6"/>
              <w:right w:val="single" w:color="1A6E3C" w:sz="6"/>
            </w:tcBorders>
            <w:shd w:fill="E8F5EE" w:val="clear"/>
            <w:tcMar>
              <w:top w:type="dxa" w:w="120"/>
              <w:left w:type="dxa" w:w="180"/>
              <w:bottom w:type="dxa" w:w="120"/>
              <w:right w:type="dxa" w:w="180"/>
            </w:tcMar>
          </w:tcPr>
          <w:p>
            <w:pPr>
              <w:spacing w:before="80" w:after="80"/>
            </w:pPr>
            <w:r>
              <w:rPr>
                <w:rFonts w:ascii="Arial" w:cs="Arial" w:eastAsia="Arial" w:hAnsi="Arial"/>
                <w:b/>
                <w:bCs/>
                <w:color w:val="1C1C1C"/>
                <w:sz w:val="22"/>
                <w:szCs w:val="22"/>
              </w:rPr>
              <w:t xml:space="preserve">CIVIC EDUCATION KENYA (CEKA)</w:t>
            </w:r>
            <w:r>
              <w:rPr>
                <w:rFonts w:ascii="Arial" w:cs="Arial" w:eastAsia="Arial" w:hAnsi="Arial"/>
                <w:color w:val="1C1C1C"/>
                <w:sz w:val="22"/>
                <w:szCs w:val="22"/>
              </w:rPr>
              <w:t xml:space="preserve">, a civic education initiative operating as an open civic infrastructure network in Kenya, with principal contact at civiceducationkenya@gmail.com (hereinafter referred to as "CEKA"),</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AND</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8B0000"/>
                <w:sz w:val="22"/>
                <w:szCs w:val="22"/>
                <w:highlight w:val="yellow"/>
                <w:highlightCs w:val="yellow"/>
              </w:rPr>
              <w:t xml:space="preserve">[PARTNER ORGANIZATION FULL NAME]</w:t>
            </w:r>
            <w:r>
              <w:rPr>
                <w:rFonts w:ascii="Arial" w:cs="Arial" w:eastAsia="Arial" w:hAnsi="Arial"/>
                <w:color w:val="1C1C1C"/>
                <w:sz w:val="22"/>
                <w:szCs w:val="22"/>
              </w:rPr>
              <w:t xml:space="preserve">, </w:t>
            </w:r>
            <w:r>
              <w:rPr>
                <w:rFonts w:ascii="Arial" w:cs="Arial" w:eastAsia="Arial" w:hAnsi="Arial"/>
                <w:b/>
                <w:bCs/>
                <w:color w:val="8B0000"/>
                <w:sz w:val="22"/>
                <w:szCs w:val="22"/>
                <w:highlight w:val="yellow"/>
                <w:highlightCs w:val="yellow"/>
              </w:rPr>
              <w:t xml:space="preserve">[a brief one-sentence description of the partner organization's mandate and registration/operating status in Kenya]</w:t>
            </w:r>
            <w:r>
              <w:rPr>
                <w:rFonts w:ascii="Arial" w:cs="Arial" w:eastAsia="Arial" w:hAnsi="Arial"/>
                <w:color w:val="1C1C1C"/>
                <w:sz w:val="22"/>
                <w:szCs w:val="22"/>
              </w:rPr>
              <w:t xml:space="preserve"> (hereinafter referred to as "the Partner"),</w:t>
            </w:r>
          </w:p>
          <w:p>
            <w:pPr>
              <w:spacing w:before="0" w:after="120"/>
            </w:pPr>
            <w:r>
              <w:rPr>
                <w:rFonts w:ascii="Arial" w:cs="Arial" w:eastAsia="Arial" w:hAnsi="Arial"/>
                <w:sz w:val="22"/>
                <w:szCs w:val="22"/>
              </w:rPr>
              <w:t xml:space="preserve"/>
            </w:r>
          </w:p>
          <w:p>
            <w:pPr>
              <w:spacing w:before="80" w:after="80"/>
            </w:pPr>
            <w:r>
              <w:rPr>
                <w:rFonts w:ascii="Arial" w:cs="Arial" w:eastAsia="Arial" w:hAnsi="Arial"/>
                <w:i/>
                <w:iCs/>
                <w:color w:val="1C1C1C"/>
                <w:sz w:val="22"/>
                <w:szCs w:val="22"/>
              </w:rPr>
              <w:t xml:space="preserve">(collectively referred to as "the Parties" and individually as "a Party")</w:t>
            </w:r>
          </w:p>
        </w:tc>
      </w:tr>
    </w:tbl>
    <w:p>
      <w:pPr>
        <w:spacing w:before="0" w:after="12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WHEREAS:</w:t>
      </w:r>
    </w:p>
    <w:p>
      <w:pPr>
        <w:pStyle w:val="ListParagraph"/>
        <w:numPr>
          <w:ilvl w:val="0"/>
          <w:numId w:val="2"/>
        </w:numPr>
        <w:spacing w:before="60" w:after="60"/>
      </w:pPr>
      <w:r>
        <w:rPr>
          <w:rFonts w:ascii="Arial" w:cs="Arial" w:eastAsia="Arial" w:hAnsi="Arial"/>
          <w:color w:val="1C1C1C"/>
          <w:sz w:val="22"/>
          <w:szCs w:val="22"/>
        </w:rPr>
        <w:t xml:space="preserve">CEKA has developed digital civic infrastructure including the </w:t>
      </w:r>
      <w:r>
        <w:rPr>
          <w:rFonts w:ascii="Arial" w:cs="Arial" w:eastAsia="Arial" w:hAnsi="Arial"/>
          <w:b/>
          <w:bCs/>
          <w:color w:val="1C1C1C"/>
          <w:sz w:val="22"/>
          <w:szCs w:val="22"/>
        </w:rPr>
        <w:t xml:space="preserve">Nasaka IEBC platform</w:t>
      </w:r>
      <w:r>
        <w:rPr>
          <w:rFonts w:ascii="Arial" w:cs="Arial" w:eastAsia="Arial" w:hAnsi="Arial"/>
          <w:color w:val="1C1C1C"/>
          <w:sz w:val="22"/>
          <w:szCs w:val="22"/>
        </w:rPr>
        <w:t xml:space="preserve">, a civic data transparency tool designed to help Kenyan citizens locate Independent Electoral and Boundaries Commission (IEBC) voter registration centers and access critical electoral information;</w:t>
      </w:r>
    </w:p>
    <w:p>
      <w:pPr>
        <w:pStyle w:val="ListParagraph"/>
        <w:numPr>
          <w:ilvl w:val="0"/>
          <w:numId w:val="2"/>
        </w:numPr>
        <w:spacing w:before="60" w:after="60"/>
      </w:pPr>
      <w:r>
        <w:rPr>
          <w:rFonts w:ascii="Arial" w:cs="Arial" w:eastAsia="Arial" w:hAnsi="Arial"/>
          <w:color w:val="1C1C1C"/>
          <w:sz w:val="22"/>
          <w:szCs w:val="22"/>
        </w:rPr>
        <w:t xml:space="preserve">The Partner </w:t>
      </w:r>
      <w:r>
        <w:rPr>
          <w:rFonts w:ascii="Arial" w:cs="Arial" w:eastAsia="Arial" w:hAnsi="Arial"/>
          <w:b/>
          <w:bCs/>
          <w:color w:val="8B0000"/>
          <w:sz w:val="22"/>
          <w:szCs w:val="22"/>
          <w:highlight w:val="yellow"/>
          <w:highlightCs w:val="yellow"/>
        </w:rPr>
        <w:t xml:space="preserve">[brief description of Partner's core work, programmes, and community mandate]</w:t>
      </w:r>
      <w:r>
        <w:rPr>
          <w:rFonts w:ascii="Arial" w:cs="Arial" w:eastAsia="Arial" w:hAnsi="Arial"/>
          <w:color w:val="1C1C1C"/>
          <w:sz w:val="22"/>
          <w:szCs w:val="22"/>
        </w:rPr>
        <w:t xml:space="preserve">;</w:t>
      </w:r>
    </w:p>
    <w:p>
      <w:pPr>
        <w:pStyle w:val="ListParagraph"/>
        <w:numPr>
          <w:ilvl w:val="0"/>
          <w:numId w:val="2"/>
        </w:numPr>
        <w:spacing w:before="60" w:after="60"/>
      </w:pPr>
      <w:r>
        <w:rPr>
          <w:rFonts w:ascii="Arial" w:cs="Arial" w:eastAsia="Arial" w:hAnsi="Arial"/>
          <w:color w:val="1C1C1C"/>
          <w:sz w:val="22"/>
          <w:szCs w:val="22"/>
        </w:rPr>
        <w:t xml:space="preserve">Both Parties recognize the </w:t>
      </w:r>
      <w:r>
        <w:rPr>
          <w:rFonts w:ascii="Arial" w:cs="Arial" w:eastAsia="Arial" w:hAnsi="Arial"/>
          <w:b/>
          <w:bCs/>
          <w:color w:val="8B0000"/>
          <w:sz w:val="22"/>
          <w:szCs w:val="22"/>
          <w:highlight w:val="yellow"/>
          <w:highlightCs w:val="yellow"/>
        </w:rPr>
        <w:t xml:space="preserve">[shared problem or urgent need that this collaboration addresses]</w:t>
      </w:r>
      <w:r>
        <w:rPr>
          <w:rFonts w:ascii="Arial" w:cs="Arial" w:eastAsia="Arial" w:hAnsi="Arial"/>
          <w:color w:val="1C1C1C"/>
          <w:sz w:val="22"/>
          <w:szCs w:val="22"/>
        </w:rPr>
        <w:t xml:space="preserve">;</w:t>
      </w:r>
    </w:p>
    <w:p>
      <w:pPr>
        <w:pStyle w:val="ListParagraph"/>
        <w:numPr>
          <w:ilvl w:val="0"/>
          <w:numId w:val="2"/>
        </w:numPr>
        <w:spacing w:before="60" w:after="60"/>
      </w:pPr>
      <w:r>
        <w:rPr>
          <w:rFonts w:ascii="Arial" w:cs="Arial" w:eastAsia="Arial" w:hAnsi="Arial"/>
          <w:color w:val="1C1C1C"/>
          <w:sz w:val="22"/>
          <w:szCs w:val="22"/>
        </w:rPr>
        <w:t xml:space="preserve">The Parties have identified significant alignment in their missions, methodologies, and target constituencies, particularly </w:t>
      </w:r>
      <w:r>
        <w:rPr>
          <w:rFonts w:ascii="Arial" w:cs="Arial" w:eastAsia="Arial" w:hAnsi="Arial"/>
          <w:b/>
          <w:bCs/>
          <w:color w:val="8B0000"/>
          <w:sz w:val="22"/>
          <w:szCs w:val="22"/>
          <w:highlight w:val="yellow"/>
          <w:highlightCs w:val="yellow"/>
        </w:rPr>
        <w:t xml:space="preserve">[primary shared constituency — e.g. Kenya's youth demographic / rural communities / civic actors]</w:t>
      </w:r>
      <w:r>
        <w:rPr>
          <w:rFonts w:ascii="Arial" w:cs="Arial" w:eastAsia="Arial" w:hAnsi="Arial"/>
          <w:color w:val="1C1C1C"/>
          <w:sz w:val="22"/>
          <w:szCs w:val="22"/>
        </w:rPr>
        <w:t xml:space="preserve">;</w:t>
      </w:r>
    </w:p>
    <w:p>
      <w:pPr>
        <w:pStyle w:val="ListParagraph"/>
        <w:numPr>
          <w:ilvl w:val="0"/>
          <w:numId w:val="2"/>
        </w:numPr>
        <w:spacing w:before="60" w:after="60"/>
      </w:pPr>
      <w:r>
        <w:rPr>
          <w:rFonts w:ascii="Arial" w:cs="Arial" w:eastAsia="Arial" w:hAnsi="Arial"/>
          <w:b/>
          <w:bCs/>
          <w:color w:val="8B0000"/>
          <w:sz w:val="22"/>
          <w:szCs w:val="22"/>
          <w:highlight w:val="yellow"/>
          <w:highlightCs w:val="yellow"/>
        </w:rPr>
        <w:t xml:space="preserve">[Any other relevant WHEREAS clause — e.g. date of collaborative planning meeting or prior engagement]</w:t>
      </w:r>
      <w:r>
        <w:rPr>
          <w:rFonts w:ascii="Arial" w:cs="Arial" w:eastAsia="Arial" w:hAnsi="Arial"/>
          <w:color w:val="1C1C1C"/>
          <w:sz w:val="22"/>
          <w:szCs w:val="22"/>
        </w:rPr>
        <w:t xml:space="preserv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NOW THEREFORE</w:t>
      </w:r>
      <w:r>
        <w:rPr>
          <w:rFonts w:ascii="Arial" w:cs="Arial" w:eastAsia="Arial" w:hAnsi="Arial"/>
          <w:color w:val="1C1C1C"/>
          <w:sz w:val="22"/>
          <w:szCs w:val="22"/>
        </w:rPr>
        <w:t xml:space="preserve">, the Parties agree to collaborate under the terms set forth in this Memorandum of Understanding.</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2. DEFINITIONS</w:t>
      </w:r>
    </w:p>
    <w:p>
      <w:pPr>
        <w:spacing w:before="80" w:after="80"/>
      </w:pPr>
      <w:r>
        <w:rPr>
          <w:rFonts w:ascii="Arial" w:cs="Arial" w:eastAsia="Arial" w:hAnsi="Arial"/>
          <w:color w:val="1C1C1C"/>
          <w:sz w:val="22"/>
          <w:szCs w:val="22"/>
        </w:rPr>
        <w:t xml:space="preserve">For the purposes of this MoU, the following terms shall have the meanings set forth below:</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"Nasaka IEBC" </w:t>
      </w:r>
      <w:r>
        <w:rPr>
          <w:rFonts w:ascii="Arial" w:cs="Arial" w:eastAsia="Arial" w:hAnsi="Arial"/>
          <w:color w:val="1C1C1C"/>
          <w:sz w:val="22"/>
          <w:szCs w:val="22"/>
        </w:rPr>
        <w:t xml:space="preserve">means the CEKA-owned digital platform and associated services designed to help Kenyan citizens locate IEBC voter registration centers, comprising the web application, backend infrastructure, data verification systems, mapping interfaces, offline functionality components, and all related technical systems.</w:t>
      </w:r>
    </w:p>
    <w:p>
      <w:pPr>
        <w:spacing w:before="80" w:after="80"/>
      </w:pPr>
      <w:r>
        <w:rPr>
          <w:rFonts w:ascii="Arial" w:cs="Arial" w:eastAsia="Arial" w:hAnsi="Arial"/>
          <w:b/>
          <w:bCs/>
          <w:color w:val="1C1C1C"/>
          <w:sz w:val="22"/>
          <w:szCs w:val="22"/>
        </w:rPr>
        <w:t xml:space="preserve">"Partner Platform(s)" </w:t>
      </w:r>
      <w:r>
        <w:rPr>
          <w:rFonts w:ascii="Arial" w:cs="Arial" w:eastAsia="Arial" w:hAnsi="Arial"/>
          <w:color w:val="1C1C1C"/>
          <w:sz w:val="22"/>
          <w:szCs w:val="22"/>
        </w:rPr>
        <w:t xml:space="preserve">means </w:t>
      </w:r>
      <w:r>
        <w:rPr>
          <w:rFonts w:ascii="Arial" w:cs="Arial" w:eastAsia="Arial" w:hAnsi="Arial"/>
          <w:b/>
          <w:bCs/>
          <w:color w:val="8B0000"/>
          <w:sz w:val="22"/>
          <w:szCs w:val="22"/>
          <w:highlight w:val="yellow"/>
          <w:highlightCs w:val="yellow"/>
        </w:rPr>
        <w:t xml:space="preserve">[name(s) of Partner's platforms, channels, radio, app, or physical infrastructure used in this collaboration]</w:t>
      </w:r>
      <w:r>
        <w:rPr>
          <w:rFonts w:ascii="Arial" w:cs="Arial" w:eastAsia="Arial" w:hAnsi="Arial"/>
          <w:color w:val="1C1C1C"/>
          <w:sz w:val="22"/>
          <w:szCs w:val="22"/>
        </w:rPr>
        <w:t xml:space="preserve">, as described in Annexure A.</w:t>
      </w:r>
    </w:p>
    <w:p>
      <w:pPr>
        <w:spacing w:before="80" w:after="80"/>
      </w:pPr>
      <w:r>
        <w:rPr>
          <w:rFonts w:ascii="Arial" w:cs="Arial" w:eastAsia="Arial" w:hAnsi="Arial"/>
          <w:b/>
          <w:bCs/>
          <w:color w:val="1C1C1C"/>
          <w:sz w:val="22"/>
          <w:szCs w:val="22"/>
        </w:rPr>
        <w:t xml:space="preserve">"Confidential Information" </w:t>
      </w:r>
      <w:r>
        <w:rPr>
          <w:rFonts w:ascii="Arial" w:cs="Arial" w:eastAsia="Arial" w:hAnsi="Arial"/>
          <w:color w:val="1C1C1C"/>
          <w:sz w:val="22"/>
          <w:szCs w:val="22"/>
        </w:rPr>
        <w:t xml:space="preserve">means any and all non-public information disclosed by one Party to the other, whether orally, in writing, electronically, or by any other means, including but not limited to: strategic plans, campaign calendars, donor relationships and funding proposals, financial records and budget allocations, unpublished research and civic intelligence reports, user analytics and platform performance data, technical specifications and system architecture, personnel information and volunteer databases, internal communications and meeting notes, proprietary methodologies and operational protocols, and any information explicitly marked or verbally designated as "confidential" at the time of disclosure.</w:t>
      </w:r>
    </w:p>
    <w:p>
      <w:pPr>
        <w:spacing w:before="80" w:after="80"/>
      </w:pPr>
      <w:r>
        <w:rPr>
          <w:rFonts w:ascii="Arial" w:cs="Arial" w:eastAsia="Arial" w:hAnsi="Arial"/>
          <w:b/>
          <w:bCs/>
          <w:color w:val="1C1C1C"/>
          <w:sz w:val="22"/>
          <w:szCs w:val="22"/>
        </w:rPr>
        <w:t xml:space="preserve">"Personal Data" </w:t>
      </w:r>
      <w:r>
        <w:rPr>
          <w:rFonts w:ascii="Arial" w:cs="Arial" w:eastAsia="Arial" w:hAnsi="Arial"/>
          <w:color w:val="1C1C1C"/>
          <w:sz w:val="22"/>
          <w:szCs w:val="22"/>
        </w:rPr>
        <w:t xml:space="preserve">means any information relating to an identified or identifiable natural person, as defined under the Kenya Data Protection Act, 2019.</w:t>
      </w:r>
    </w:p>
    <w:p>
      <w:pPr>
        <w:spacing w:before="80" w:after="80"/>
      </w:pPr>
      <w:r>
        <w:rPr>
          <w:rFonts w:ascii="Arial" w:cs="Arial" w:eastAsia="Arial" w:hAnsi="Arial"/>
          <w:b/>
          <w:bCs/>
          <w:color w:val="1C1C1C"/>
          <w:sz w:val="22"/>
          <w:szCs w:val="22"/>
        </w:rPr>
        <w:t xml:space="preserve">"Co-branded Materials" </w:t>
      </w:r>
      <w:r>
        <w:rPr>
          <w:rFonts w:ascii="Arial" w:cs="Arial" w:eastAsia="Arial" w:hAnsi="Arial"/>
          <w:color w:val="1C1C1C"/>
          <w:sz w:val="22"/>
          <w:szCs w:val="22"/>
        </w:rPr>
        <w:t xml:space="preserve">means any communications, graphics, digital content, physical collateral, multimedia productions, or other outputs that display both Parties' names, logos, trademarks, or organizational identities, created jointly or individually for collaborative activities under this MoU.</w:t>
      </w:r>
    </w:p>
    <w:p>
      <w:pPr>
        <w:spacing w:before="80" w:after="80"/>
      </w:pPr>
      <w:r>
        <w:rPr>
          <w:rFonts w:ascii="Arial" w:cs="Arial" w:eastAsia="Arial" w:hAnsi="Arial"/>
          <w:b/>
          <w:bCs/>
          <w:color w:val="1C1C1C"/>
          <w:sz w:val="22"/>
          <w:szCs w:val="22"/>
        </w:rPr>
        <w:t xml:space="preserve">"Campaign Materials" </w:t>
      </w:r>
      <w:r>
        <w:rPr>
          <w:rFonts w:ascii="Arial" w:cs="Arial" w:eastAsia="Arial" w:hAnsi="Arial"/>
          <w:color w:val="1C1C1C"/>
          <w:sz w:val="22"/>
          <w:szCs w:val="22"/>
        </w:rPr>
        <w:t xml:space="preserve">means all content assets developed by either Party for </w:t>
      </w:r>
      <w:r>
        <w:rPr>
          <w:rFonts w:ascii="Arial" w:cs="Arial" w:eastAsia="Arial" w:hAnsi="Arial"/>
          <w:b/>
          <w:bCs/>
          <w:color w:val="8B0000"/>
          <w:sz w:val="22"/>
          <w:szCs w:val="22"/>
          <w:highlight w:val="yellow"/>
          <w:highlightCs w:val="yellow"/>
        </w:rPr>
        <w:t xml:space="preserve">[type of campaign — e.g. voter registration, civic education, community mobilisation]</w:t>
      </w:r>
      <w:r>
        <w:rPr>
          <w:rFonts w:ascii="Arial" w:cs="Arial" w:eastAsia="Arial" w:hAnsi="Arial"/>
          <w:color w:val="1C1C1C"/>
          <w:sz w:val="22"/>
          <w:szCs w:val="22"/>
        </w:rPr>
        <w:t xml:space="preserve"> initiatives, including </w:t>
      </w:r>
      <w:r>
        <w:rPr>
          <w:rFonts w:ascii="Arial" w:cs="Arial" w:eastAsia="Arial" w:hAnsi="Arial"/>
          <w:b/>
          <w:bCs/>
          <w:color w:val="8B0000"/>
          <w:sz w:val="22"/>
          <w:szCs w:val="22"/>
          <w:highlight w:val="yellow"/>
          <w:highlightCs w:val="yellow"/>
        </w:rPr>
        <w:t xml:space="preserve">[formats applicable — e.g. posters, infographics, social media content, audio scripts, video, pamphlets, training decks]</w:t>
      </w:r>
      <w:r>
        <w:rPr>
          <w:rFonts w:ascii="Arial" w:cs="Arial" w:eastAsia="Arial" w:hAnsi="Arial"/>
          <w:color w:val="1C1C1C"/>
          <w:sz w:val="22"/>
          <w:szCs w:val="22"/>
        </w:rPr>
        <w:t xml:space="preserve">.</w:t>
      </w:r>
    </w:p>
    <w:p>
      <w:pPr>
        <w:spacing w:before="80" w:after="80"/>
      </w:pPr>
      <w:r>
        <w:rPr>
          <w:rFonts w:ascii="Arial" w:cs="Arial" w:eastAsia="Arial" w:hAnsi="Arial"/>
          <w:b/>
          <w:bCs/>
          <w:color w:val="1C1C1C"/>
          <w:sz w:val="22"/>
          <w:szCs w:val="22"/>
        </w:rPr>
        <w:t xml:space="preserve">"Deliverable" </w:t>
      </w:r>
      <w:r>
        <w:rPr>
          <w:rFonts w:ascii="Arial" w:cs="Arial" w:eastAsia="Arial" w:hAnsi="Arial"/>
          <w:color w:val="1C1C1C"/>
          <w:sz w:val="22"/>
          <w:szCs w:val="22"/>
        </w:rPr>
        <w:t xml:space="preserve">means any tangible or intangible output, milestone, or result specified in Annexure B (Planned Activities &amp; Deliverables) or subsequently agreed upon in writing by both Parties.</w:t>
      </w:r>
    </w:p>
    <w:p>
      <w:pPr>
        <w:spacing w:before="80" w:after="80"/>
      </w:pPr>
      <w:r>
        <w:rPr>
          <w:rFonts w:ascii="Arial" w:cs="Arial" w:eastAsia="Arial" w:hAnsi="Arial"/>
          <w:b/>
          <w:bCs/>
          <w:color w:val="1C1C1C"/>
          <w:sz w:val="22"/>
          <w:szCs w:val="22"/>
        </w:rPr>
        <w:t xml:space="preserve">"Steering Group" </w:t>
      </w:r>
      <w:r>
        <w:rPr>
          <w:rFonts w:ascii="Arial" w:cs="Arial" w:eastAsia="Arial" w:hAnsi="Arial"/>
          <w:color w:val="1C1C1C"/>
          <w:sz w:val="22"/>
          <w:szCs w:val="22"/>
        </w:rPr>
        <w:t xml:space="preserve">means the coordination and decision-making body established under Section 5 of this MoU, comprising designated focal persons from each Party.</w:t>
      </w:r>
    </w:p>
    <w:p>
      <w:pPr>
        <w:spacing w:before="80" w:after="80"/>
      </w:pPr>
      <w:r>
        <w:rPr>
          <w:rFonts w:ascii="Arial" w:cs="Arial" w:eastAsia="Arial" w:hAnsi="Arial"/>
          <w:b/>
          <w:bCs/>
          <w:color w:val="1C1C1C"/>
          <w:sz w:val="22"/>
          <w:szCs w:val="22"/>
        </w:rPr>
        <w:t xml:space="preserve">"Effective Date" </w:t>
      </w:r>
      <w:r>
        <w:rPr>
          <w:rFonts w:ascii="Arial" w:cs="Arial" w:eastAsia="Arial" w:hAnsi="Arial"/>
          <w:color w:val="1C1C1C"/>
          <w:sz w:val="22"/>
          <w:szCs w:val="22"/>
        </w:rPr>
        <w:t xml:space="preserve">means the date on which this MoU is signed by both Parties or the later of the two signature dates if signed on different dates.</w:t>
      </w:r>
    </w:p>
    <w:p>
      <w:pPr>
        <w:spacing w:before="80" w:after="80"/>
      </w:pPr>
      <w:r>
        <w:rPr>
          <w:rFonts w:ascii="Arial" w:cs="Arial" w:eastAsia="Arial" w:hAnsi="Arial"/>
          <w:b/>
          <w:bCs/>
          <w:color w:val="1C1C1C"/>
          <w:sz w:val="22"/>
          <w:szCs w:val="22"/>
        </w:rPr>
        <w:t xml:space="preserve">"Fiscal Year" </w:t>
      </w:r>
      <w:r>
        <w:rPr>
          <w:rFonts w:ascii="Arial" w:cs="Arial" w:eastAsia="Arial" w:hAnsi="Arial"/>
          <w:color w:val="1C1C1C"/>
          <w:sz w:val="22"/>
          <w:szCs w:val="22"/>
        </w:rPr>
        <w:t xml:space="preserve">means the period from January 1 to December 31 of any calendar year.</w:t>
      </w:r>
    </w:p>
    <w:p>
      <w:pPr>
        <w:spacing w:before="80" w:after="80"/>
      </w:pPr>
      <w:r>
        <w:rPr>
          <w:rFonts w:ascii="Arial" w:cs="Arial" w:eastAsia="Arial" w:hAnsi="Arial"/>
          <w:b/>
          <w:bCs/>
          <w:color w:val="1C1C1C"/>
          <w:sz w:val="22"/>
          <w:szCs w:val="22"/>
        </w:rPr>
        <w:t xml:space="preserve">"Working Day" </w:t>
      </w:r>
      <w:r>
        <w:rPr>
          <w:rFonts w:ascii="Arial" w:cs="Arial" w:eastAsia="Arial" w:hAnsi="Arial"/>
          <w:color w:val="1C1C1C"/>
          <w:sz w:val="22"/>
          <w:szCs w:val="22"/>
        </w:rPr>
        <w:t xml:space="preserve">means any day other than a Saturday, Sunday, or public holiday observed in Kenya.</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3. PURPOSE AND OBJECTIVES</w:t>
      </w:r>
    </w:p>
    <w:p>
      <w:pPr>
        <w:pStyle w:val="Heading2"/>
        <w:pBdr>
          <w:bottom w:val="single" w:color="1A6E3C" w:sz="4"/>
        </w:pBdr>
        <w:spacing w:before="240" w:after="120"/>
      </w:pPr>
      <w:r>
        <w:rPr>
          <w:rFonts w:ascii="Arial" w:cs="Arial" w:eastAsia="Arial" w:hAnsi="Arial"/>
          <w:b/>
          <w:bCs/>
          <w:color w:val="1A6E3C"/>
          <w:sz w:val="28"/>
          <w:szCs w:val="28"/>
        </w:rPr>
        <w:t xml:space="preserve">3.1 Purpose</w:t>
      </w:r>
    </w:p>
    <w:p>
      <w:pPr>
        <w:spacing w:before="80" w:after="80"/>
      </w:pPr>
      <w:r>
        <w:rPr>
          <w:rFonts w:ascii="Arial" w:cs="Arial" w:eastAsia="Arial" w:hAnsi="Arial"/>
          <w:color w:val="1C1C1C"/>
          <w:sz w:val="22"/>
          <w:szCs w:val="22"/>
        </w:rPr>
        <w:t xml:space="preserve">This MoU establishes a structured framework for collaboration between CEKA and </w:t>
      </w:r>
      <w:r>
        <w:rPr>
          <w:rFonts w:ascii="Arial" w:cs="Arial" w:eastAsia="Arial" w:hAnsi="Arial"/>
          <w:b/>
          <w:bCs/>
          <w:color w:val="8B0000"/>
          <w:sz w:val="22"/>
          <w:szCs w:val="22"/>
          <w:highlight w:val="yellow"/>
          <w:highlightCs w:val="yellow"/>
        </w:rPr>
        <w:t xml:space="preserve">[PARTNER SHORT NAME]</w:t>
      </w:r>
      <w:r>
        <w:rPr>
          <w:rFonts w:ascii="Arial" w:cs="Arial" w:eastAsia="Arial" w:hAnsi="Arial"/>
          <w:color w:val="1C1C1C"/>
          <w:sz w:val="22"/>
          <w:szCs w:val="22"/>
        </w:rPr>
        <w:t xml:space="preserve"> to </w:t>
      </w:r>
      <w:r>
        <w:rPr>
          <w:rFonts w:ascii="Arial" w:cs="Arial" w:eastAsia="Arial" w:hAnsi="Arial"/>
          <w:b/>
          <w:bCs/>
          <w:color w:val="8B0000"/>
          <w:sz w:val="22"/>
          <w:szCs w:val="22"/>
          <w:highlight w:val="yellow"/>
          <w:highlightCs w:val="yellow"/>
        </w:rPr>
        <w:t xml:space="preserve">[one-sentence statement of combined collaboration purpose — e.g. enhance civic participation, strengthen voter registration processes, and expand civic education reach across Kenya]</w:t>
      </w:r>
      <w:r>
        <w:rPr>
          <w:rFonts w:ascii="Arial" w:cs="Arial" w:eastAsia="Arial" w:hAnsi="Arial"/>
          <w:color w:val="1C1C1C"/>
          <w:sz w:val="22"/>
          <w:szCs w:val="22"/>
        </w:rPr>
        <w:t xml:space="preserve"> through coordinated </w:t>
      </w:r>
      <w:r>
        <w:rPr>
          <w:rFonts w:ascii="Arial" w:cs="Arial" w:eastAsia="Arial" w:hAnsi="Arial"/>
          <w:b/>
          <w:bCs/>
          <w:color w:val="8B0000"/>
          <w:sz w:val="22"/>
          <w:szCs w:val="22"/>
          <w:highlight w:val="yellow"/>
          <w:highlightCs w:val="yellow"/>
        </w:rPr>
        <w:t xml:space="preserve">[modalities — e.g. digital, media, and community-level initiatives]</w:t>
      </w:r>
      <w:r>
        <w:rPr>
          <w:rFonts w:ascii="Arial" w:cs="Arial" w:eastAsia="Arial" w:hAnsi="Arial"/>
          <w:color w:val="1C1C1C"/>
          <w:sz w:val="22"/>
          <w:szCs w:val="22"/>
        </w:rPr>
        <w:t xml:space="preserve">.</w:t>
      </w:r>
    </w:p>
    <w:p>
      <w:pPr>
        <w:pStyle w:val="Heading2"/>
        <w:pBdr>
          <w:bottom w:val="single" w:color="1A6E3C" w:sz="4"/>
        </w:pBdr>
        <w:spacing w:before="240" w:after="120"/>
      </w:pPr>
      <w:r>
        <w:rPr>
          <w:rFonts w:ascii="Arial" w:cs="Arial" w:eastAsia="Arial" w:hAnsi="Arial"/>
          <w:b/>
          <w:bCs/>
          <w:color w:val="1A6E3C"/>
          <w:sz w:val="28"/>
          <w:szCs w:val="28"/>
        </w:rPr>
        <w:t xml:space="preserve">3.2 Core Objectives</w:t>
      </w:r>
    </w:p>
    <w:p>
      <w:pPr>
        <w:spacing w:before="80" w:after="80"/>
      </w:pPr>
      <w:r>
        <w:rPr>
          <w:rFonts w:ascii="Arial" w:cs="Arial" w:eastAsia="Arial" w:hAnsi="Arial"/>
          <w:color w:val="1C1C1C"/>
          <w:sz w:val="22"/>
          <w:szCs w:val="22"/>
        </w:rPr>
        <w:t xml:space="preserve">The collaboration shall pursue the following objectives:</w:t>
      </w:r>
    </w:p>
    <w:p>
      <w:pPr>
        <w:spacing w:before="0" w:after="120"/>
      </w:pPr>
      <w:r>
        <w:rPr>
          <w:rFonts w:ascii="Arial" w:cs="Arial" w:eastAsia="Arial" w:hAnsi="Arial"/>
          <w:sz w:val="22"/>
          <w:szCs w:val="22"/>
        </w:rPr>
        <w:t xml:space="preserve"/>
      </w:r>
    </w:p>
    <w:p>
      <w:pPr>
        <w:pStyle w:val="ListParagraph"/>
        <w:numPr>
          <w:ilvl w:val="0"/>
          <w:numId w:val="3"/>
        </w:numPr>
        <w:spacing w:before="60" w:after="60"/>
      </w:pPr>
      <w:r>
        <w:rPr>
          <w:rFonts w:ascii="Arial" w:cs="Arial" w:eastAsia="Arial" w:hAnsi="Arial"/>
          <w:b/>
          <w:bCs/>
          <w:color w:val="1C1C1C"/>
          <w:sz w:val="22"/>
          <w:szCs w:val="22"/>
        </w:rPr>
        <w:t xml:space="preserve">Amplify Civic Infrastructure Access: </w:t>
      </w:r>
      <w:r>
        <w:rPr>
          <w:rFonts w:ascii="Arial" w:cs="Arial" w:eastAsia="Arial" w:hAnsi="Arial"/>
          <w:color w:val="1C1C1C"/>
          <w:sz w:val="22"/>
          <w:szCs w:val="22"/>
        </w:rPr>
        <w:t xml:space="preserve">Increase nationwide awareness and usage of CEKA's Nasaka IEBC platform from its current capacity toward scaled deployment reaching </w:t>
      </w:r>
      <w:r>
        <w:rPr>
          <w:rFonts w:ascii="Arial" w:cs="Arial" w:eastAsia="Arial" w:hAnsi="Arial"/>
          <w:b/>
          <w:bCs/>
          <w:color w:val="8B0000"/>
          <w:sz w:val="22"/>
          <w:szCs w:val="22"/>
          <w:highlight w:val="yellow"/>
          <w:highlightCs w:val="yellow"/>
        </w:rPr>
        <w:t xml:space="preserve">[target geographies — e.g. marginalized and hard-to-reach counties]</w:t>
      </w:r>
      <w:r>
        <w:rPr>
          <w:rFonts w:ascii="Arial" w:cs="Arial" w:eastAsia="Arial" w:hAnsi="Arial"/>
          <w:color w:val="1C1C1C"/>
          <w:sz w:val="22"/>
          <w:szCs w:val="22"/>
        </w:rPr>
        <w:t xml:space="preserve">, with a target of </w:t>
      </w:r>
      <w:r>
        <w:rPr>
          <w:rFonts w:ascii="Arial" w:cs="Arial" w:eastAsia="Arial" w:hAnsi="Arial"/>
          <w:b/>
          <w:bCs/>
          <w:color w:val="8B0000"/>
          <w:sz w:val="22"/>
          <w:szCs w:val="22"/>
          <w:highlight w:val="yellow"/>
          <w:highlightCs w:val="yellow"/>
        </w:rPr>
        <w:t xml:space="preserve">[number — e.g. 1,000,000]</w:t>
      </w:r>
      <w:r>
        <w:rPr>
          <w:rFonts w:ascii="Arial" w:cs="Arial" w:eastAsia="Arial" w:hAnsi="Arial"/>
          <w:color w:val="1C1C1C"/>
          <w:sz w:val="22"/>
          <w:szCs w:val="22"/>
        </w:rPr>
        <w:t xml:space="preserve"> users within </w:t>
      </w:r>
      <w:r>
        <w:rPr>
          <w:rFonts w:ascii="Arial" w:cs="Arial" w:eastAsia="Arial" w:hAnsi="Arial"/>
          <w:b/>
          <w:bCs/>
          <w:color w:val="8B0000"/>
          <w:sz w:val="22"/>
          <w:szCs w:val="22"/>
          <w:highlight w:val="yellow"/>
          <w:highlightCs w:val="yellow"/>
        </w:rPr>
        <w:t xml:space="preserve">[timeline — e.g. 18 months]</w:t>
      </w:r>
      <w:r>
        <w:rPr>
          <w:rFonts w:ascii="Arial" w:cs="Arial" w:eastAsia="Arial" w:hAnsi="Arial"/>
          <w:color w:val="1C1C1C"/>
          <w:sz w:val="22"/>
          <w:szCs w:val="22"/>
        </w:rPr>
        <w:t xml:space="preserve">.</w:t>
      </w:r>
    </w:p>
    <w:p>
      <w:pPr>
        <w:pStyle w:val="ListParagraph"/>
        <w:numPr>
          <w:ilvl w:val="0"/>
          <w:numId w:val="3"/>
        </w:numPr>
        <w:spacing w:before="60" w:after="60"/>
      </w:pPr>
      <w:r>
        <w:rPr>
          <w:rFonts w:ascii="Arial" w:cs="Arial" w:eastAsia="Arial" w:hAnsi="Arial"/>
          <w:b/>
          <w:bCs/>
          <w:color w:val="1C1C1C"/>
          <w:sz w:val="22"/>
          <w:szCs w:val="22"/>
        </w:rPr>
        <w:t xml:space="preserve">[Objective 2 — Customize]: </w:t>
      </w:r>
      <w:r>
        <w:rPr>
          <w:rFonts w:ascii="Arial" w:cs="Arial" w:eastAsia="Arial" w:hAnsi="Arial"/>
          <w:b/>
          <w:bCs/>
          <w:color w:val="8B0000"/>
          <w:sz w:val="22"/>
          <w:szCs w:val="22"/>
          <w:highlight w:val="yellow"/>
          <w:highlightCs w:val="yellow"/>
        </w:rPr>
        <w:t xml:space="preserve">[Description of second core joint objective]</w:t>
      </w:r>
    </w:p>
    <w:p>
      <w:pPr>
        <w:pStyle w:val="ListParagraph"/>
        <w:numPr>
          <w:ilvl w:val="0"/>
          <w:numId w:val="3"/>
        </w:numPr>
        <w:spacing w:before="60" w:after="60"/>
      </w:pPr>
      <w:r>
        <w:rPr>
          <w:rFonts w:ascii="Arial" w:cs="Arial" w:eastAsia="Arial" w:hAnsi="Arial"/>
          <w:b/>
          <w:bCs/>
          <w:color w:val="1C1C1C"/>
          <w:sz w:val="22"/>
          <w:szCs w:val="22"/>
        </w:rPr>
        <w:t xml:space="preserve">[Objective 3 — Customize]: </w:t>
      </w:r>
      <w:r>
        <w:rPr>
          <w:rFonts w:ascii="Arial" w:cs="Arial" w:eastAsia="Arial" w:hAnsi="Arial"/>
          <w:b/>
          <w:bCs/>
          <w:color w:val="8B0000"/>
          <w:sz w:val="22"/>
          <w:szCs w:val="22"/>
          <w:highlight w:val="yellow"/>
          <w:highlightCs w:val="yellow"/>
        </w:rPr>
        <w:t xml:space="preserve">[Description of third core joint objective]</w:t>
      </w:r>
    </w:p>
    <w:p>
      <w:pPr>
        <w:pStyle w:val="ListParagraph"/>
        <w:numPr>
          <w:ilvl w:val="0"/>
          <w:numId w:val="3"/>
        </w:numPr>
        <w:spacing w:before="60" w:after="60"/>
      </w:pPr>
      <w:r>
        <w:rPr>
          <w:rFonts w:ascii="Arial" w:cs="Arial" w:eastAsia="Arial" w:hAnsi="Arial"/>
          <w:b/>
          <w:bCs/>
          <w:color w:val="1C1C1C"/>
          <w:sz w:val="22"/>
          <w:szCs w:val="22"/>
        </w:rPr>
        <w:t xml:space="preserve">Combat Electoral Misinformation: </w:t>
      </w:r>
      <w:r>
        <w:rPr>
          <w:rFonts w:ascii="Arial" w:cs="Arial" w:eastAsia="Arial" w:hAnsi="Arial"/>
          <w:color w:val="1C1C1C"/>
          <w:sz w:val="22"/>
          <w:szCs w:val="22"/>
        </w:rPr>
        <w:t xml:space="preserve">Coordinate efforts to disseminate accurate, verified electoral information and counter disinformation during registration periods and electoral cycles, establishing rapid response protocols for misinformation incidents where applicable.</w:t>
      </w:r>
    </w:p>
    <w:p>
      <w:pPr>
        <w:pStyle w:val="ListParagraph"/>
        <w:numPr>
          <w:ilvl w:val="0"/>
          <w:numId w:val="3"/>
        </w:numPr>
        <w:spacing w:before="60" w:after="60"/>
      </w:pPr>
      <w:r>
        <w:rPr>
          <w:rFonts w:ascii="Arial" w:cs="Arial" w:eastAsia="Arial" w:hAnsi="Arial"/>
          <w:b/>
          <w:bCs/>
          <w:color w:val="1C1C1C"/>
          <w:sz w:val="22"/>
          <w:szCs w:val="22"/>
        </w:rPr>
        <w:t xml:space="preserve">Enhance Community-Level Engagement: </w:t>
      </w:r>
      <w:r>
        <w:rPr>
          <w:rFonts w:ascii="Arial" w:cs="Arial" w:eastAsia="Arial" w:hAnsi="Arial"/>
          <w:color w:val="1C1C1C"/>
          <w:sz w:val="22"/>
          <w:szCs w:val="22"/>
        </w:rPr>
        <w:t xml:space="preserve">Integrate CEKA's digital tools with the Partner's ground activations and community programmes to create comprehensive civic education experiences in at least </w:t>
      </w:r>
      <w:r>
        <w:rPr>
          <w:rFonts w:ascii="Arial" w:cs="Arial" w:eastAsia="Arial" w:hAnsi="Arial"/>
          <w:b/>
          <w:bCs/>
          <w:color w:val="8B0000"/>
          <w:sz w:val="22"/>
          <w:szCs w:val="22"/>
          <w:highlight w:val="yellow"/>
          <w:highlightCs w:val="yellow"/>
        </w:rPr>
        <w:t xml:space="preserve">[number]</w:t>
      </w:r>
      <w:r>
        <w:rPr>
          <w:rFonts w:ascii="Arial" w:cs="Arial" w:eastAsia="Arial" w:hAnsi="Arial"/>
          <w:color w:val="1C1C1C"/>
          <w:sz w:val="22"/>
          <w:szCs w:val="22"/>
        </w:rPr>
        <w:t xml:space="preserve"> community forums during the collaboration period.</w:t>
      </w:r>
    </w:p>
    <w:p>
      <w:pPr>
        <w:pStyle w:val="ListParagraph"/>
        <w:numPr>
          <w:ilvl w:val="0"/>
          <w:numId w:val="3"/>
        </w:numPr>
        <w:spacing w:before="60" w:after="60"/>
      </w:pPr>
      <w:r>
        <w:rPr>
          <w:rFonts w:ascii="Arial" w:cs="Arial" w:eastAsia="Arial" w:hAnsi="Arial"/>
          <w:b/>
          <w:bCs/>
          <w:color w:val="1C1C1C"/>
          <w:sz w:val="22"/>
          <w:szCs w:val="22"/>
        </w:rPr>
        <w:t xml:space="preserve">Build Sustainable Civic Networks: </w:t>
      </w:r>
      <w:r>
        <w:rPr>
          <w:rFonts w:ascii="Arial" w:cs="Arial" w:eastAsia="Arial" w:hAnsi="Arial"/>
          <w:color w:val="1C1C1C"/>
          <w:sz w:val="22"/>
          <w:szCs w:val="22"/>
        </w:rPr>
        <w:t xml:space="preserve">Establish replicable collaboration models that can be extended to other civic organizations and scaled across Kenya's 47 counties, documenting lessons learned and best practices for sector-wide benefit.</w:t>
      </w:r>
    </w:p>
    <w:p>
      <w:pPr>
        <w:pStyle w:val="ListParagraph"/>
        <w:numPr>
          <w:ilvl w:val="0"/>
          <w:numId w:val="3"/>
        </w:numPr>
        <w:spacing w:before="60" w:after="60"/>
      </w:pPr>
      <w:r>
        <w:rPr>
          <w:rFonts w:ascii="Arial" w:cs="Arial" w:eastAsia="Arial" w:hAnsi="Arial"/>
          <w:b/>
          <w:bCs/>
          <w:color w:val="1C1C1C"/>
          <w:sz w:val="22"/>
          <w:szCs w:val="22"/>
        </w:rPr>
        <w:t xml:space="preserve">Strengthen Youth Civic Participation: </w:t>
      </w:r>
      <w:r>
        <w:rPr>
          <w:rFonts w:ascii="Arial" w:cs="Arial" w:eastAsia="Arial" w:hAnsi="Arial"/>
          <w:color w:val="1C1C1C"/>
          <w:sz w:val="22"/>
          <w:szCs w:val="22"/>
        </w:rPr>
        <w:t xml:space="preserve">Specifically target </w:t>
      </w:r>
      <w:r>
        <w:rPr>
          <w:rFonts w:ascii="Arial" w:cs="Arial" w:eastAsia="Arial" w:hAnsi="Arial"/>
          <w:b/>
          <w:bCs/>
          <w:color w:val="8B0000"/>
          <w:sz w:val="22"/>
          <w:szCs w:val="22"/>
          <w:highlight w:val="yellow"/>
          <w:highlightCs w:val="yellow"/>
        </w:rPr>
        <w:t xml:space="preserve">[demographic — e.g. youth aged 18–35 / women / persons with disabilities]</w:t>
      </w:r>
      <w:r>
        <w:rPr>
          <w:rFonts w:ascii="Arial" w:cs="Arial" w:eastAsia="Arial" w:hAnsi="Arial"/>
          <w:color w:val="1C1C1C"/>
          <w:sz w:val="22"/>
          <w:szCs w:val="22"/>
        </w:rPr>
        <w:t xml:space="preserve"> through tailored messaging, accessible platforms, and community-centered engagement methodologies.</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4. SCOPE OF COLLABORATION</w:t>
      </w:r>
    </w:p>
    <w:p>
      <w:pPr>
        <w:pStyle w:val="Heading2"/>
        <w:pBdr>
          <w:bottom w:val="single" w:color="1A6E3C" w:sz="4"/>
        </w:pBdr>
        <w:spacing w:before="240" w:after="120"/>
      </w:pPr>
      <w:r>
        <w:rPr>
          <w:rFonts w:ascii="Arial" w:cs="Arial" w:eastAsia="Arial" w:hAnsi="Arial"/>
          <w:b/>
          <w:bCs/>
          <w:color w:val="1A6E3C"/>
          <w:sz w:val="28"/>
          <w:szCs w:val="28"/>
        </w:rPr>
        <w:t xml:space="preserve">4.1 Digital Amplification and Campaign Integration</w:t>
      </w:r>
    </w:p>
    <w:p>
      <w:pPr>
        <w:spacing w:before="80" w:after="80"/>
      </w:pPr>
      <w:r>
        <w:rPr>
          <w:rFonts w:ascii="Arial" w:cs="Arial" w:eastAsia="Arial" w:hAnsi="Arial"/>
          <w:color w:val="1C1C1C"/>
          <w:sz w:val="22"/>
          <w:szCs w:val="22"/>
        </w:rPr>
        <w:t xml:space="preserve">The Parties agree to:</w:t>
      </w:r>
    </w:p>
    <w:p>
      <w:pPr>
        <w:pStyle w:val="ListParagraph"/>
        <w:numPr>
          <w:ilvl w:val="0"/>
          <w:numId w:val="2"/>
        </w:numPr>
        <w:spacing w:before="60" w:after="60"/>
      </w:pPr>
      <w:r>
        <w:rPr>
          <w:rFonts w:ascii="Arial" w:cs="Arial" w:eastAsia="Arial" w:hAnsi="Arial"/>
          <w:b/>
          <w:bCs/>
          <w:color w:val="1C1C1C"/>
          <w:sz w:val="22"/>
          <w:szCs w:val="22"/>
        </w:rPr>
        <w:t xml:space="preserve">Co-brand approved civic education materials </w:t>
      </w:r>
      <w:r>
        <w:rPr>
          <w:rFonts w:ascii="Arial" w:cs="Arial" w:eastAsia="Arial" w:hAnsi="Arial"/>
          <w:color w:val="1C1C1C"/>
          <w:sz w:val="22"/>
          <w:szCs w:val="22"/>
        </w:rPr>
        <w:t xml:space="preserve">including </w:t>
      </w:r>
      <w:r>
        <w:rPr>
          <w:rFonts w:ascii="Arial" w:cs="Arial" w:eastAsia="Arial" w:hAnsi="Arial"/>
          <w:b/>
          <w:bCs/>
          <w:color w:val="8B0000"/>
          <w:sz w:val="22"/>
          <w:szCs w:val="22"/>
          <w:highlight w:val="yellow"/>
          <w:highlightCs w:val="yellow"/>
        </w:rPr>
        <w:t xml:space="preserve">[formats — e.g. posters, infographics, social media content]</w:t>
      </w:r>
      <w:r>
        <w:rPr>
          <w:rFonts w:ascii="Arial" w:cs="Arial" w:eastAsia="Arial" w:hAnsi="Arial"/>
          <w:color w:val="1C1C1C"/>
          <w:sz w:val="22"/>
          <w:szCs w:val="22"/>
        </w:rPr>
        <w:t xml:space="preserve">, subject to mutual written approval as specified in Section 9.</w:t>
      </w:r>
    </w:p>
    <w:p>
      <w:pPr>
        <w:pStyle w:val="ListParagraph"/>
        <w:numPr>
          <w:ilvl w:val="0"/>
          <w:numId w:val="2"/>
        </w:numPr>
        <w:spacing w:before="60" w:after="60"/>
      </w:pPr>
      <w:r>
        <w:rPr>
          <w:rFonts w:ascii="Arial" w:cs="Arial" w:eastAsia="Arial" w:hAnsi="Arial"/>
          <w:b/>
          <w:bCs/>
          <w:color w:val="1C1C1C"/>
          <w:sz w:val="22"/>
          <w:szCs w:val="22"/>
        </w:rPr>
        <w:t xml:space="preserve">Cross-promote platforms and initiatives </w:t>
      </w:r>
      <w:r>
        <w:rPr>
          <w:rFonts w:ascii="Arial" w:cs="Arial" w:eastAsia="Arial" w:hAnsi="Arial"/>
          <w:color w:val="1C1C1C"/>
          <w:sz w:val="22"/>
          <w:szCs w:val="22"/>
        </w:rPr>
        <w:t xml:space="preserve">through respective digital channels (social media, websites, newsletters, mobile applications), ensuring consistent messaging and accurate representation of each Party's work.</w:t>
      </w:r>
    </w:p>
    <w:p>
      <w:pPr>
        <w:pStyle w:val="ListParagraph"/>
        <w:numPr>
          <w:ilvl w:val="0"/>
          <w:numId w:val="2"/>
        </w:numPr>
        <w:spacing w:before="60" w:after="60"/>
      </w:pPr>
      <w:r>
        <w:rPr>
          <w:rFonts w:ascii="Arial" w:cs="Arial" w:eastAsia="Arial" w:hAnsi="Arial"/>
          <w:b/>
          <w:bCs/>
          <w:color w:val="1C1C1C"/>
          <w:sz w:val="22"/>
          <w:szCs w:val="22"/>
        </w:rPr>
        <w:t xml:space="preserve">Coordinate content calendars </w:t>
      </w:r>
      <w:r>
        <w:rPr>
          <w:rFonts w:ascii="Arial" w:cs="Arial" w:eastAsia="Arial" w:hAnsi="Arial"/>
          <w:color w:val="1C1C1C"/>
          <w:sz w:val="22"/>
          <w:szCs w:val="22"/>
        </w:rPr>
        <w:t xml:space="preserve">for major civic education campaigns and electoral milestone communications, with advance notice of at least </w:t>
      </w:r>
      <w:r>
        <w:rPr>
          <w:rFonts w:ascii="Arial" w:cs="Arial" w:eastAsia="Arial" w:hAnsi="Arial"/>
          <w:b/>
          <w:bCs/>
          <w:color w:val="8B0000"/>
          <w:sz w:val="22"/>
          <w:szCs w:val="22"/>
          <w:highlight w:val="yellow"/>
          <w:highlightCs w:val="yellow"/>
        </w:rPr>
        <w:t xml:space="preserve">[14]</w:t>
      </w:r>
      <w:r>
        <w:rPr>
          <w:rFonts w:ascii="Arial" w:cs="Arial" w:eastAsia="Arial" w:hAnsi="Arial"/>
          <w:color w:val="1C1C1C"/>
          <w:sz w:val="22"/>
          <w:szCs w:val="22"/>
        </w:rPr>
        <w:t xml:space="preserve"> days for major campaigns and </w:t>
      </w:r>
      <w:r>
        <w:rPr>
          <w:rFonts w:ascii="Arial" w:cs="Arial" w:eastAsia="Arial" w:hAnsi="Arial"/>
          <w:b/>
          <w:bCs/>
          <w:color w:val="8B0000"/>
          <w:sz w:val="22"/>
          <w:szCs w:val="22"/>
          <w:highlight w:val="yellow"/>
          <w:highlightCs w:val="yellow"/>
        </w:rPr>
        <w:t xml:space="preserve">[7]</w:t>
      </w:r>
      <w:r>
        <w:rPr>
          <w:rFonts w:ascii="Arial" w:cs="Arial" w:eastAsia="Arial" w:hAnsi="Arial"/>
          <w:color w:val="1C1C1C"/>
          <w:sz w:val="22"/>
          <w:szCs w:val="22"/>
        </w:rPr>
        <w:t xml:space="preserve"> days for routine content.</w:t>
      </w:r>
    </w:p>
    <w:p>
      <w:pPr>
        <w:pStyle w:val="ListParagraph"/>
        <w:numPr>
          <w:ilvl w:val="0"/>
          <w:numId w:val="2"/>
        </w:numPr>
        <w:spacing w:before="60" w:after="60"/>
      </w:pPr>
      <w:r>
        <w:rPr>
          <w:rFonts w:ascii="Arial" w:cs="Arial" w:eastAsia="Arial" w:hAnsi="Arial"/>
          <w:b/>
          <w:bCs/>
          <w:color w:val="1C1C1C"/>
          <w:sz w:val="22"/>
          <w:szCs w:val="22"/>
        </w:rPr>
        <w:t xml:space="preserve">Share digital asset repositories </w:t>
      </w:r>
      <w:r>
        <w:rPr>
          <w:rFonts w:ascii="Arial" w:cs="Arial" w:eastAsia="Arial" w:hAnsi="Arial"/>
          <w:color w:val="1C1C1C"/>
          <w:sz w:val="22"/>
          <w:szCs w:val="22"/>
        </w:rPr>
        <w:t xml:space="preserve">through a mutually accessible digital workspace (Google Drive or equivalent), subject to Section 7 and Annexure D.</w:t>
      </w:r>
    </w:p>
    <w:p>
      <w:pPr>
        <w:pStyle w:val="ListParagraph"/>
        <w:numPr>
          <w:ilvl w:val="0"/>
          <w:numId w:val="2"/>
        </w:numPr>
        <w:spacing w:before="60" w:after="60"/>
      </w:pPr>
      <w:r>
        <w:rPr>
          <w:rFonts w:ascii="Arial" w:cs="Arial" w:eastAsia="Arial" w:hAnsi="Arial"/>
          <w:b/>
          <w:bCs/>
          <w:color w:val="1C1C1C"/>
          <w:sz w:val="22"/>
          <w:szCs w:val="22"/>
        </w:rPr>
        <w:t xml:space="preserve">Implement UTM tracking codes </w:t>
      </w:r>
      <w:r>
        <w:rPr>
          <w:rFonts w:ascii="Arial" w:cs="Arial" w:eastAsia="Arial" w:hAnsi="Arial"/>
          <w:color w:val="1C1C1C"/>
          <w:sz w:val="22"/>
          <w:szCs w:val="22"/>
        </w:rPr>
        <w:t xml:space="preserve">for all cross-promotional digital content to enable accurate measurement of referral traffic and campaign effectiveness as specified in Annexure E.</w:t>
      </w:r>
    </w:p>
    <w:p>
      <w:pPr>
        <w:pStyle w:val="Heading2"/>
        <w:pBdr>
          <w:bottom w:val="single" w:color="1A6E3C" w:sz="4"/>
        </w:pBdr>
        <w:spacing w:before="240" w:after="120"/>
      </w:pPr>
      <w:r>
        <w:rPr>
          <w:rFonts w:ascii="Arial" w:cs="Arial" w:eastAsia="Arial" w:hAnsi="Arial"/>
          <w:b/>
          <w:bCs/>
          <w:color w:val="1A6E3C"/>
          <w:sz w:val="28"/>
          <w:szCs w:val="28"/>
        </w:rPr>
        <w:t xml:space="preserve">4.2 Programming and Media Collaboration</w:t>
      </w:r>
    </w:p>
    <w:p>
      <w:pPr>
        <w:spacing w:before="80" w:after="80"/>
      </w:pPr>
      <w:r>
        <w:rPr>
          <w:rFonts w:ascii="Arial" w:cs="Arial" w:eastAsia="Arial" w:hAnsi="Arial"/>
          <w:color w:val="1C1C1C"/>
          <w:sz w:val="22"/>
          <w:szCs w:val="22"/>
        </w:rPr>
        <w:t xml:space="preserve">The Partner agrees to:</w:t>
      </w:r>
    </w:p>
    <w:p>
      <w:pPr>
        <w:pStyle w:val="ListParagraph"/>
        <w:numPr>
          <w:ilvl w:val="0"/>
          <w:numId w:val="2"/>
        </w:numPr>
        <w:spacing w:before="60" w:after="60"/>
      </w:pPr>
      <w:r>
        <w:rPr>
          <w:rFonts w:ascii="Arial" w:cs="Arial" w:eastAsia="Arial" w:hAnsi="Arial"/>
          <w:b/>
          <w:bCs/>
          <w:color w:val="1C1C1C"/>
          <w:sz w:val="22"/>
          <w:szCs w:val="22"/>
        </w:rPr>
        <w:t xml:space="preserve">Host or feature CEKA </w:t>
      </w:r>
      <w:r>
        <w:rPr>
          <w:rFonts w:ascii="Arial" w:cs="Arial" w:eastAsia="Arial" w:hAnsi="Arial"/>
          <w:color w:val="1C1C1C"/>
          <w:sz w:val="22"/>
          <w:szCs w:val="22"/>
        </w:rPr>
        <w:t xml:space="preserve">on </w:t>
      </w:r>
      <w:r>
        <w:rPr>
          <w:rFonts w:ascii="Arial" w:cs="Arial" w:eastAsia="Arial" w:hAnsi="Arial"/>
          <w:b/>
          <w:bCs/>
          <w:color w:val="8B0000"/>
          <w:sz w:val="22"/>
          <w:szCs w:val="22"/>
          <w:highlight w:val="yellow"/>
          <w:highlightCs w:val="yellow"/>
        </w:rPr>
        <w:t xml:space="preserve">[Partner's media/programming platform — e.g. radio station, podcast, YouTube channel, Twitter Spaces]</w:t>
      </w:r>
      <w:r>
        <w:rPr>
          <w:rFonts w:ascii="Arial" w:cs="Arial" w:eastAsia="Arial" w:hAnsi="Arial"/>
          <w:color w:val="1C1C1C"/>
          <w:sz w:val="22"/>
          <w:szCs w:val="22"/>
        </w:rPr>
        <w:t xml:space="preserve"> for discussions on civic technology, electoral processes, and the Nasaka IEBC platform, with a commitment to at least </w:t>
      </w:r>
      <w:r>
        <w:rPr>
          <w:rFonts w:ascii="Arial" w:cs="Arial" w:eastAsia="Arial" w:hAnsi="Arial"/>
          <w:b/>
          <w:bCs/>
          <w:color w:val="8B0000"/>
          <w:sz w:val="22"/>
          <w:szCs w:val="22"/>
          <w:highlight w:val="yellow"/>
          <w:highlightCs w:val="yellow"/>
        </w:rPr>
        <w:t xml:space="preserve">[number]</w:t>
      </w:r>
      <w:r>
        <w:rPr>
          <w:rFonts w:ascii="Arial" w:cs="Arial" w:eastAsia="Arial" w:hAnsi="Arial"/>
          <w:color w:val="1C1C1C"/>
          <w:sz w:val="22"/>
          <w:szCs w:val="22"/>
        </w:rPr>
        <w:t xml:space="preserve"> </w:t>
      </w:r>
      <w:r>
        <w:rPr>
          <w:rFonts w:ascii="Arial" w:cs="Arial" w:eastAsia="Arial" w:hAnsi="Arial"/>
          <w:b/>
          <w:bCs/>
          <w:color w:val="8B0000"/>
          <w:sz w:val="22"/>
          <w:szCs w:val="22"/>
          <w:highlight w:val="yellow"/>
          <w:highlightCs w:val="yellow"/>
        </w:rPr>
        <w:t xml:space="preserve">[programme units — e.g. radio segments / episodes]</w:t>
      </w:r>
      <w:r>
        <w:rPr>
          <w:rFonts w:ascii="Arial" w:cs="Arial" w:eastAsia="Arial" w:hAnsi="Arial"/>
          <w:color w:val="1C1C1C"/>
          <w:sz w:val="22"/>
          <w:szCs w:val="22"/>
        </w:rPr>
        <w:t xml:space="preserve"> per </w:t>
      </w:r>
      <w:r>
        <w:rPr>
          <w:rFonts w:ascii="Arial" w:cs="Arial" w:eastAsia="Arial" w:hAnsi="Arial"/>
          <w:b/>
          <w:bCs/>
          <w:color w:val="8B0000"/>
          <w:sz w:val="22"/>
          <w:szCs w:val="22"/>
          <w:highlight w:val="yellow"/>
          <w:highlightCs w:val="yellow"/>
        </w:rPr>
        <w:t xml:space="preserve">[month / quarter]</w:t>
      </w:r>
      <w:r>
        <w:rPr>
          <w:rFonts w:ascii="Arial" w:cs="Arial" w:eastAsia="Arial" w:hAnsi="Arial"/>
          <w:color w:val="1C1C1C"/>
          <w:sz w:val="22"/>
          <w:szCs w:val="22"/>
        </w:rPr>
        <w:t xml:space="preserve"> during the collaboration period.</w:t>
      </w:r>
    </w:p>
    <w:p>
      <w:pPr>
        <w:pStyle w:val="ListParagraph"/>
        <w:numPr>
          <w:ilvl w:val="0"/>
          <w:numId w:val="2"/>
        </w:numPr>
        <w:spacing w:before="60" w:after="60"/>
      </w:pPr>
      <w:r>
        <w:rPr>
          <w:rFonts w:ascii="Arial" w:cs="Arial" w:eastAsia="Arial" w:hAnsi="Arial"/>
          <w:b/>
          <w:bCs/>
          <w:color w:val="1C1C1C"/>
          <w:sz w:val="22"/>
          <w:szCs w:val="22"/>
        </w:rPr>
        <w:t xml:space="preserve">Provide advance notice </w:t>
      </w:r>
      <w:r>
        <w:rPr>
          <w:rFonts w:ascii="Arial" w:cs="Arial" w:eastAsia="Arial" w:hAnsi="Arial"/>
          <w:color w:val="1C1C1C"/>
          <w:sz w:val="22"/>
          <w:szCs w:val="22"/>
        </w:rPr>
        <w:t xml:space="preserve">of at least </w:t>
      </w:r>
      <w:r>
        <w:rPr>
          <w:rFonts w:ascii="Arial" w:cs="Arial" w:eastAsia="Arial" w:hAnsi="Arial"/>
          <w:b/>
          <w:bCs/>
          <w:color w:val="8B0000"/>
          <w:sz w:val="22"/>
          <w:szCs w:val="22"/>
          <w:highlight w:val="yellow"/>
          <w:highlightCs w:val="yellow"/>
        </w:rPr>
        <w:t xml:space="preserve">[7]</w:t>
      </w:r>
      <w:r>
        <w:rPr>
          <w:rFonts w:ascii="Arial" w:cs="Arial" w:eastAsia="Arial" w:hAnsi="Arial"/>
          <w:color w:val="1C1C1C"/>
          <w:sz w:val="22"/>
          <w:szCs w:val="22"/>
        </w:rPr>
        <w:t xml:space="preserve"> working days for programming schedules to enable CEKA participation and preparation.</w:t>
      </w:r>
    </w:p>
    <w:p>
      <w:pPr>
        <w:pStyle w:val="ListParagraph"/>
        <w:numPr>
          <w:ilvl w:val="0"/>
          <w:numId w:val="2"/>
        </w:numPr>
        <w:spacing w:before="60" w:after="60"/>
      </w:pPr>
      <w:r>
        <w:rPr>
          <w:rFonts w:ascii="Arial" w:cs="Arial" w:eastAsia="Arial" w:hAnsi="Arial"/>
          <w:b/>
          <w:bCs/>
          <w:color w:val="1C1C1C"/>
          <w:sz w:val="22"/>
          <w:szCs w:val="22"/>
        </w:rPr>
        <w:t xml:space="preserve">Ensure editorial independence </w:t>
      </w:r>
      <w:r>
        <w:rPr>
          <w:rFonts w:ascii="Arial" w:cs="Arial" w:eastAsia="Arial" w:hAnsi="Arial"/>
          <w:color w:val="1C1C1C"/>
          <w:sz w:val="22"/>
          <w:szCs w:val="22"/>
        </w:rPr>
        <w:t xml:space="preserve">for CEKA representatives during broadcasts while maintaining the Partner's editorial standards and quality requirements.</w:t>
      </w:r>
    </w:p>
    <w:p>
      <w:pPr>
        <w:pStyle w:val="ListParagraph"/>
        <w:numPr>
          <w:ilvl w:val="0"/>
          <w:numId w:val="2"/>
        </w:numPr>
        <w:spacing w:before="60" w:after="60"/>
      </w:pPr>
      <w:r>
        <w:rPr>
          <w:rFonts w:ascii="Arial" w:cs="Arial" w:eastAsia="Arial" w:hAnsi="Arial"/>
          <w:b/>
          <w:bCs/>
          <w:color w:val="1C1C1C"/>
          <w:sz w:val="22"/>
          <w:szCs w:val="22"/>
        </w:rPr>
        <w:t xml:space="preserve">Provide post-programme analytics </w:t>
      </w:r>
      <w:r>
        <w:rPr>
          <w:rFonts w:ascii="Arial" w:cs="Arial" w:eastAsia="Arial" w:hAnsi="Arial"/>
          <w:color w:val="1C1C1C"/>
          <w:sz w:val="22"/>
          <w:szCs w:val="22"/>
        </w:rPr>
        <w:t xml:space="preserve">including reach estimates, engagement metrics, and feedback summaries within </w:t>
      </w:r>
      <w:r>
        <w:rPr>
          <w:rFonts w:ascii="Arial" w:cs="Arial" w:eastAsia="Arial" w:hAnsi="Arial"/>
          <w:b/>
          <w:bCs/>
          <w:color w:val="8B0000"/>
          <w:sz w:val="22"/>
          <w:szCs w:val="22"/>
          <w:highlight w:val="yellow"/>
          <w:highlightCs w:val="yellow"/>
        </w:rPr>
        <w:t xml:space="preserve">[5]</w:t>
      </w:r>
      <w:r>
        <w:rPr>
          <w:rFonts w:ascii="Arial" w:cs="Arial" w:eastAsia="Arial" w:hAnsi="Arial"/>
          <w:color w:val="1C1C1C"/>
          <w:sz w:val="22"/>
          <w:szCs w:val="22"/>
        </w:rPr>
        <w:t xml:space="preserve"> working days of each segment.</w:t>
      </w:r>
    </w:p>
    <w:p>
      <w:pPr>
        <w:spacing w:before="0" w:after="120"/>
      </w:pPr>
      <w:r>
        <w:rPr>
          <w:rFonts w:ascii="Arial" w:cs="Arial" w:eastAsia="Arial" w:hAnsi="Arial"/>
          <w:sz w:val="22"/>
          <w:szCs w:val="22"/>
        </w:rPr>
        <w:t xml:space="preserve"/>
      </w:r>
    </w:p>
    <w:p>
      <w:pPr>
        <w:spacing w:before="80" w:after="80"/>
      </w:pPr>
      <w:r>
        <w:rPr>
          <w:rFonts w:ascii="Arial" w:cs="Arial" w:eastAsia="Arial" w:hAnsi="Arial"/>
          <w:color w:val="1C1C1C"/>
          <w:sz w:val="22"/>
          <w:szCs w:val="22"/>
        </w:rPr>
        <w:t xml:space="preserve">CEKA agrees to:</w:t>
      </w:r>
    </w:p>
    <w:p>
      <w:pPr>
        <w:pStyle w:val="ListParagraph"/>
        <w:numPr>
          <w:ilvl w:val="0"/>
          <w:numId w:val="2"/>
        </w:numPr>
        <w:spacing w:before="60" w:after="60"/>
      </w:pPr>
      <w:r>
        <w:rPr>
          <w:rFonts w:ascii="Arial" w:cs="Arial" w:eastAsia="Arial" w:hAnsi="Arial"/>
          <w:color w:val="1C1C1C"/>
          <w:sz w:val="22"/>
          <w:szCs w:val="22"/>
        </w:rPr>
        <w:t xml:space="preserve">Prepare knowledgeable representatives for programming appearances who can articulate civic education content accessibly.</w:t>
      </w:r>
    </w:p>
    <w:p>
      <w:pPr>
        <w:pStyle w:val="ListParagraph"/>
        <w:numPr>
          <w:ilvl w:val="0"/>
          <w:numId w:val="2"/>
        </w:numPr>
        <w:spacing w:before="60" w:after="60"/>
      </w:pPr>
      <w:r>
        <w:rPr>
          <w:rFonts w:ascii="Arial" w:cs="Arial" w:eastAsia="Arial" w:hAnsi="Arial"/>
          <w:color w:val="1C1C1C"/>
          <w:sz w:val="22"/>
          <w:szCs w:val="22"/>
        </w:rPr>
        <w:t xml:space="preserve">Supply advance briefing materials to the Partner's producers at least </w:t>
      </w:r>
      <w:r>
        <w:rPr>
          <w:rFonts w:ascii="Arial" w:cs="Arial" w:eastAsia="Arial" w:hAnsi="Arial"/>
          <w:b/>
          <w:bCs/>
          <w:color w:val="8B0000"/>
          <w:sz w:val="22"/>
          <w:szCs w:val="22"/>
          <w:highlight w:val="yellow"/>
          <w:highlightCs w:val="yellow"/>
        </w:rPr>
        <w:t xml:space="preserve">[3]</w:t>
      </w:r>
      <w:r>
        <w:rPr>
          <w:rFonts w:ascii="Arial" w:cs="Arial" w:eastAsia="Arial" w:hAnsi="Arial"/>
          <w:color w:val="1C1C1C"/>
          <w:sz w:val="22"/>
          <w:szCs w:val="22"/>
        </w:rPr>
        <w:t xml:space="preserve"> working days before scheduled appearances, including key talking points, statistics, and visual aids if applicable.</w:t>
      </w:r>
    </w:p>
    <w:p>
      <w:pPr>
        <w:pStyle w:val="ListParagraph"/>
        <w:numPr>
          <w:ilvl w:val="0"/>
          <w:numId w:val="2"/>
        </w:numPr>
        <w:spacing w:before="60" w:after="60"/>
      </w:pPr>
      <w:r>
        <w:rPr>
          <w:rFonts w:ascii="Arial" w:cs="Arial" w:eastAsia="Arial" w:hAnsi="Arial"/>
          <w:color w:val="1C1C1C"/>
          <w:sz w:val="22"/>
          <w:szCs w:val="22"/>
        </w:rPr>
        <w:t xml:space="preserve">Participate in post-programme engagement through social media and follow-up content as coordinated with the Partner.</w:t>
      </w:r>
    </w:p>
    <w:p>
      <w:pPr>
        <w:pStyle w:val="Heading2"/>
        <w:pBdr>
          <w:bottom w:val="single" w:color="1A6E3C" w:sz="4"/>
        </w:pBdr>
        <w:spacing w:before="240" w:after="120"/>
      </w:pPr>
      <w:r>
        <w:rPr>
          <w:rFonts w:ascii="Arial" w:cs="Arial" w:eastAsia="Arial" w:hAnsi="Arial"/>
          <w:b/>
          <w:bCs/>
          <w:color w:val="1A6E3C"/>
          <w:sz w:val="28"/>
          <w:szCs w:val="28"/>
        </w:rPr>
        <w:t xml:space="preserve">4.3 Digital Forums and Online Engagement</w:t>
      </w:r>
    </w:p>
    <w:p>
      <w:pPr>
        <w:spacing w:before="80" w:after="80"/>
      </w:pPr>
      <w:r>
        <w:rPr>
          <w:rFonts w:ascii="Arial" w:cs="Arial" w:eastAsia="Arial" w:hAnsi="Arial"/>
          <w:color w:val="1C1C1C"/>
          <w:sz w:val="22"/>
          <w:szCs w:val="22"/>
        </w:rPr>
        <w:t xml:space="preserve">The Parties agree to:</w:t>
      </w:r>
    </w:p>
    <w:p>
      <w:pPr>
        <w:pStyle w:val="ListParagraph"/>
        <w:numPr>
          <w:ilvl w:val="0"/>
          <w:numId w:val="2"/>
        </w:numPr>
        <w:spacing w:before="60" w:after="60"/>
      </w:pPr>
      <w:r>
        <w:rPr>
          <w:rFonts w:ascii="Arial" w:cs="Arial" w:eastAsia="Arial" w:hAnsi="Arial"/>
          <w:b/>
          <w:bCs/>
          <w:color w:val="1C1C1C"/>
          <w:sz w:val="22"/>
          <w:szCs w:val="22"/>
        </w:rPr>
        <w:t xml:space="preserve">Co-host or participate </w:t>
      </w:r>
      <w:r>
        <w:rPr>
          <w:rFonts w:ascii="Arial" w:cs="Arial" w:eastAsia="Arial" w:hAnsi="Arial"/>
          <w:color w:val="1C1C1C"/>
          <w:sz w:val="22"/>
          <w:szCs w:val="22"/>
        </w:rPr>
        <w:t xml:space="preserve">in </w:t>
      </w:r>
      <w:r>
        <w:rPr>
          <w:rFonts w:ascii="Arial" w:cs="Arial" w:eastAsia="Arial" w:hAnsi="Arial"/>
          <w:b/>
          <w:bCs/>
          <w:color w:val="8B0000"/>
          <w:sz w:val="22"/>
          <w:szCs w:val="22"/>
          <w:highlight w:val="yellow"/>
          <w:highlightCs w:val="yellow"/>
        </w:rPr>
        <w:t xml:space="preserve">[type of digital forums — e.g. Twitter/X Spaces, Instagram Lives, webinars, online town halls]</w:t>
      </w:r>
      <w:r>
        <w:rPr>
          <w:rFonts w:ascii="Arial" w:cs="Arial" w:eastAsia="Arial" w:hAnsi="Arial"/>
          <w:color w:val="1C1C1C"/>
          <w:sz w:val="22"/>
          <w:szCs w:val="22"/>
        </w:rPr>
        <w:t xml:space="preserve"> focused on electoral processes, civic education, youth participation, and governance accountability, with a target of at least </w:t>
      </w:r>
      <w:r>
        <w:rPr>
          <w:rFonts w:ascii="Arial" w:cs="Arial" w:eastAsia="Arial" w:hAnsi="Arial"/>
          <w:b/>
          <w:bCs/>
          <w:color w:val="8B0000"/>
          <w:sz w:val="22"/>
          <w:szCs w:val="22"/>
          <w:highlight w:val="yellow"/>
          <w:highlightCs w:val="yellow"/>
        </w:rPr>
        <w:t xml:space="preserve">[number]</w:t>
      </w:r>
      <w:r>
        <w:rPr>
          <w:rFonts w:ascii="Arial" w:cs="Arial" w:eastAsia="Arial" w:hAnsi="Arial"/>
          <w:color w:val="1C1C1C"/>
          <w:sz w:val="22"/>
          <w:szCs w:val="22"/>
        </w:rPr>
        <w:t xml:space="preserve"> per </w:t>
      </w:r>
      <w:r>
        <w:rPr>
          <w:rFonts w:ascii="Arial" w:cs="Arial" w:eastAsia="Arial" w:hAnsi="Arial"/>
          <w:b/>
          <w:bCs/>
          <w:color w:val="8B0000"/>
          <w:sz w:val="22"/>
          <w:szCs w:val="22"/>
          <w:highlight w:val="yellow"/>
          <w:highlightCs w:val="yellow"/>
        </w:rPr>
        <w:t xml:space="preserve">[month / quarter]</w:t>
      </w:r>
      <w:r>
        <w:rPr>
          <w:rFonts w:ascii="Arial" w:cs="Arial" w:eastAsia="Arial" w:hAnsi="Arial"/>
          <w:color w:val="1C1C1C"/>
          <w:sz w:val="22"/>
          <w:szCs w:val="22"/>
        </w:rPr>
        <w:t xml:space="preserve"> during the collaboration period.</w:t>
      </w:r>
    </w:p>
    <w:p>
      <w:pPr>
        <w:pStyle w:val="ListParagraph"/>
        <w:numPr>
          <w:ilvl w:val="0"/>
          <w:numId w:val="2"/>
        </w:numPr>
        <w:spacing w:before="60" w:after="60"/>
      </w:pPr>
      <w:r>
        <w:rPr>
          <w:rFonts w:ascii="Arial" w:cs="Arial" w:eastAsia="Arial" w:hAnsi="Arial"/>
          <w:b/>
          <w:bCs/>
          <w:color w:val="1C1C1C"/>
          <w:sz w:val="22"/>
          <w:szCs w:val="22"/>
        </w:rPr>
        <w:t xml:space="preserve">Share concept notes and guest lists </w:t>
      </w:r>
      <w:r>
        <w:rPr>
          <w:rFonts w:ascii="Arial" w:cs="Arial" w:eastAsia="Arial" w:hAnsi="Arial"/>
          <w:color w:val="1C1C1C"/>
          <w:sz w:val="22"/>
          <w:szCs w:val="22"/>
        </w:rPr>
        <w:t xml:space="preserve">at least </w:t>
      </w:r>
      <w:r>
        <w:rPr>
          <w:rFonts w:ascii="Arial" w:cs="Arial" w:eastAsia="Arial" w:hAnsi="Arial"/>
          <w:b/>
          <w:bCs/>
          <w:color w:val="8B0000"/>
          <w:sz w:val="22"/>
          <w:szCs w:val="22"/>
          <w:highlight w:val="yellow"/>
          <w:highlightCs w:val="yellow"/>
        </w:rPr>
        <w:t xml:space="preserve">[72]</w:t>
      </w:r>
      <w:r>
        <w:rPr>
          <w:rFonts w:ascii="Arial" w:cs="Arial" w:eastAsia="Arial" w:hAnsi="Arial"/>
          <w:color w:val="1C1C1C"/>
          <w:sz w:val="22"/>
          <w:szCs w:val="22"/>
        </w:rPr>
        <w:t xml:space="preserve"> hours before scheduled sessions to enable coordination.</w:t>
      </w:r>
    </w:p>
    <w:p>
      <w:pPr>
        <w:pStyle w:val="ListParagraph"/>
        <w:numPr>
          <w:ilvl w:val="0"/>
          <w:numId w:val="2"/>
        </w:numPr>
        <w:spacing w:before="60" w:after="60"/>
      </w:pPr>
      <w:r>
        <w:rPr>
          <w:rFonts w:ascii="Arial" w:cs="Arial" w:eastAsia="Arial" w:hAnsi="Arial"/>
          <w:b/>
          <w:bCs/>
          <w:color w:val="1C1C1C"/>
          <w:sz w:val="22"/>
          <w:szCs w:val="22"/>
        </w:rPr>
        <w:t xml:space="preserve">Record and archive </w:t>
      </w:r>
      <w:r>
        <w:rPr>
          <w:rFonts w:ascii="Arial" w:cs="Arial" w:eastAsia="Arial" w:hAnsi="Arial"/>
          <w:color w:val="1C1C1C"/>
          <w:sz w:val="22"/>
          <w:szCs w:val="22"/>
        </w:rPr>
        <w:t xml:space="preserve">digital forums (subject to technical capability) for repurposing into educational resources, podcasts, or blog content.</w:t>
      </w:r>
    </w:p>
    <w:p>
      <w:pPr>
        <w:pStyle w:val="ListParagraph"/>
        <w:numPr>
          <w:ilvl w:val="0"/>
          <w:numId w:val="2"/>
        </w:numPr>
        <w:spacing w:before="60" w:after="60"/>
      </w:pPr>
      <w:r>
        <w:rPr>
          <w:rFonts w:ascii="Arial" w:cs="Arial" w:eastAsia="Arial" w:hAnsi="Arial"/>
          <w:b/>
          <w:bCs/>
          <w:color w:val="1C1C1C"/>
          <w:sz w:val="22"/>
          <w:szCs w:val="22"/>
        </w:rPr>
        <w:t xml:space="preserve">Coordinate promotion </w:t>
      </w:r>
      <w:r>
        <w:rPr>
          <w:rFonts w:ascii="Arial" w:cs="Arial" w:eastAsia="Arial" w:hAnsi="Arial"/>
          <w:color w:val="1C1C1C"/>
          <w:sz w:val="22"/>
          <w:szCs w:val="22"/>
        </w:rPr>
        <w:t xml:space="preserve">across both organizations' networks with at least </w:t>
      </w:r>
      <w:r>
        <w:rPr>
          <w:rFonts w:ascii="Arial" w:cs="Arial" w:eastAsia="Arial" w:hAnsi="Arial"/>
          <w:b/>
          <w:bCs/>
          <w:color w:val="8B0000"/>
          <w:sz w:val="22"/>
          <w:szCs w:val="22"/>
          <w:highlight w:val="yellow"/>
          <w:highlightCs w:val="yellow"/>
        </w:rPr>
        <w:t xml:space="preserve">[48]</w:t>
      </w:r>
      <w:r>
        <w:rPr>
          <w:rFonts w:ascii="Arial" w:cs="Arial" w:eastAsia="Arial" w:hAnsi="Arial"/>
          <w:color w:val="1C1C1C"/>
          <w:sz w:val="22"/>
          <w:szCs w:val="22"/>
        </w:rPr>
        <w:t xml:space="preserve"> hours advance promotion.</w:t>
      </w:r>
    </w:p>
    <w:p>
      <w:pPr>
        <w:pStyle w:val="Heading2"/>
        <w:pBdr>
          <w:bottom w:val="single" w:color="1A6E3C" w:sz="4"/>
        </w:pBdr>
        <w:spacing w:before="240" w:after="120"/>
      </w:pPr>
      <w:r>
        <w:rPr>
          <w:rFonts w:ascii="Arial" w:cs="Arial" w:eastAsia="Arial" w:hAnsi="Arial"/>
          <w:b/>
          <w:bCs/>
          <w:color w:val="1A6E3C"/>
          <w:sz w:val="28"/>
          <w:szCs w:val="28"/>
        </w:rPr>
        <w:t xml:space="preserve">4.4 Ground Activations and Community Forums</w:t>
      </w:r>
    </w:p>
    <w:p>
      <w:pPr>
        <w:spacing w:before="80" w:after="80"/>
      </w:pPr>
      <w:r>
        <w:rPr>
          <w:rFonts w:ascii="Arial" w:cs="Arial" w:eastAsia="Arial" w:hAnsi="Arial"/>
          <w:color w:val="1C1C1C"/>
          <w:sz w:val="22"/>
          <w:szCs w:val="22"/>
        </w:rPr>
        <w:t xml:space="preserve">The Parties agree to:</w:t>
      </w:r>
    </w:p>
    <w:p>
      <w:pPr>
        <w:pStyle w:val="ListParagraph"/>
        <w:numPr>
          <w:ilvl w:val="0"/>
          <w:numId w:val="2"/>
        </w:numPr>
        <w:spacing w:before="60" w:after="60"/>
      </w:pPr>
      <w:r>
        <w:rPr>
          <w:rFonts w:ascii="Arial" w:cs="Arial" w:eastAsia="Arial" w:hAnsi="Arial"/>
          <w:b/>
          <w:bCs/>
          <w:color w:val="1C1C1C"/>
          <w:sz w:val="22"/>
          <w:szCs w:val="22"/>
        </w:rPr>
        <w:t xml:space="preserve">Integrate Nasaka IEBC </w:t>
      </w:r>
      <w:r>
        <w:rPr>
          <w:rFonts w:ascii="Arial" w:cs="Arial" w:eastAsia="Arial" w:hAnsi="Arial"/>
          <w:color w:val="1C1C1C"/>
          <w:sz w:val="22"/>
          <w:szCs w:val="22"/>
        </w:rPr>
        <w:t xml:space="preserve">into the Partner's ground activations in </w:t>
      </w:r>
      <w:r>
        <w:rPr>
          <w:rFonts w:ascii="Arial" w:cs="Arial" w:eastAsia="Arial" w:hAnsi="Arial"/>
          <w:b/>
          <w:bCs/>
          <w:color w:val="8B0000"/>
          <w:sz w:val="22"/>
          <w:szCs w:val="22"/>
          <w:highlight w:val="yellow"/>
          <w:highlightCs w:val="yellow"/>
        </w:rPr>
        <w:t xml:space="preserve">[target counties / communities — e.g. Kisumu, Nakuru, Kajiado]</w:t>
      </w:r>
      <w:r>
        <w:rPr>
          <w:rFonts w:ascii="Arial" w:cs="Arial" w:eastAsia="Arial" w:hAnsi="Arial"/>
          <w:color w:val="1C1C1C"/>
          <w:sz w:val="22"/>
          <w:szCs w:val="22"/>
        </w:rPr>
        <w:t xml:space="preserve"> and other areas identified collaboratively in quarterly planning sessions.</w:t>
      </w:r>
    </w:p>
    <w:p>
      <w:pPr>
        <w:pStyle w:val="ListParagraph"/>
        <w:numPr>
          <w:ilvl w:val="0"/>
          <w:numId w:val="2"/>
        </w:numPr>
        <w:spacing w:before="60" w:after="60"/>
      </w:pPr>
      <w:r>
        <w:rPr>
          <w:rFonts w:ascii="Arial" w:cs="Arial" w:eastAsia="Arial" w:hAnsi="Arial"/>
          <w:b/>
          <w:bCs/>
          <w:color w:val="1C1C1C"/>
          <w:sz w:val="22"/>
          <w:szCs w:val="22"/>
        </w:rPr>
        <w:t xml:space="preserve">Coordinate community forum schedules </w:t>
      </w:r>
      <w:r>
        <w:rPr>
          <w:rFonts w:ascii="Arial" w:cs="Arial" w:eastAsia="Arial" w:hAnsi="Arial"/>
          <w:color w:val="1C1C1C"/>
          <w:sz w:val="22"/>
          <w:szCs w:val="22"/>
        </w:rPr>
        <w:t xml:space="preserve">at least </w:t>
      </w:r>
      <w:r>
        <w:rPr>
          <w:rFonts w:ascii="Arial" w:cs="Arial" w:eastAsia="Arial" w:hAnsi="Arial"/>
          <w:b/>
          <w:bCs/>
          <w:color w:val="8B0000"/>
          <w:sz w:val="22"/>
          <w:szCs w:val="22"/>
          <w:highlight w:val="yellow"/>
          <w:highlightCs w:val="yellow"/>
        </w:rPr>
        <w:t xml:space="preserve">[21]</w:t>
      </w:r>
      <w:r>
        <w:rPr>
          <w:rFonts w:ascii="Arial" w:cs="Arial" w:eastAsia="Arial" w:hAnsi="Arial"/>
          <w:color w:val="1C1C1C"/>
          <w:sz w:val="22"/>
          <w:szCs w:val="22"/>
        </w:rPr>
        <w:t xml:space="preserve"> days in advance to enable joint sensitization efforts and resource allocation.</w:t>
      </w:r>
    </w:p>
    <w:p>
      <w:pPr>
        <w:pStyle w:val="ListParagraph"/>
        <w:numPr>
          <w:ilvl w:val="0"/>
          <w:numId w:val="2"/>
        </w:numPr>
        <w:spacing w:before="60" w:after="60"/>
      </w:pPr>
      <w:r>
        <w:rPr>
          <w:rFonts w:ascii="Arial" w:cs="Arial" w:eastAsia="Arial" w:hAnsi="Arial"/>
          <w:b/>
          <w:bCs/>
          <w:color w:val="1C1C1C"/>
          <w:sz w:val="22"/>
          <w:szCs w:val="22"/>
        </w:rPr>
        <w:t xml:space="preserve">Share field insights </w:t>
      </w:r>
      <w:r>
        <w:rPr>
          <w:rFonts w:ascii="Arial" w:cs="Arial" w:eastAsia="Arial" w:hAnsi="Arial"/>
          <w:color w:val="1C1C1C"/>
          <w:sz w:val="22"/>
          <w:szCs w:val="22"/>
        </w:rPr>
        <w:t xml:space="preserve">regarding platform usability, community feedback, accessibility challenges, and regional needs within </w:t>
      </w:r>
      <w:r>
        <w:rPr>
          <w:rFonts w:ascii="Arial" w:cs="Arial" w:eastAsia="Arial" w:hAnsi="Arial"/>
          <w:b/>
          <w:bCs/>
          <w:color w:val="8B0000"/>
          <w:sz w:val="22"/>
          <w:szCs w:val="22"/>
          <w:highlight w:val="yellow"/>
          <w:highlightCs w:val="yellow"/>
        </w:rPr>
        <w:t xml:space="preserve">[7]</w:t>
      </w:r>
      <w:r>
        <w:rPr>
          <w:rFonts w:ascii="Arial" w:cs="Arial" w:eastAsia="Arial" w:hAnsi="Arial"/>
          <w:color w:val="1C1C1C"/>
          <w:sz w:val="22"/>
          <w:szCs w:val="22"/>
        </w:rPr>
        <w:t xml:space="preserve"> working days of each ground activation through structured feedback forms provided in Annexure G.</w:t>
      </w:r>
    </w:p>
    <w:p>
      <w:pPr>
        <w:pStyle w:val="ListParagraph"/>
        <w:numPr>
          <w:ilvl w:val="0"/>
          <w:numId w:val="2"/>
        </w:numPr>
        <w:spacing w:before="60" w:after="60"/>
      </w:pPr>
      <w:r>
        <w:rPr>
          <w:rFonts w:ascii="Arial" w:cs="Arial" w:eastAsia="Arial" w:hAnsi="Arial"/>
          <w:b/>
          <w:bCs/>
          <w:color w:val="1C1C1C"/>
          <w:sz w:val="22"/>
          <w:szCs w:val="22"/>
        </w:rPr>
        <w:t xml:space="preserve">Conduct joint monitoring visits </w:t>
      </w:r>
      <w:r>
        <w:rPr>
          <w:rFonts w:ascii="Arial" w:cs="Arial" w:eastAsia="Arial" w:hAnsi="Arial"/>
          <w:color w:val="1C1C1C"/>
          <w:sz w:val="22"/>
          <w:szCs w:val="22"/>
        </w:rPr>
        <w:t xml:space="preserve">to at least </w:t>
      </w:r>
      <w:r>
        <w:rPr>
          <w:rFonts w:ascii="Arial" w:cs="Arial" w:eastAsia="Arial" w:hAnsi="Arial"/>
          <w:b/>
          <w:bCs/>
          <w:color w:val="8B0000"/>
          <w:sz w:val="22"/>
          <w:szCs w:val="22"/>
          <w:highlight w:val="yellow"/>
          <w:highlightCs w:val="yellow"/>
        </w:rPr>
        <w:t xml:space="preserve">[three (3)]</w:t>
      </w:r>
      <w:r>
        <w:rPr>
          <w:rFonts w:ascii="Arial" w:cs="Arial" w:eastAsia="Arial" w:hAnsi="Arial"/>
          <w:color w:val="1C1C1C"/>
          <w:sz w:val="22"/>
          <w:szCs w:val="22"/>
        </w:rPr>
        <w:t xml:space="preserve"> county-level activations during the collaboration period.</w:t>
      </w:r>
    </w:p>
    <w:p>
      <w:pPr>
        <w:spacing w:before="0" w:after="120"/>
      </w:pPr>
      <w:r>
        <w:rPr>
          <w:rFonts w:ascii="Arial" w:cs="Arial" w:eastAsia="Arial" w:hAnsi="Arial"/>
          <w:sz w:val="22"/>
          <w:szCs w:val="22"/>
        </w:rPr>
        <w:t xml:space="preserve"/>
      </w:r>
    </w:p>
    <w:p>
      <w:pPr>
        <w:spacing w:before="80" w:after="80"/>
      </w:pPr>
      <w:r>
        <w:rPr>
          <w:rFonts w:ascii="Arial" w:cs="Arial" w:eastAsia="Arial" w:hAnsi="Arial"/>
          <w:color w:val="1C1C1C"/>
          <w:sz w:val="22"/>
          <w:szCs w:val="22"/>
        </w:rPr>
        <w:t xml:space="preserve">CEKA may provide:</w:t>
      </w:r>
    </w:p>
    <w:p>
      <w:pPr>
        <w:pStyle w:val="ListParagraph"/>
        <w:numPr>
          <w:ilvl w:val="0"/>
          <w:numId w:val="2"/>
        </w:numPr>
        <w:spacing w:before="60" w:after="60"/>
      </w:pPr>
      <w:r>
        <w:rPr>
          <w:rFonts w:ascii="Arial" w:cs="Arial" w:eastAsia="Arial" w:hAnsi="Arial"/>
          <w:color w:val="1C1C1C"/>
          <w:sz w:val="22"/>
          <w:szCs w:val="22"/>
        </w:rPr>
        <w:t xml:space="preserve">Capacity-building training for the Partner's teams on effective use of Nasaka IEBC, civic information dissemination, and misinformation identification.</w:t>
      </w:r>
    </w:p>
    <w:p>
      <w:pPr>
        <w:pStyle w:val="ListParagraph"/>
        <w:numPr>
          <w:ilvl w:val="0"/>
          <w:numId w:val="2"/>
        </w:numPr>
        <w:spacing w:before="60" w:after="60"/>
      </w:pPr>
      <w:r>
        <w:rPr>
          <w:rFonts w:ascii="Arial" w:cs="Arial" w:eastAsia="Arial" w:hAnsi="Arial"/>
          <w:color w:val="1C1C1C"/>
          <w:sz w:val="22"/>
          <w:szCs w:val="22"/>
        </w:rPr>
        <w:t xml:space="preserve">Technical support materials including printed user guides, quick reference cards, and FAQs translated into Kiswahili and English.</w:t>
      </w:r>
    </w:p>
    <w:p>
      <w:pPr>
        <w:pStyle w:val="ListParagraph"/>
        <w:numPr>
          <w:ilvl w:val="0"/>
          <w:numId w:val="2"/>
        </w:numPr>
        <w:spacing w:before="60" w:after="60"/>
      </w:pPr>
      <w:r>
        <w:rPr>
          <w:rFonts w:ascii="Arial" w:cs="Arial" w:eastAsia="Arial" w:hAnsi="Arial"/>
          <w:color w:val="1C1C1C"/>
          <w:sz w:val="22"/>
          <w:szCs w:val="22"/>
        </w:rPr>
        <w:t xml:space="preserve">On-demand technical assistance through a designated support contact during working hours.</w:t>
      </w:r>
    </w:p>
    <w:p>
      <w:pPr>
        <w:pStyle w:val="Heading2"/>
        <w:pBdr>
          <w:bottom w:val="single" w:color="1A6E3C" w:sz="4"/>
        </w:pBdr>
        <w:spacing w:before="240" w:after="120"/>
      </w:pPr>
      <w:r>
        <w:rPr>
          <w:rFonts w:ascii="Arial" w:cs="Arial" w:eastAsia="Arial" w:hAnsi="Arial"/>
          <w:b/>
          <w:bCs/>
          <w:color w:val="1A6E3C"/>
          <w:sz w:val="28"/>
          <w:szCs w:val="28"/>
        </w:rPr>
        <w:t xml:space="preserve">4.5 Data Insights and Platform Development</w:t>
      </w:r>
    </w:p>
    <w:p>
      <w:pPr>
        <w:spacing w:before="80" w:after="80"/>
      </w:pPr>
      <w:r>
        <w:rPr>
          <w:rFonts w:ascii="Arial" w:cs="Arial" w:eastAsia="Arial" w:hAnsi="Arial"/>
          <w:color w:val="1C1C1C"/>
          <w:sz w:val="22"/>
          <w:szCs w:val="22"/>
        </w:rPr>
        <w:t xml:space="preserve">CEKA agrees to:</w:t>
      </w:r>
    </w:p>
    <w:p>
      <w:pPr>
        <w:pStyle w:val="ListParagraph"/>
        <w:numPr>
          <w:ilvl w:val="0"/>
          <w:numId w:val="2"/>
        </w:numPr>
        <w:spacing w:before="60" w:after="60"/>
      </w:pPr>
      <w:r>
        <w:rPr>
          <w:rFonts w:ascii="Arial" w:cs="Arial" w:eastAsia="Arial" w:hAnsi="Arial"/>
          <w:color w:val="1C1C1C"/>
          <w:sz w:val="22"/>
          <w:szCs w:val="22"/>
        </w:rPr>
        <w:t xml:space="preserve">Share aggregated, anonymized analytics regarding Nasaka IEBC usage patterns on a monthly basis within </w:t>
      </w:r>
      <w:r>
        <w:rPr>
          <w:rFonts w:ascii="Arial" w:cs="Arial" w:eastAsia="Arial" w:hAnsi="Arial"/>
          <w:b/>
          <w:bCs/>
          <w:color w:val="8B0000"/>
          <w:sz w:val="22"/>
          <w:szCs w:val="22"/>
          <w:highlight w:val="yellow"/>
          <w:highlightCs w:val="yellow"/>
        </w:rPr>
        <w:t xml:space="preserve">[10]</w:t>
      </w:r>
      <w:r>
        <w:rPr>
          <w:rFonts w:ascii="Arial" w:cs="Arial" w:eastAsia="Arial" w:hAnsi="Arial"/>
          <w:color w:val="1C1C1C"/>
          <w:sz w:val="22"/>
          <w:szCs w:val="22"/>
        </w:rPr>
        <w:t xml:space="preserve"> working days of month end.</w:t>
      </w:r>
    </w:p>
    <w:p>
      <w:pPr>
        <w:pStyle w:val="ListParagraph"/>
        <w:numPr>
          <w:ilvl w:val="0"/>
          <w:numId w:val="2"/>
        </w:numPr>
        <w:spacing w:before="60" w:after="60"/>
      </w:pPr>
      <w:r>
        <w:rPr>
          <w:rFonts w:ascii="Arial" w:cs="Arial" w:eastAsia="Arial" w:hAnsi="Arial"/>
          <w:color w:val="1C1C1C"/>
          <w:sz w:val="22"/>
          <w:szCs w:val="22"/>
        </w:rPr>
        <w:t xml:space="preserve">Provide updates on platform developments including offline functionality, language accessibility features, and capacity scaling through quarterly technical briefings.</w:t>
      </w:r>
    </w:p>
    <w:p>
      <w:pPr>
        <w:pStyle w:val="ListParagraph"/>
        <w:numPr>
          <w:ilvl w:val="0"/>
          <w:numId w:val="2"/>
        </w:numPr>
        <w:spacing w:before="60" w:after="60"/>
      </w:pPr>
      <w:r>
        <w:rPr>
          <w:rFonts w:ascii="Arial" w:cs="Arial" w:eastAsia="Arial" w:hAnsi="Arial"/>
          <w:color w:val="1C1C1C"/>
          <w:sz w:val="22"/>
          <w:szCs w:val="22"/>
        </w:rPr>
        <w:t xml:space="preserve">Incorporate Partner field feedback into platform improvement cycles, with acknowledgment within 5 working days and implementation updates in quarterly reviews.</w:t>
      </w:r>
    </w:p>
    <w:p>
      <w:pPr>
        <w:spacing w:before="0" w:after="120"/>
      </w:pPr>
      <w:r>
        <w:rPr>
          <w:rFonts w:ascii="Arial" w:cs="Arial" w:eastAsia="Arial" w:hAnsi="Arial"/>
          <w:sz w:val="22"/>
          <w:szCs w:val="22"/>
        </w:rPr>
        <w:t xml:space="preserve"/>
      </w:r>
    </w:p>
    <w:p>
      <w:pPr>
        <w:spacing w:before="80" w:after="80"/>
      </w:pPr>
      <w:r>
        <w:rPr>
          <w:rFonts w:ascii="Arial" w:cs="Arial" w:eastAsia="Arial" w:hAnsi="Arial"/>
          <w:color w:val="1C1C1C"/>
          <w:sz w:val="22"/>
          <w:szCs w:val="22"/>
        </w:rPr>
        <w:t xml:space="preserve">The Partner agrees to:</w:t>
      </w:r>
    </w:p>
    <w:p>
      <w:pPr>
        <w:pStyle w:val="ListParagraph"/>
        <w:numPr>
          <w:ilvl w:val="0"/>
          <w:numId w:val="2"/>
        </w:numPr>
        <w:spacing w:before="60" w:after="60"/>
      </w:pPr>
      <w:r>
        <w:rPr>
          <w:rFonts w:ascii="Arial" w:cs="Arial" w:eastAsia="Arial" w:hAnsi="Arial"/>
          <w:color w:val="1C1C1C"/>
          <w:sz w:val="22"/>
          <w:szCs w:val="22"/>
        </w:rPr>
        <w:t xml:space="preserve">Systematically collect and share community feedback on Nasaka IEBC usability, accessibility barriers, information accuracy, and feature requests.</w:t>
      </w:r>
    </w:p>
    <w:p>
      <w:pPr>
        <w:pStyle w:val="ListParagraph"/>
        <w:numPr>
          <w:ilvl w:val="0"/>
          <w:numId w:val="2"/>
        </w:numPr>
        <w:spacing w:before="60" w:after="60"/>
      </w:pPr>
      <w:r>
        <w:rPr>
          <w:rFonts w:ascii="Arial" w:cs="Arial" w:eastAsia="Arial" w:hAnsi="Arial"/>
          <w:color w:val="1C1C1C"/>
          <w:sz w:val="22"/>
          <w:szCs w:val="22"/>
        </w:rPr>
        <w:t xml:space="preserve">Identify priority counties and communities where enhanced civic tool deployment would yield significant impact.</w:t>
      </w:r>
    </w:p>
    <w:p>
      <w:pPr>
        <w:pStyle w:val="ListParagraph"/>
        <w:numPr>
          <w:ilvl w:val="0"/>
          <w:numId w:val="2"/>
        </w:numPr>
        <w:spacing w:before="60" w:after="60"/>
      </w:pPr>
      <w:r>
        <w:rPr>
          <w:rFonts w:ascii="Arial" w:cs="Arial" w:eastAsia="Arial" w:hAnsi="Arial"/>
          <w:color w:val="1C1C1C"/>
          <w:sz w:val="22"/>
          <w:szCs w:val="22"/>
        </w:rPr>
        <w:t xml:space="preserve">Test beta features or pilot deployments when requested by CEKA, providing structured user testing feedback within agreed timelines.</w:t>
      </w:r>
    </w:p>
    <w:p>
      <w:pPr>
        <w:pStyle w:val="Heading2"/>
        <w:pBdr>
          <w:bottom w:val="single" w:color="1A6E3C" w:sz="4"/>
        </w:pBdr>
        <w:spacing w:before="240" w:after="120"/>
      </w:pPr>
      <w:r>
        <w:rPr>
          <w:rFonts w:ascii="Arial" w:cs="Arial" w:eastAsia="Arial" w:hAnsi="Arial"/>
          <w:b/>
          <w:bCs/>
          <w:color w:val="1A6E3C"/>
          <w:sz w:val="28"/>
          <w:szCs w:val="28"/>
        </w:rPr>
        <w:t xml:space="preserve">4.6 [Additional Scope Area — Customize as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6"/>
              <w:left w:val="single" w:color="1A6E3C" w:sz="6"/>
              <w:bottom w:val="single" w:color="1A6E3C" w:sz="6"/>
              <w:right w:val="single" w:color="1A6E3C" w:sz="6"/>
            </w:tcBorders>
            <w:shd w:fill="FDF6E3" w:val="clear"/>
            <w:tcMar>
              <w:top w:type="dxa" w:w="120"/>
              <w:left w:type="dxa" w:w="180"/>
              <w:bottom w:type="dxa" w:w="120"/>
              <w:right w:type="dxa" w:w="180"/>
            </w:tcMar>
          </w:tcPr>
          <w:p>
            <w:pPr>
              <w:spacing w:before="80" w:after="80"/>
            </w:pPr>
            <w:r>
              <w:rPr>
                <w:rFonts w:ascii="Arial" w:cs="Arial" w:eastAsia="Arial" w:hAnsi="Arial"/>
                <w:i/>
                <w:iCs/>
                <w:color w:val="1C1C1C"/>
                <w:sz w:val="22"/>
                <w:szCs w:val="22"/>
              </w:rPr>
              <w:t xml:space="preserve">Use this sub-section to define any additional collaboration scope specific to this partnership that does not fit the categories above. Examples include: research collaboration, joint grant applications, legislative advocacy coordination, diaspora engagement, school or university programmes, etc. Delete this sub-section if not required.</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8B0000"/>
                <w:sz w:val="22"/>
                <w:szCs w:val="22"/>
                <w:highlight w:val="yellow"/>
                <w:highlightCs w:val="yellow"/>
              </w:rPr>
              <w:t xml:space="preserve">[Description of additional scope area and mutual commitments]</w:t>
            </w:r>
          </w:p>
        </w:tc>
      </w:tr>
    </w:tbl>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5. GOVERNANCE AND COORDINATION</w:t>
      </w:r>
    </w:p>
    <w:p>
      <w:pPr>
        <w:pStyle w:val="Heading2"/>
        <w:pBdr>
          <w:bottom w:val="single" w:color="1A6E3C" w:sz="4"/>
        </w:pBdr>
        <w:spacing w:before="240" w:after="120"/>
      </w:pPr>
      <w:r>
        <w:rPr>
          <w:rFonts w:ascii="Arial" w:cs="Arial" w:eastAsia="Arial" w:hAnsi="Arial"/>
          <w:b/>
          <w:bCs/>
          <w:color w:val="1A6E3C"/>
          <w:sz w:val="28"/>
          <w:szCs w:val="28"/>
        </w:rPr>
        <w:t xml:space="preserve">5.1 Steering Group</w:t>
      </w:r>
    </w:p>
    <w:p>
      <w:pPr>
        <w:spacing w:before="80" w:after="80"/>
      </w:pPr>
      <w:r>
        <w:rPr>
          <w:rFonts w:ascii="Arial" w:cs="Arial" w:eastAsia="Arial" w:hAnsi="Arial"/>
          <w:color w:val="1C1C1C"/>
          <w:sz w:val="22"/>
          <w:szCs w:val="22"/>
        </w:rPr>
        <w:t xml:space="preserve">The Parties hereby establish a </w:t>
      </w:r>
      <w:r>
        <w:rPr>
          <w:rFonts w:ascii="Arial" w:cs="Arial" w:eastAsia="Arial" w:hAnsi="Arial"/>
          <w:b/>
          <w:bCs/>
          <w:color w:val="1C1C1C"/>
          <w:sz w:val="22"/>
          <w:szCs w:val="22"/>
        </w:rPr>
        <w:t xml:space="preserve">Steering Group</w:t>
      </w:r>
      <w:r>
        <w:rPr>
          <w:rFonts w:ascii="Arial" w:cs="Arial" w:eastAsia="Arial" w:hAnsi="Arial"/>
          <w:color w:val="1C1C1C"/>
          <w:sz w:val="22"/>
          <w:szCs w:val="22"/>
        </w:rPr>
        <w:t xml:space="preserve"> as the primary coordination and decision-making body for this collaboration.</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Composition: </w:t>
      </w:r>
      <w:r>
        <w:rPr>
          <w:rFonts w:ascii="Arial" w:cs="Arial" w:eastAsia="Arial" w:hAnsi="Arial"/>
          <w:color w:val="1C1C1C"/>
          <w:sz w:val="22"/>
          <w:szCs w:val="22"/>
        </w:rPr>
        <w:t xml:space="preserve">One (1) designated focal person from each Party with decision-making authority.</w:t>
      </w:r>
    </w:p>
    <w:p>
      <w:pPr>
        <w:spacing w:before="80" w:after="80"/>
      </w:pPr>
      <w:r>
        <w:rPr>
          <w:rFonts w:ascii="Arial" w:cs="Arial" w:eastAsia="Arial" w:hAnsi="Arial"/>
          <w:b/>
          <w:bCs/>
          <w:color w:val="1C1C1C"/>
          <w:sz w:val="22"/>
          <w:szCs w:val="22"/>
        </w:rPr>
        <w:t xml:space="preserve">Meetings: </w:t>
      </w:r>
      <w:r>
        <w:rPr>
          <w:rFonts w:ascii="Arial" w:cs="Arial" w:eastAsia="Arial" w:hAnsi="Arial"/>
          <w:color w:val="1C1C1C"/>
          <w:sz w:val="22"/>
          <w:szCs w:val="22"/>
        </w:rPr>
        <w:t xml:space="preserve">The Steering Group shall convene monthly (</w:t>
      </w:r>
      <w:r>
        <w:rPr>
          <w:rFonts w:ascii="Arial" w:cs="Arial" w:eastAsia="Arial" w:hAnsi="Arial"/>
          <w:b/>
          <w:bCs/>
          <w:color w:val="8B0000"/>
          <w:sz w:val="22"/>
          <w:szCs w:val="22"/>
          <w:highlight w:val="yellow"/>
          <w:highlightCs w:val="yellow"/>
        </w:rPr>
        <w:t xml:space="preserve">[specify day and time — e.g. first Thursday of each month at 2:00 PM EAT]</w:t>
      </w:r>
      <w:r>
        <w:rPr>
          <w:rFonts w:ascii="Arial" w:cs="Arial" w:eastAsia="Arial" w:hAnsi="Arial"/>
          <w:color w:val="1C1C1C"/>
          <w:sz w:val="22"/>
          <w:szCs w:val="22"/>
        </w:rPr>
        <w:t xml:space="preserve">), with ad-hoc meetings for urgent matters requiring at least 24 hours notice.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Functions: </w:t>
      </w:r>
      <w:r>
        <w:rPr>
          <w:rFonts w:ascii="Arial" w:cs="Arial" w:eastAsia="Arial" w:hAnsi="Arial"/>
          <w:color w:val="1C1C1C"/>
          <w:sz w:val="22"/>
          <w:szCs w:val="22"/>
        </w:rPr>
        <w:t xml:space="preserve">The Steering Group shall:</w:t>
      </w:r>
    </w:p>
    <w:p>
      <w:pPr>
        <w:pStyle w:val="ListParagraph"/>
        <w:numPr>
          <w:ilvl w:val="0"/>
          <w:numId w:val="2"/>
        </w:numPr>
        <w:spacing w:before="60" w:after="60"/>
      </w:pPr>
      <w:r>
        <w:rPr>
          <w:rFonts w:ascii="Arial" w:cs="Arial" w:eastAsia="Arial" w:hAnsi="Arial"/>
          <w:color w:val="1C1C1C"/>
          <w:sz w:val="22"/>
          <w:szCs w:val="22"/>
        </w:rPr>
        <w:t xml:space="preserve">Review progress against objectives and deliverables specified in Annexure B.</w:t>
      </w:r>
    </w:p>
    <w:p>
      <w:pPr>
        <w:pStyle w:val="ListParagraph"/>
        <w:numPr>
          <w:ilvl w:val="0"/>
          <w:numId w:val="2"/>
        </w:numPr>
        <w:spacing w:before="60" w:after="60"/>
      </w:pPr>
      <w:r>
        <w:rPr>
          <w:rFonts w:ascii="Arial" w:cs="Arial" w:eastAsia="Arial" w:hAnsi="Arial"/>
          <w:color w:val="1C1C1C"/>
          <w:sz w:val="22"/>
          <w:szCs w:val="22"/>
        </w:rPr>
        <w:t xml:space="preserve">Approve campaign calendars, co-branded materials, and public statements.</w:t>
      </w:r>
    </w:p>
    <w:p>
      <w:pPr>
        <w:pStyle w:val="ListParagraph"/>
        <w:numPr>
          <w:ilvl w:val="0"/>
          <w:numId w:val="2"/>
        </w:numPr>
        <w:spacing w:before="60" w:after="60"/>
      </w:pPr>
      <w:r>
        <w:rPr>
          <w:rFonts w:ascii="Arial" w:cs="Arial" w:eastAsia="Arial" w:hAnsi="Arial"/>
          <w:color w:val="1C1C1C"/>
          <w:sz w:val="22"/>
          <w:szCs w:val="22"/>
        </w:rPr>
        <w:t xml:space="preserve">Resolve operational issues and coordination challenges.</w:t>
      </w:r>
    </w:p>
    <w:p>
      <w:pPr>
        <w:pStyle w:val="ListParagraph"/>
        <w:numPr>
          <w:ilvl w:val="0"/>
          <w:numId w:val="2"/>
        </w:numPr>
        <w:spacing w:before="60" w:after="60"/>
      </w:pPr>
      <w:r>
        <w:rPr>
          <w:rFonts w:ascii="Arial" w:cs="Arial" w:eastAsia="Arial" w:hAnsi="Arial"/>
          <w:color w:val="1C1C1C"/>
          <w:sz w:val="22"/>
          <w:szCs w:val="22"/>
        </w:rPr>
        <w:t xml:space="preserve">Assess resource allocation and budget adherence for joint activities.</w:t>
      </w:r>
    </w:p>
    <w:p>
      <w:pPr>
        <w:pStyle w:val="ListParagraph"/>
        <w:numPr>
          <w:ilvl w:val="0"/>
          <w:numId w:val="2"/>
        </w:numPr>
        <w:spacing w:before="60" w:after="60"/>
      </w:pPr>
      <w:r>
        <w:rPr>
          <w:rFonts w:ascii="Arial" w:cs="Arial" w:eastAsia="Arial" w:hAnsi="Arial"/>
          <w:color w:val="1C1C1C"/>
          <w:sz w:val="22"/>
          <w:szCs w:val="22"/>
        </w:rPr>
        <w:t xml:space="preserve">Evaluate quarterly reports and adjust strategies as needed.</w:t>
      </w:r>
    </w:p>
    <w:p>
      <w:pPr>
        <w:pStyle w:val="ListParagraph"/>
        <w:numPr>
          <w:ilvl w:val="0"/>
          <w:numId w:val="2"/>
        </w:numPr>
        <w:spacing w:before="60" w:after="60"/>
      </w:pPr>
      <w:r>
        <w:rPr>
          <w:rFonts w:ascii="Arial" w:cs="Arial" w:eastAsia="Arial" w:hAnsi="Arial"/>
          <w:color w:val="1C1C1C"/>
          <w:sz w:val="22"/>
          <w:szCs w:val="22"/>
        </w:rPr>
        <w:t xml:space="preserve">Approve amendments to annexures or operational procedures.</w:t>
      </w:r>
    </w:p>
    <w:p>
      <w:pPr>
        <w:pStyle w:val="ListParagraph"/>
        <w:numPr>
          <w:ilvl w:val="0"/>
          <w:numId w:val="2"/>
        </w:numPr>
        <w:spacing w:before="60" w:after="60"/>
      </w:pPr>
      <w:r>
        <w:rPr>
          <w:rFonts w:ascii="Arial" w:cs="Arial" w:eastAsia="Arial" w:hAnsi="Arial"/>
          <w:color w:val="1C1C1C"/>
          <w:sz w:val="22"/>
          <w:szCs w:val="22"/>
        </w:rPr>
        <w:t xml:space="preserve">Escalate disputes requiring formal resolution under Section 16.</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Decision-Making: </w:t>
      </w:r>
      <w:r>
        <w:rPr>
          <w:rFonts w:ascii="Arial" w:cs="Arial" w:eastAsia="Arial" w:hAnsi="Arial"/>
          <w:color w:val="1C1C1C"/>
          <w:sz w:val="22"/>
          <w:szCs w:val="22"/>
        </w:rPr>
        <w:t xml:space="preserve">Decisions require consensus of both focal persons. If consensus cannot be reached within 10 working days, the matter shall be escalated to senior leadership of both organizations within an additional 10 working days.</w:t>
      </w:r>
    </w:p>
    <w:p>
      <w:pPr>
        <w:spacing w:before="80" w:after="80"/>
      </w:pPr>
      <w:r>
        <w:rPr>
          <w:rFonts w:ascii="Arial" w:cs="Arial" w:eastAsia="Arial" w:hAnsi="Arial"/>
          <w:b/>
          <w:bCs/>
          <w:color w:val="1C1C1C"/>
          <w:sz w:val="22"/>
          <w:szCs w:val="22"/>
        </w:rPr>
        <w:t xml:space="preserve">Documentation: </w:t>
      </w:r>
      <w:r>
        <w:rPr>
          <w:rFonts w:ascii="Arial" w:cs="Arial" w:eastAsia="Arial" w:hAnsi="Arial"/>
          <w:color w:val="1C1C1C"/>
          <w:sz w:val="22"/>
          <w:szCs w:val="22"/>
        </w:rPr>
        <w:t xml:space="preserve">Meeting minutes shall be prepared alternately by each Party and circulated within 3 working days of each meeting for review and approval.</w:t>
      </w:r>
    </w:p>
    <w:p>
      <w:pPr>
        <w:pStyle w:val="Heading2"/>
        <w:pBdr>
          <w:bottom w:val="single" w:color="1A6E3C" w:sz="4"/>
        </w:pBdr>
        <w:spacing w:before="240" w:after="120"/>
      </w:pPr>
      <w:r>
        <w:rPr>
          <w:rFonts w:ascii="Arial" w:cs="Arial" w:eastAsia="Arial" w:hAnsi="Arial"/>
          <w:b/>
          <w:bCs/>
          <w:color w:val="1A6E3C"/>
          <w:sz w:val="28"/>
          <w:szCs w:val="28"/>
        </w:rPr>
        <w:t xml:space="preserve">5.2 Focal Points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Field</w:t>
            </w:r>
          </w:p>
        </w:tc>
        <w:tc>
          <w:tcPr>
            <w:tcW w:type="dxa" w:w="360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CEKA</w:t>
            </w:r>
          </w:p>
        </w:tc>
        <w:tc>
          <w:tcPr>
            <w:tcW w:type="dxa" w:w="360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Partner Organization</w:t>
            </w:r>
          </w:p>
        </w:tc>
      </w:tr>
      <w:tr>
        <w:tc>
          <w:tcPr>
            <w:tcW w:type="dxa" w:w="2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Name</w:t>
            </w:r>
          </w:p>
        </w:tc>
        <w:tc>
          <w:tcPr>
            <w:tcW w:type="dxa" w:w="3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SG</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[Name of focal person]</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Title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Founder</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[Title / designation]</w:t>
            </w:r>
          </w:p>
        </w:tc>
      </w:tr>
      <w:tr>
        <w:tc>
          <w:tcPr>
            <w:tcW w:type="dxa" w:w="2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Email</w:t>
            </w:r>
          </w:p>
        </w:tc>
        <w:tc>
          <w:tcPr>
            <w:tcW w:type="dxa" w:w="3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civiceducationkenya@gmail.com</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email]</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Phone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[To be provided]</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phone]</w:t>
            </w:r>
          </w:p>
        </w:tc>
      </w:tr>
      <w:tr>
        <w:tc>
          <w:tcPr>
            <w:tcW w:type="dxa" w:w="2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Authority</w:t>
            </w:r>
          </w:p>
        </w:tc>
        <w:tc>
          <w:tcPr>
            <w:tcW w:type="dxa" w:w="3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Strategic decisions, platform technical matters, data governance</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[Scope of authority for Partner focal person]</w:t>
            </w:r>
          </w:p>
        </w:tc>
      </w:tr>
    </w:tbl>
    <w:p>
      <w:pPr>
        <w:pStyle w:val="Heading2"/>
        <w:pBdr>
          <w:bottom w:val="single" w:color="1A6E3C" w:sz="4"/>
        </w:pBdr>
        <w:spacing w:before="240" w:after="120"/>
      </w:pPr>
      <w:r>
        <w:rPr>
          <w:rFonts w:ascii="Arial" w:cs="Arial" w:eastAsia="Arial" w:hAnsi="Arial"/>
          <w:b/>
          <w:bCs/>
          <w:color w:val="1A6E3C"/>
          <w:sz w:val="28"/>
          <w:szCs w:val="28"/>
        </w:rPr>
        <w:t xml:space="preserve">5.3 Communication Protocol</w:t>
      </w:r>
    </w:p>
    <w:p>
      <w:pPr>
        <w:spacing w:before="80" w:after="80"/>
      </w:pPr>
      <w:r>
        <w:rPr>
          <w:rFonts w:ascii="Arial" w:cs="Arial" w:eastAsia="Arial" w:hAnsi="Arial"/>
          <w:b/>
          <w:bCs/>
          <w:color w:val="1C1C1C"/>
          <w:sz w:val="22"/>
          <w:szCs w:val="22"/>
        </w:rPr>
        <w:t xml:space="preserve">Primary Channel: </w:t>
      </w:r>
      <w:r>
        <w:rPr>
          <w:rFonts w:ascii="Arial" w:cs="Arial" w:eastAsia="Arial" w:hAnsi="Arial"/>
          <w:color w:val="1C1C1C"/>
          <w:sz w:val="22"/>
          <w:szCs w:val="22"/>
        </w:rPr>
        <w:t xml:space="preserve">Email for all formal communications, documentation sharing, approvals, strategic updates, and audit trail maintenance.</w:t>
      </w:r>
    </w:p>
    <w:p>
      <w:pPr>
        <w:spacing w:before="80" w:after="80"/>
      </w:pPr>
      <w:r>
        <w:rPr>
          <w:rFonts w:ascii="Arial" w:cs="Arial" w:eastAsia="Arial" w:hAnsi="Arial"/>
          <w:b/>
          <w:bCs/>
          <w:color w:val="1C1C1C"/>
          <w:sz w:val="22"/>
          <w:szCs w:val="22"/>
        </w:rPr>
        <w:t xml:space="preserve">Secondary Channel: </w:t>
      </w:r>
      <w:r>
        <w:rPr>
          <w:rFonts w:ascii="Arial" w:cs="Arial" w:eastAsia="Arial" w:hAnsi="Arial"/>
          <w:b/>
          <w:bCs/>
          <w:color w:val="8B0000"/>
          <w:sz w:val="22"/>
          <w:szCs w:val="22"/>
          <w:highlight w:val="yellow"/>
          <w:highlightCs w:val="yellow"/>
        </w:rPr>
        <w:t xml:space="preserve">[e.g. WhatsApp / Signal / phone]</w:t>
      </w:r>
      <w:r>
        <w:rPr>
          <w:rFonts w:ascii="Arial" w:cs="Arial" w:eastAsia="Arial" w:hAnsi="Arial"/>
          <w:color w:val="1C1C1C"/>
          <w:sz w:val="22"/>
          <w:szCs w:val="22"/>
        </w:rPr>
        <w:t xml:space="preserve"> for urgent coordination and real-time campaign adjustments.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Response Commitments:</w:t>
      </w:r>
    </w:p>
    <w:p>
      <w:pPr>
        <w:pStyle w:val="ListParagraph"/>
        <w:numPr>
          <w:ilvl w:val="0"/>
          <w:numId w:val="2"/>
        </w:numPr>
        <w:spacing w:before="60" w:after="60"/>
      </w:pPr>
      <w:r>
        <w:rPr>
          <w:rFonts w:ascii="Arial" w:cs="Arial" w:eastAsia="Arial" w:hAnsi="Arial"/>
          <w:b/>
          <w:bCs/>
          <w:color w:val="1C1C1C"/>
          <w:sz w:val="22"/>
          <w:szCs w:val="22"/>
        </w:rPr>
        <w:t xml:space="preserve">Urgent matters </w:t>
      </w:r>
      <w:r>
        <w:rPr>
          <w:rFonts w:ascii="Arial" w:cs="Arial" w:eastAsia="Arial" w:hAnsi="Arial"/>
          <w:color w:val="1C1C1C"/>
          <w:sz w:val="22"/>
          <w:szCs w:val="22"/>
        </w:rPr>
        <w:t xml:space="preserve">(affecting scheduled activities within 48 hours): Response within 4 working hours during business hours (9:00 AM – 6:00 PM EAT, Monday–Friday).</w:t>
      </w:r>
    </w:p>
    <w:p>
      <w:pPr>
        <w:pStyle w:val="ListParagraph"/>
        <w:numPr>
          <w:ilvl w:val="0"/>
          <w:numId w:val="2"/>
        </w:numPr>
        <w:spacing w:before="60" w:after="60"/>
      </w:pPr>
      <w:r>
        <w:rPr>
          <w:rFonts w:ascii="Arial" w:cs="Arial" w:eastAsia="Arial" w:hAnsi="Arial"/>
          <w:b/>
          <w:bCs/>
          <w:color w:val="1C1C1C"/>
          <w:sz w:val="22"/>
          <w:szCs w:val="22"/>
        </w:rPr>
        <w:t xml:space="preserve">Standard operational matters: </w:t>
      </w:r>
      <w:r>
        <w:rPr>
          <w:rFonts w:ascii="Arial" w:cs="Arial" w:eastAsia="Arial" w:hAnsi="Arial"/>
          <w:color w:val="1C1C1C"/>
          <w:sz w:val="22"/>
          <w:szCs w:val="22"/>
        </w:rPr>
        <w:t xml:space="preserve">Response within 2 working days.</w:t>
      </w:r>
    </w:p>
    <w:p>
      <w:pPr>
        <w:pStyle w:val="ListParagraph"/>
        <w:numPr>
          <w:ilvl w:val="0"/>
          <w:numId w:val="2"/>
        </w:numPr>
        <w:spacing w:before="60" w:after="60"/>
      </w:pPr>
      <w:r>
        <w:rPr>
          <w:rFonts w:ascii="Arial" w:cs="Arial" w:eastAsia="Arial" w:hAnsi="Arial"/>
          <w:b/>
          <w:bCs/>
          <w:color w:val="1C1C1C"/>
          <w:sz w:val="22"/>
          <w:szCs w:val="22"/>
        </w:rPr>
        <w:t xml:space="preserve">Approval requests </w:t>
      </w:r>
      <w:r>
        <w:rPr>
          <w:rFonts w:ascii="Arial" w:cs="Arial" w:eastAsia="Arial" w:hAnsi="Arial"/>
          <w:color w:val="1C1C1C"/>
          <w:sz w:val="22"/>
          <w:szCs w:val="22"/>
        </w:rPr>
        <w:t xml:space="preserve">(co-branded materials, public statements): Response within 48 working hours; if no response received after two follow-up attempts, escalate to Steering Group.</w:t>
      </w:r>
    </w:p>
    <w:p>
      <w:pPr>
        <w:pStyle w:val="Heading2"/>
        <w:pBdr>
          <w:bottom w:val="single" w:color="1A6E3C" w:sz="4"/>
        </w:pBdr>
        <w:spacing w:before="240" w:after="120"/>
      </w:pPr>
      <w:r>
        <w:rPr>
          <w:rFonts w:ascii="Arial" w:cs="Arial" w:eastAsia="Arial" w:hAnsi="Arial"/>
          <w:b/>
          <w:bCs/>
          <w:color w:val="1A6E3C"/>
          <w:sz w:val="28"/>
          <w:szCs w:val="28"/>
        </w:rPr>
        <w:t xml:space="preserve">5.4 Approval Thresholds</w:t>
      </w:r>
    </w:p>
    <w:p>
      <w:pPr>
        <w:spacing w:before="80" w:after="80"/>
      </w:pPr>
      <w:r>
        <w:rPr>
          <w:rFonts w:ascii="Arial" w:cs="Arial" w:eastAsia="Arial" w:hAnsi="Arial"/>
          <w:color w:val="1C1C1C"/>
          <w:sz w:val="22"/>
          <w:szCs w:val="22"/>
        </w:rPr>
        <w:t xml:space="preserve">The following activities require written approval from both focal points prior to execution:</w:t>
      </w:r>
    </w:p>
    <w:p>
      <w:pPr>
        <w:pStyle w:val="ListParagraph"/>
        <w:numPr>
          <w:ilvl w:val="0"/>
          <w:numId w:val="3"/>
        </w:numPr>
        <w:spacing w:before="60" w:after="60"/>
      </w:pPr>
      <w:r>
        <w:rPr>
          <w:rFonts w:ascii="Arial" w:cs="Arial" w:eastAsia="Arial" w:hAnsi="Arial"/>
          <w:color w:val="1C1C1C"/>
          <w:sz w:val="22"/>
          <w:szCs w:val="22"/>
        </w:rPr>
        <w:t xml:space="preserve">Co-branded materials intended for public distribution (digital or physical).</w:t>
      </w:r>
    </w:p>
    <w:p>
      <w:pPr>
        <w:pStyle w:val="ListParagraph"/>
        <w:numPr>
          <w:ilvl w:val="0"/>
          <w:numId w:val="3"/>
        </w:numPr>
        <w:spacing w:before="60" w:after="60"/>
      </w:pPr>
      <w:r>
        <w:rPr>
          <w:rFonts w:ascii="Arial" w:cs="Arial" w:eastAsia="Arial" w:hAnsi="Arial"/>
          <w:color w:val="1C1C1C"/>
          <w:sz w:val="22"/>
          <w:szCs w:val="22"/>
        </w:rPr>
        <w:t xml:space="preserve">Public statements or press releases referencing the partnership.</w:t>
      </w:r>
    </w:p>
    <w:p>
      <w:pPr>
        <w:pStyle w:val="ListParagraph"/>
        <w:numPr>
          <w:ilvl w:val="0"/>
          <w:numId w:val="3"/>
        </w:numPr>
        <w:spacing w:before="60" w:after="60"/>
      </w:pPr>
      <w:r>
        <w:rPr>
          <w:rFonts w:ascii="Arial" w:cs="Arial" w:eastAsia="Arial" w:hAnsi="Arial"/>
          <w:color w:val="1C1C1C"/>
          <w:sz w:val="22"/>
          <w:szCs w:val="22"/>
        </w:rPr>
        <w:t xml:space="preserve">Major campaign launches with combined reach exceeding </w:t>
      </w:r>
      <w:r>
        <w:rPr>
          <w:rFonts w:ascii="Arial" w:cs="Arial" w:eastAsia="Arial" w:hAnsi="Arial"/>
          <w:b/>
          <w:bCs/>
          <w:color w:val="8B0000"/>
          <w:sz w:val="22"/>
          <w:szCs w:val="22"/>
          <w:highlight w:val="yellow"/>
          <w:highlightCs w:val="yellow"/>
        </w:rPr>
        <w:t xml:space="preserve">[50,000]</w:t>
      </w:r>
      <w:r>
        <w:rPr>
          <w:rFonts w:ascii="Arial" w:cs="Arial" w:eastAsia="Arial" w:hAnsi="Arial"/>
          <w:color w:val="1C1C1C"/>
          <w:sz w:val="22"/>
          <w:szCs w:val="22"/>
        </w:rPr>
        <w:t xml:space="preserve"> individuals.</w:t>
      </w:r>
    </w:p>
    <w:p>
      <w:pPr>
        <w:pStyle w:val="ListParagraph"/>
        <w:numPr>
          <w:ilvl w:val="0"/>
          <w:numId w:val="3"/>
        </w:numPr>
        <w:spacing w:before="60" w:after="60"/>
      </w:pPr>
      <w:r>
        <w:rPr>
          <w:rFonts w:ascii="Arial" w:cs="Arial" w:eastAsia="Arial" w:hAnsi="Arial"/>
          <w:color w:val="1C1C1C"/>
          <w:sz w:val="22"/>
          <w:szCs w:val="22"/>
        </w:rPr>
        <w:t xml:space="preserve">Third-party partnerships or collaborations that involve both organizations.</w:t>
      </w:r>
    </w:p>
    <w:p>
      <w:pPr>
        <w:pStyle w:val="ListParagraph"/>
        <w:numPr>
          <w:ilvl w:val="0"/>
          <w:numId w:val="3"/>
        </w:numPr>
        <w:spacing w:before="60" w:after="60"/>
      </w:pPr>
      <w:r>
        <w:rPr>
          <w:rFonts w:ascii="Arial" w:cs="Arial" w:eastAsia="Arial" w:hAnsi="Arial"/>
          <w:color w:val="1C1C1C"/>
          <w:sz w:val="22"/>
          <w:szCs w:val="22"/>
        </w:rPr>
        <w:t xml:space="preserve">Data sharing beyond the scope specified in Annexure C.</w:t>
      </w:r>
    </w:p>
    <w:p>
      <w:pPr>
        <w:pStyle w:val="ListParagraph"/>
        <w:numPr>
          <w:ilvl w:val="0"/>
          <w:numId w:val="3"/>
        </w:numPr>
        <w:spacing w:before="60" w:after="60"/>
      </w:pPr>
      <w:r>
        <w:rPr>
          <w:rFonts w:ascii="Arial" w:cs="Arial" w:eastAsia="Arial" w:hAnsi="Arial"/>
          <w:color w:val="1C1C1C"/>
          <w:sz w:val="22"/>
          <w:szCs w:val="22"/>
        </w:rPr>
        <w:t xml:space="preserve">Budget commitments for joint activities exceeding KES </w:t>
      </w:r>
      <w:r>
        <w:rPr>
          <w:rFonts w:ascii="Arial" w:cs="Arial" w:eastAsia="Arial" w:hAnsi="Arial"/>
          <w:b/>
          <w:bCs/>
          <w:color w:val="8B0000"/>
          <w:sz w:val="22"/>
          <w:szCs w:val="22"/>
          <w:highlight w:val="yellow"/>
          <w:highlightCs w:val="yellow"/>
        </w:rPr>
        <w:t xml:space="preserve">[50,000]</w:t>
      </w:r>
      <w:r>
        <w:rPr>
          <w:rFonts w:ascii="Arial" w:cs="Arial" w:eastAsia="Arial" w:hAnsi="Arial"/>
          <w:color w:val="1C1C1C"/>
          <w:sz w:val="22"/>
          <w:szCs w:val="22"/>
        </w:rPr>
        <w:t xml:space="preserve">.</w:t>
      </w:r>
    </w:p>
    <w:p>
      <w:pPr>
        <w:pStyle w:val="ListParagraph"/>
        <w:numPr>
          <w:ilvl w:val="0"/>
          <w:numId w:val="3"/>
        </w:numPr>
        <w:spacing w:before="60" w:after="60"/>
      </w:pPr>
      <w:r>
        <w:rPr>
          <w:rFonts w:ascii="Arial" w:cs="Arial" w:eastAsia="Arial" w:hAnsi="Arial"/>
          <w:color w:val="1C1C1C"/>
          <w:sz w:val="22"/>
          <w:szCs w:val="22"/>
        </w:rPr>
        <w:t xml:space="preserve">Modifications to deliverables specified in Annexure B.</w:t>
      </w:r>
    </w:p>
    <w:p>
      <w:pPr>
        <w:pStyle w:val="ListParagraph"/>
        <w:numPr>
          <w:ilvl w:val="0"/>
          <w:numId w:val="3"/>
        </w:numPr>
        <w:spacing w:before="60" w:after="60"/>
      </w:pPr>
      <w:r>
        <w:rPr>
          <w:rFonts w:ascii="Arial" w:cs="Arial" w:eastAsia="Arial" w:hAnsi="Arial"/>
          <w:color w:val="1C1C1C"/>
          <w:sz w:val="22"/>
          <w:szCs w:val="22"/>
        </w:rPr>
        <w:t xml:space="preserve">Use of either Party's branding in contexts not explicitly covered by this MoU.</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6. ROLES AND RESPONSIBILITIES</w:t>
      </w:r>
    </w:p>
    <w:p>
      <w:pPr>
        <w:pStyle w:val="Heading2"/>
        <w:pBdr>
          <w:bottom w:val="single" w:color="1A6E3C" w:sz="4"/>
        </w:pBdr>
        <w:spacing w:before="240" w:after="120"/>
      </w:pPr>
      <w:r>
        <w:rPr>
          <w:rFonts w:ascii="Arial" w:cs="Arial" w:eastAsia="Arial" w:hAnsi="Arial"/>
          <w:b/>
          <w:bCs/>
          <w:color w:val="1A6E3C"/>
          <w:sz w:val="28"/>
          <w:szCs w:val="28"/>
        </w:rPr>
        <w:t xml:space="preserve">6.1 CEKA Responsibilities</w:t>
      </w:r>
    </w:p>
    <w:p>
      <w:pPr>
        <w:pStyle w:val="Heading3"/>
        <w:spacing w:before="180" w:after="80"/>
      </w:pPr>
      <w:r>
        <w:rPr>
          <w:rFonts w:ascii="Arial" w:cs="Arial" w:eastAsia="Arial" w:hAnsi="Arial"/>
          <w:b/>
          <w:bCs/>
          <w:color w:val="5A5A5A"/>
          <w:sz w:val="24"/>
          <w:szCs w:val="24"/>
        </w:rPr>
        <w:t xml:space="preserve">Platform Maintenance and Enhancement</w:t>
      </w:r>
    </w:p>
    <w:p>
      <w:pPr>
        <w:pStyle w:val="ListParagraph"/>
        <w:numPr>
          <w:ilvl w:val="0"/>
          <w:numId w:val="3"/>
        </w:numPr>
        <w:spacing w:before="60" w:after="60"/>
      </w:pPr>
      <w:r>
        <w:rPr>
          <w:rFonts w:ascii="Arial" w:cs="Arial" w:eastAsia="Arial" w:hAnsi="Arial"/>
          <w:color w:val="1C1C1C"/>
          <w:sz w:val="22"/>
          <w:szCs w:val="22"/>
        </w:rPr>
        <w:t xml:space="preserve">Maintain and enhance Nasaka IEBC platform integrity, including daily backend updates, data verification processes, system stability monitoring, and uptime targeting 99% availability during standard business hours.</w:t>
      </w:r>
    </w:p>
    <w:p>
      <w:pPr>
        <w:pStyle w:val="ListParagraph"/>
        <w:numPr>
          <w:ilvl w:val="0"/>
          <w:numId w:val="3"/>
        </w:numPr>
        <w:spacing w:before="60" w:after="60"/>
      </w:pPr>
      <w:r>
        <w:rPr>
          <w:rFonts w:ascii="Arial" w:cs="Arial" w:eastAsia="Arial" w:hAnsi="Arial"/>
          <w:color w:val="1C1C1C"/>
          <w:sz w:val="22"/>
          <w:szCs w:val="22"/>
        </w:rPr>
        <w:t xml:space="preserve">Ensure information accuracy by cross-referencing IEBC center locations against official IEBC data sources, OpenStreetMap community contributions, and community-verified updates, with verification completion within 72 hours of receiving location update requests.</w:t>
      </w:r>
    </w:p>
    <w:p>
      <w:pPr>
        <w:pStyle w:val="ListParagraph"/>
        <w:numPr>
          <w:ilvl w:val="0"/>
          <w:numId w:val="3"/>
        </w:numPr>
        <w:spacing w:before="60" w:after="60"/>
      </w:pPr>
      <w:r>
        <w:rPr>
          <w:rFonts w:ascii="Arial" w:cs="Arial" w:eastAsia="Arial" w:hAnsi="Arial"/>
          <w:color w:val="1C1C1C"/>
          <w:sz w:val="22"/>
          <w:szCs w:val="22"/>
        </w:rPr>
        <w:t xml:space="preserve">Protect user privacy by maintaining Nasaka IEBC's zero-personal-data-capture architecture in compliance with Kenya's Data Protection Act, 2019.</w:t>
      </w:r>
    </w:p>
    <w:p>
      <w:pPr>
        <w:pStyle w:val="ListParagraph"/>
        <w:numPr>
          <w:ilvl w:val="0"/>
          <w:numId w:val="3"/>
        </w:numPr>
        <w:spacing w:before="60" w:after="60"/>
      </w:pPr>
      <w:r>
        <w:rPr>
          <w:rFonts w:ascii="Arial" w:cs="Arial" w:eastAsia="Arial" w:hAnsi="Arial"/>
          <w:color w:val="1C1C1C"/>
          <w:sz w:val="22"/>
          <w:szCs w:val="22"/>
        </w:rPr>
        <w:t xml:space="preserve">Monitor and address platform performance issues, including load balancing, response time optimization, and mobile accessibility, with critical issues resolved within 8 working hours of identification.</w:t>
      </w:r>
    </w:p>
    <w:p>
      <w:pPr>
        <w:pStyle w:val="Heading3"/>
        <w:spacing w:before="180" w:after="80"/>
      </w:pPr>
      <w:r>
        <w:rPr>
          <w:rFonts w:ascii="Arial" w:cs="Arial" w:eastAsia="Arial" w:hAnsi="Arial"/>
          <w:b/>
          <w:bCs/>
          <w:color w:val="5A5A5A"/>
          <w:sz w:val="24"/>
          <w:szCs w:val="24"/>
        </w:rPr>
        <w:t xml:space="preserve">Content and Communications</w:t>
      </w:r>
    </w:p>
    <w:p>
      <w:pPr>
        <w:pStyle w:val="ListParagraph"/>
        <w:numPr>
          <w:ilvl w:val="0"/>
          <w:numId w:val="3"/>
        </w:numPr>
        <w:spacing w:before="60" w:after="60"/>
      </w:pPr>
      <w:r>
        <w:rPr>
          <w:rFonts w:ascii="Arial" w:cs="Arial" w:eastAsia="Arial" w:hAnsi="Arial"/>
          <w:color w:val="1C1C1C"/>
          <w:sz w:val="22"/>
          <w:szCs w:val="22"/>
        </w:rPr>
        <w:t xml:space="preserve">Provide approved branding assets including high-resolution logos, platform descriptions (50-word, 100-word, and 250-word versions), and visual identity guidelines within 5 working days of MoU signature.</w:t>
      </w:r>
    </w:p>
    <w:p>
      <w:pPr>
        <w:pStyle w:val="ListParagraph"/>
        <w:numPr>
          <w:ilvl w:val="0"/>
          <w:numId w:val="3"/>
        </w:numPr>
        <w:spacing w:before="60" w:after="60"/>
      </w:pPr>
      <w:r>
        <w:rPr>
          <w:rFonts w:ascii="Arial" w:cs="Arial" w:eastAsia="Arial" w:hAnsi="Arial"/>
          <w:color w:val="1C1C1C"/>
          <w:sz w:val="22"/>
          <w:szCs w:val="22"/>
        </w:rPr>
        <w:t xml:space="preserve">Supply verified civic education content including IEBC procedural information, voter registration eligibility criteria, and electoral calendar milestones, updated as changes occur with at least 48 hours notice to the Partner.</w:t>
      </w:r>
    </w:p>
    <w:p>
      <w:pPr>
        <w:pStyle w:val="ListParagraph"/>
        <w:numPr>
          <w:ilvl w:val="0"/>
          <w:numId w:val="3"/>
        </w:numPr>
        <w:spacing w:before="60" w:after="60"/>
      </w:pPr>
      <w:r>
        <w:rPr>
          <w:rFonts w:ascii="Arial" w:cs="Arial" w:eastAsia="Arial" w:hAnsi="Arial"/>
          <w:color w:val="1C1C1C"/>
          <w:sz w:val="22"/>
          <w:szCs w:val="22"/>
        </w:rPr>
        <w:t xml:space="preserve">Prepare radio-ready or programme-ready talking points and briefing materials at least 3 working days before scheduled appearances.</w:t>
      </w:r>
    </w:p>
    <w:p>
      <w:pPr>
        <w:pStyle w:val="ListParagraph"/>
        <w:numPr>
          <w:ilvl w:val="0"/>
          <w:numId w:val="3"/>
        </w:numPr>
        <w:spacing w:before="60" w:after="60"/>
      </w:pPr>
      <w:r>
        <w:rPr>
          <w:rFonts w:ascii="Arial" w:cs="Arial" w:eastAsia="Arial" w:hAnsi="Arial"/>
          <w:color w:val="1C1C1C"/>
          <w:sz w:val="22"/>
          <w:szCs w:val="22"/>
        </w:rPr>
        <w:t xml:space="preserve">Contribute digital forum content including prepared remarks, Q&amp;A responses, and statistical data supporting discussions on civic technology and electoral participation.</w:t>
      </w:r>
    </w:p>
    <w:p>
      <w:pPr>
        <w:pStyle w:val="Heading3"/>
        <w:spacing w:before="180" w:after="80"/>
      </w:pPr>
      <w:r>
        <w:rPr>
          <w:rFonts w:ascii="Arial" w:cs="Arial" w:eastAsia="Arial" w:hAnsi="Arial"/>
          <w:b/>
          <w:bCs/>
          <w:color w:val="5A5A5A"/>
          <w:sz w:val="24"/>
          <w:szCs w:val="24"/>
        </w:rPr>
        <w:t xml:space="preserve">Collaboration and Capacity Building</w:t>
      </w:r>
    </w:p>
    <w:p>
      <w:pPr>
        <w:pStyle w:val="ListParagraph"/>
        <w:numPr>
          <w:ilvl w:val="0"/>
          <w:numId w:val="3"/>
        </w:numPr>
        <w:spacing w:before="60" w:after="60"/>
      </w:pPr>
      <w:r>
        <w:rPr>
          <w:rFonts w:ascii="Arial" w:cs="Arial" w:eastAsia="Arial" w:hAnsi="Arial"/>
          <w:color w:val="1C1C1C"/>
          <w:sz w:val="22"/>
          <w:szCs w:val="22"/>
        </w:rPr>
        <w:t xml:space="preserve">Participate in coordinated campaigns through programme appearances (minimum </w:t>
      </w:r>
      <w:r>
        <w:rPr>
          <w:rFonts w:ascii="Arial" w:cs="Arial" w:eastAsia="Arial" w:hAnsi="Arial"/>
          <w:b/>
          <w:bCs/>
          <w:color w:val="8B0000"/>
          <w:sz w:val="22"/>
          <w:szCs w:val="22"/>
          <w:highlight w:val="yellow"/>
          <w:highlightCs w:val="yellow"/>
        </w:rPr>
        <w:t xml:space="preserve">[2]</w:t>
      </w:r>
      <w:r>
        <w:rPr>
          <w:rFonts w:ascii="Arial" w:cs="Arial" w:eastAsia="Arial" w:hAnsi="Arial"/>
          <w:color w:val="1C1C1C"/>
          <w:sz w:val="22"/>
          <w:szCs w:val="22"/>
        </w:rPr>
        <w:t xml:space="preserve"> per </w:t>
      </w:r>
      <w:r>
        <w:rPr>
          <w:rFonts w:ascii="Arial" w:cs="Arial" w:eastAsia="Arial" w:hAnsi="Arial"/>
          <w:b/>
          <w:bCs/>
          <w:color w:val="8B0000"/>
          <w:sz w:val="22"/>
          <w:szCs w:val="22"/>
          <w:highlight w:val="yellow"/>
          <w:highlightCs w:val="yellow"/>
        </w:rPr>
        <w:t xml:space="preserve">[month]</w:t>
      </w:r>
      <w:r>
        <w:rPr>
          <w:rFonts w:ascii="Arial" w:cs="Arial" w:eastAsia="Arial" w:hAnsi="Arial"/>
          <w:color w:val="1C1C1C"/>
          <w:sz w:val="22"/>
          <w:szCs w:val="22"/>
        </w:rPr>
        <w:t xml:space="preserve">), digital forum co-hosting (minimum </w:t>
      </w:r>
      <w:r>
        <w:rPr>
          <w:rFonts w:ascii="Arial" w:cs="Arial" w:eastAsia="Arial" w:hAnsi="Arial"/>
          <w:b/>
          <w:bCs/>
          <w:color w:val="8B0000"/>
          <w:sz w:val="22"/>
          <w:szCs w:val="22"/>
          <w:highlight w:val="yellow"/>
          <w:highlightCs w:val="yellow"/>
        </w:rPr>
        <w:t xml:space="preserve">[1]</w:t>
      </w:r>
      <w:r>
        <w:rPr>
          <w:rFonts w:ascii="Arial" w:cs="Arial" w:eastAsia="Arial" w:hAnsi="Arial"/>
          <w:color w:val="1C1C1C"/>
          <w:sz w:val="22"/>
          <w:szCs w:val="22"/>
        </w:rPr>
        <w:t xml:space="preserve"> per </w:t>
      </w:r>
      <w:r>
        <w:rPr>
          <w:rFonts w:ascii="Arial" w:cs="Arial" w:eastAsia="Arial" w:hAnsi="Arial"/>
          <w:b/>
          <w:bCs/>
          <w:color w:val="8B0000"/>
          <w:sz w:val="22"/>
          <w:szCs w:val="22"/>
          <w:highlight w:val="yellow"/>
          <w:highlightCs w:val="yellow"/>
        </w:rPr>
        <w:t xml:space="preserve">[month]</w:t>
      </w:r>
      <w:r>
        <w:rPr>
          <w:rFonts w:ascii="Arial" w:cs="Arial" w:eastAsia="Arial" w:hAnsi="Arial"/>
          <w:color w:val="1C1C1C"/>
          <w:sz w:val="22"/>
          <w:szCs w:val="22"/>
        </w:rPr>
        <w:t xml:space="preserve"> during peak periods), and digital content contributions as outlined in Annexure B.</w:t>
      </w:r>
    </w:p>
    <w:p>
      <w:pPr>
        <w:pStyle w:val="ListParagraph"/>
        <w:numPr>
          <w:ilvl w:val="0"/>
          <w:numId w:val="3"/>
        </w:numPr>
        <w:spacing w:before="60" w:after="60"/>
      </w:pPr>
      <w:r>
        <w:rPr>
          <w:rFonts w:ascii="Arial" w:cs="Arial" w:eastAsia="Arial" w:hAnsi="Arial"/>
          <w:color w:val="1C1C1C"/>
          <w:sz w:val="22"/>
          <w:szCs w:val="22"/>
        </w:rPr>
        <w:t xml:space="preserve">Deliver capacity-building sessions when requested, including training for the Partner's field teams on Nasaka IEBC usage, civic information verification, and digital tool facilitation, with at least </w:t>
      </w:r>
      <w:r>
        <w:rPr>
          <w:rFonts w:ascii="Arial" w:cs="Arial" w:eastAsia="Arial" w:hAnsi="Arial"/>
          <w:b/>
          <w:bCs/>
          <w:color w:val="8B0000"/>
          <w:sz w:val="22"/>
          <w:szCs w:val="22"/>
          <w:highlight w:val="yellow"/>
          <w:highlightCs w:val="yellow"/>
        </w:rPr>
        <w:t xml:space="preserve">[2]</w:t>
      </w:r>
      <w:r>
        <w:rPr>
          <w:rFonts w:ascii="Arial" w:cs="Arial" w:eastAsia="Arial" w:hAnsi="Arial"/>
          <w:color w:val="1C1C1C"/>
          <w:sz w:val="22"/>
          <w:szCs w:val="22"/>
        </w:rPr>
        <w:t xml:space="preserve"> training sessions delivered during the collaboration period.</w:t>
      </w:r>
    </w:p>
    <w:p>
      <w:pPr>
        <w:pStyle w:val="ListParagraph"/>
        <w:numPr>
          <w:ilvl w:val="0"/>
          <w:numId w:val="3"/>
        </w:numPr>
        <w:spacing w:before="60" w:after="60"/>
      </w:pPr>
      <w:r>
        <w:rPr>
          <w:rFonts w:ascii="Arial" w:cs="Arial" w:eastAsia="Arial" w:hAnsi="Arial"/>
          <w:color w:val="1C1C1C"/>
          <w:sz w:val="22"/>
          <w:szCs w:val="22"/>
        </w:rPr>
        <w:t xml:space="preserve">Provide technical support to the Partner's staff through designated support contacts reachable via email and phone during working hours (9:00 AM – 6:00 PM EAT, Monday–Friday).</w:t>
      </w:r>
    </w:p>
    <w:p>
      <w:pPr>
        <w:pStyle w:val="Heading3"/>
        <w:spacing w:before="180" w:after="80"/>
      </w:pPr>
      <w:r>
        <w:rPr>
          <w:rFonts w:ascii="Arial" w:cs="Arial" w:eastAsia="Arial" w:hAnsi="Arial"/>
          <w:b/>
          <w:bCs/>
          <w:color w:val="5A5A5A"/>
          <w:sz w:val="24"/>
          <w:szCs w:val="24"/>
        </w:rPr>
        <w:t xml:space="preserve">Scaling and Development</w:t>
      </w:r>
    </w:p>
    <w:p>
      <w:pPr>
        <w:pStyle w:val="ListParagraph"/>
        <w:numPr>
          <w:ilvl w:val="0"/>
          <w:numId w:val="3"/>
        </w:numPr>
        <w:spacing w:before="60" w:after="60"/>
      </w:pPr>
      <w:r>
        <w:rPr>
          <w:rFonts w:ascii="Arial" w:cs="Arial" w:eastAsia="Arial" w:hAnsi="Arial"/>
          <w:color w:val="1C1C1C"/>
          <w:sz w:val="22"/>
          <w:szCs w:val="22"/>
        </w:rPr>
        <w:t xml:space="preserve">Scale platform infrastructure progressively toward </w:t>
      </w:r>
      <w:r>
        <w:rPr>
          <w:rFonts w:ascii="Arial" w:cs="Arial" w:eastAsia="Arial" w:hAnsi="Arial"/>
          <w:b/>
          <w:bCs/>
          <w:color w:val="8B0000"/>
          <w:sz w:val="22"/>
          <w:szCs w:val="22"/>
          <w:highlight w:val="yellow"/>
          <w:highlightCs w:val="yellow"/>
        </w:rPr>
        <w:t xml:space="preserve">[target user capacity]</w:t>
      </w:r>
      <w:r>
        <w:rPr>
          <w:rFonts w:ascii="Arial" w:cs="Arial" w:eastAsia="Arial" w:hAnsi="Arial"/>
          <w:color w:val="1C1C1C"/>
          <w:sz w:val="22"/>
          <w:szCs w:val="22"/>
        </w:rPr>
        <w:t xml:space="preserve"> through partnerships, technical optimization, and resource mobilization, with quarterly progress updates provided to Steering Group.</w:t>
      </w:r>
    </w:p>
    <w:p>
      <w:pPr>
        <w:pStyle w:val="ListParagraph"/>
        <w:numPr>
          <w:ilvl w:val="0"/>
          <w:numId w:val="3"/>
        </w:numPr>
        <w:spacing w:before="60" w:after="60"/>
      </w:pPr>
      <w:r>
        <w:rPr>
          <w:rFonts w:ascii="Arial" w:cs="Arial" w:eastAsia="Arial" w:hAnsi="Arial"/>
          <w:color w:val="1C1C1C"/>
          <w:sz w:val="22"/>
          <w:szCs w:val="22"/>
        </w:rPr>
        <w:t xml:space="preserve">Develop offline functionality enabling platform access in low-connectivity regions, with pilot deployment in at least </w:t>
      </w:r>
      <w:r>
        <w:rPr>
          <w:rFonts w:ascii="Arial" w:cs="Arial" w:eastAsia="Arial" w:hAnsi="Arial"/>
          <w:b/>
          <w:bCs/>
          <w:color w:val="8B0000"/>
          <w:sz w:val="22"/>
          <w:szCs w:val="22"/>
          <w:highlight w:val="yellow"/>
          <w:highlightCs w:val="yellow"/>
        </w:rPr>
        <w:t xml:space="preserve">[one]</w:t>
      </w:r>
      <w:r>
        <w:rPr>
          <w:rFonts w:ascii="Arial" w:cs="Arial" w:eastAsia="Arial" w:hAnsi="Arial"/>
          <w:color w:val="1C1C1C"/>
          <w:sz w:val="22"/>
          <w:szCs w:val="22"/>
        </w:rPr>
        <w:t xml:space="preserve"> hard-to-reach county during the collaboration period.</w:t>
      </w:r>
    </w:p>
    <w:p>
      <w:pPr>
        <w:pStyle w:val="ListParagraph"/>
        <w:numPr>
          <w:ilvl w:val="0"/>
          <w:numId w:val="3"/>
        </w:numPr>
        <w:spacing w:before="60" w:after="60"/>
      </w:pPr>
      <w:r>
        <w:rPr>
          <w:rFonts w:ascii="Arial" w:cs="Arial" w:eastAsia="Arial" w:hAnsi="Arial"/>
          <w:color w:val="1C1C1C"/>
          <w:sz w:val="22"/>
          <w:szCs w:val="22"/>
        </w:rPr>
        <w:t xml:space="preserve">Implement language accessibility features supporting Kiswahili and English interfaces, with exploration of additional Kenyan language support based on community demand data.</w:t>
      </w:r>
    </w:p>
    <w:p>
      <w:pPr>
        <w:pStyle w:val="Heading3"/>
        <w:spacing w:before="180" w:after="80"/>
      </w:pPr>
      <w:r>
        <w:rPr>
          <w:rFonts w:ascii="Arial" w:cs="Arial" w:eastAsia="Arial" w:hAnsi="Arial"/>
          <w:b/>
          <w:bCs/>
          <w:color w:val="5A5A5A"/>
          <w:sz w:val="24"/>
          <w:szCs w:val="24"/>
        </w:rPr>
        <w:t xml:space="preserve">Data and Analytics</w:t>
      </w:r>
    </w:p>
    <w:p>
      <w:pPr>
        <w:pStyle w:val="ListParagraph"/>
        <w:numPr>
          <w:ilvl w:val="0"/>
          <w:numId w:val="3"/>
        </w:numPr>
        <w:spacing w:before="60" w:after="60"/>
      </w:pPr>
      <w:r>
        <w:rPr>
          <w:rFonts w:ascii="Arial" w:cs="Arial" w:eastAsia="Arial" w:hAnsi="Arial"/>
          <w:color w:val="1C1C1C"/>
          <w:sz w:val="22"/>
          <w:szCs w:val="22"/>
        </w:rPr>
        <w:t xml:space="preserve">Deliver monthly analytics reports as specified in Annexure E within 10 working days of month end.</w:t>
      </w:r>
    </w:p>
    <w:p>
      <w:pPr>
        <w:pStyle w:val="ListParagraph"/>
        <w:numPr>
          <w:ilvl w:val="0"/>
          <w:numId w:val="3"/>
        </w:numPr>
        <w:spacing w:before="60" w:after="60"/>
      </w:pPr>
      <w:r>
        <w:rPr>
          <w:rFonts w:ascii="Arial" w:cs="Arial" w:eastAsia="Arial" w:hAnsi="Arial"/>
          <w:color w:val="1C1C1C"/>
          <w:sz w:val="22"/>
          <w:szCs w:val="22"/>
        </w:rPr>
        <w:t xml:space="preserve">Provide campaign-specific attribution data using UTM tracking codes, enabling measurement of specific campaign effectiveness.</w:t>
      </w:r>
    </w:p>
    <w:p>
      <w:pPr>
        <w:pStyle w:val="ListParagraph"/>
        <w:numPr>
          <w:ilvl w:val="0"/>
          <w:numId w:val="3"/>
        </w:numPr>
        <w:spacing w:before="60" w:after="60"/>
      </w:pPr>
      <w:r>
        <w:rPr>
          <w:rFonts w:ascii="Arial" w:cs="Arial" w:eastAsia="Arial" w:hAnsi="Arial"/>
          <w:color w:val="1C1C1C"/>
          <w:sz w:val="22"/>
          <w:szCs w:val="22"/>
        </w:rPr>
        <w:t xml:space="preserve">Incorporate community feedback from the Partner's field activities into quarterly platform improvement cycles, with acknowledgment within 5 working days.</w:t>
      </w:r>
    </w:p>
    <w:p>
      <w:pPr>
        <w:pStyle w:val="Heading2"/>
        <w:pBdr>
          <w:bottom w:val="single" w:color="1A6E3C" w:sz="4"/>
        </w:pBdr>
        <w:spacing w:before="240" w:after="120"/>
      </w:pPr>
      <w:r>
        <w:rPr>
          <w:rFonts w:ascii="Arial" w:cs="Arial" w:eastAsia="Arial" w:hAnsi="Arial"/>
          <w:b/>
          <w:bCs/>
          <w:color w:val="1A6E3C"/>
          <w:sz w:val="28"/>
          <w:szCs w:val="28"/>
        </w:rPr>
        <w:t xml:space="preserve">6.2 Partner Organization Responsibilities</w:t>
      </w:r>
    </w:p>
    <w:p>
      <w:pPr>
        <w:pStyle w:val="Heading3"/>
        <w:spacing w:before="180" w:after="80"/>
      </w:pPr>
      <w:r>
        <w:rPr>
          <w:rFonts w:ascii="Arial" w:cs="Arial" w:eastAsia="Arial" w:hAnsi="Arial"/>
          <w:b/>
          <w:bCs/>
          <w:color w:val="5A5A5A"/>
          <w:sz w:val="24"/>
          <w:szCs w:val="24"/>
        </w:rPr>
        <w:t xml:space="preserve">Amplification and Promotion</w:t>
      </w:r>
    </w:p>
    <w:p>
      <w:pPr>
        <w:pStyle w:val="ListParagraph"/>
        <w:numPr>
          <w:ilvl w:val="0"/>
          <w:numId w:val="3"/>
        </w:numPr>
        <w:spacing w:before="60" w:after="60"/>
      </w:pPr>
      <w:r>
        <w:rPr>
          <w:rFonts w:ascii="Arial" w:cs="Arial" w:eastAsia="Arial" w:hAnsi="Arial"/>
          <w:color w:val="1C1C1C"/>
          <w:sz w:val="22"/>
          <w:szCs w:val="22"/>
        </w:rPr>
        <w:t xml:space="preserve">Amplify Nasaka IEBC across all digital platforms and </w:t>
      </w:r>
      <w:r>
        <w:rPr>
          <w:rFonts w:ascii="Arial" w:cs="Arial" w:eastAsia="Arial" w:hAnsi="Arial"/>
          <w:b/>
          <w:bCs/>
          <w:color w:val="8B0000"/>
          <w:sz w:val="22"/>
          <w:szCs w:val="22"/>
          <w:highlight w:val="yellow"/>
          <w:highlightCs w:val="yellow"/>
        </w:rPr>
        <w:t xml:space="preserve">[other applicable channels — e.g. radio, podcast, SMS, community networks]</w:t>
      </w:r>
      <w:r>
        <w:rPr>
          <w:rFonts w:ascii="Arial" w:cs="Arial" w:eastAsia="Arial" w:hAnsi="Arial"/>
          <w:color w:val="1C1C1C"/>
          <w:sz w:val="22"/>
          <w:szCs w:val="22"/>
        </w:rPr>
        <w:t xml:space="preserve">, with consistent messaging using approved descriptions from Annexure D.</w:t>
      </w:r>
    </w:p>
    <w:p>
      <w:pPr>
        <w:pStyle w:val="ListParagraph"/>
        <w:numPr>
          <w:ilvl w:val="0"/>
          <w:numId w:val="3"/>
        </w:numPr>
        <w:spacing w:before="60" w:after="60"/>
      </w:pPr>
      <w:r>
        <w:rPr>
          <w:rFonts w:ascii="Arial" w:cs="Arial" w:eastAsia="Arial" w:hAnsi="Arial"/>
          <w:color w:val="1C1C1C"/>
          <w:sz w:val="22"/>
          <w:szCs w:val="22"/>
        </w:rPr>
        <w:t xml:space="preserve">Integrate CEKA tools into </w:t>
      </w:r>
      <w:r>
        <w:rPr>
          <w:rFonts w:ascii="Arial" w:cs="Arial" w:eastAsia="Arial" w:hAnsi="Arial"/>
          <w:b/>
          <w:bCs/>
          <w:color w:val="8B0000"/>
          <w:sz w:val="22"/>
          <w:szCs w:val="22"/>
          <w:highlight w:val="yellow"/>
          <w:highlightCs w:val="yellow"/>
        </w:rPr>
        <w:t xml:space="preserve">[Partner's core programmes — e.g. voter registration drives, community forums, school programmes, advocacy campaigns]</w:t>
      </w:r>
      <w:r>
        <w:rPr>
          <w:rFonts w:ascii="Arial" w:cs="Arial" w:eastAsia="Arial" w:hAnsi="Arial"/>
          <w:color w:val="1C1C1C"/>
          <w:sz w:val="22"/>
          <w:szCs w:val="22"/>
        </w:rPr>
        <w:t xml:space="preserve">, actively demonstrating Nasaka IEBC usage to community members.</w:t>
      </w:r>
    </w:p>
    <w:p>
      <w:pPr>
        <w:pStyle w:val="ListParagraph"/>
        <w:numPr>
          <w:ilvl w:val="0"/>
          <w:numId w:val="3"/>
        </w:numPr>
        <w:spacing w:before="60" w:after="60"/>
      </w:pPr>
      <w:r>
        <w:rPr>
          <w:rFonts w:ascii="Arial" w:cs="Arial" w:eastAsia="Arial" w:hAnsi="Arial"/>
          <w:color w:val="1C1C1C"/>
          <w:sz w:val="22"/>
          <w:szCs w:val="22"/>
        </w:rPr>
        <w:t xml:space="preserve">Include Nasaka IEBC promotional messaging in at least </w:t>
      </w:r>
      <w:r>
        <w:rPr>
          <w:rFonts w:ascii="Arial" w:cs="Arial" w:eastAsia="Arial" w:hAnsi="Arial"/>
          <w:b/>
          <w:bCs/>
          <w:color w:val="8B0000"/>
          <w:sz w:val="22"/>
          <w:szCs w:val="22"/>
          <w:highlight w:val="yellow"/>
          <w:highlightCs w:val="yellow"/>
        </w:rPr>
        <w:t xml:space="preserve">[80%]</w:t>
      </w:r>
      <w:r>
        <w:rPr>
          <w:rFonts w:ascii="Arial" w:cs="Arial" w:eastAsia="Arial" w:hAnsi="Arial"/>
          <w:color w:val="1C1C1C"/>
          <w:sz w:val="22"/>
          <w:szCs w:val="22"/>
        </w:rPr>
        <w:t xml:space="preserve"> of </w:t>
      </w:r>
      <w:r>
        <w:rPr>
          <w:rFonts w:ascii="Arial" w:cs="Arial" w:eastAsia="Arial" w:hAnsi="Arial"/>
          <w:b/>
          <w:bCs/>
          <w:color w:val="8B0000"/>
          <w:sz w:val="22"/>
          <w:szCs w:val="22"/>
          <w:highlight w:val="yellow"/>
          <w:highlightCs w:val="yellow"/>
        </w:rPr>
        <w:t xml:space="preserve">[relevant content type]</w:t>
      </w:r>
      <w:r>
        <w:rPr>
          <w:rFonts w:ascii="Arial" w:cs="Arial" w:eastAsia="Arial" w:hAnsi="Arial"/>
          <w:color w:val="1C1C1C"/>
          <w:sz w:val="22"/>
          <w:szCs w:val="22"/>
        </w:rPr>
        <w:t xml:space="preserve">-related social media content, with appropriate attribution and platform links.</w:t>
      </w:r>
    </w:p>
    <w:p>
      <w:pPr>
        <w:pStyle w:val="ListParagraph"/>
        <w:numPr>
          <w:ilvl w:val="0"/>
          <w:numId w:val="3"/>
        </w:numPr>
        <w:spacing w:before="60" w:after="60"/>
      </w:pPr>
      <w:r>
        <w:rPr>
          <w:rFonts w:ascii="Arial" w:cs="Arial" w:eastAsia="Arial" w:hAnsi="Arial"/>
          <w:b/>
          <w:bCs/>
          <w:color w:val="8B0000"/>
          <w:sz w:val="22"/>
          <w:szCs w:val="22"/>
          <w:highlight w:val="yellow"/>
          <w:highlightCs w:val="yellow"/>
        </w:rPr>
        <w:t xml:space="preserve">[Additional amplification commitment specific to Partner — e.g. Dedicate minimum 15 minutes per broadcast to civic technology tools]</w:t>
      </w:r>
    </w:p>
    <w:p>
      <w:pPr>
        <w:pStyle w:val="Heading3"/>
        <w:spacing w:before="180" w:after="80"/>
      </w:pPr>
      <w:r>
        <w:rPr>
          <w:rFonts w:ascii="Arial" w:cs="Arial" w:eastAsia="Arial" w:hAnsi="Arial"/>
          <w:b/>
          <w:bCs/>
          <w:color w:val="5A5A5A"/>
          <w:sz w:val="24"/>
          <w:szCs w:val="24"/>
        </w:rPr>
        <w:t xml:space="preserve">Programming and Media</w:t>
      </w:r>
    </w:p>
    <w:p>
      <w:pPr>
        <w:pStyle w:val="ListParagraph"/>
        <w:numPr>
          <w:ilvl w:val="0"/>
          <w:numId w:val="3"/>
        </w:numPr>
        <w:spacing w:before="60" w:after="60"/>
      </w:pPr>
      <w:r>
        <w:rPr>
          <w:rFonts w:ascii="Arial" w:cs="Arial" w:eastAsia="Arial" w:hAnsi="Arial"/>
          <w:color w:val="1C1C1C"/>
          <w:sz w:val="22"/>
          <w:szCs w:val="22"/>
        </w:rPr>
        <w:t xml:space="preserve">Schedule and coordinate CEKA appearances on </w:t>
      </w:r>
      <w:r>
        <w:rPr>
          <w:rFonts w:ascii="Arial" w:cs="Arial" w:eastAsia="Arial" w:hAnsi="Arial"/>
          <w:b/>
          <w:bCs/>
          <w:color w:val="8B0000"/>
          <w:sz w:val="22"/>
          <w:szCs w:val="22"/>
          <w:highlight w:val="yellow"/>
          <w:highlightCs w:val="yellow"/>
        </w:rPr>
        <w:t xml:space="preserve">[Partner's programme platform]</w:t>
      </w:r>
      <w:r>
        <w:rPr>
          <w:rFonts w:ascii="Arial" w:cs="Arial" w:eastAsia="Arial" w:hAnsi="Arial"/>
          <w:color w:val="1C1C1C"/>
          <w:sz w:val="22"/>
          <w:szCs w:val="22"/>
        </w:rPr>
        <w:t xml:space="preserve"> with minimum </w:t>
      </w:r>
      <w:r>
        <w:rPr>
          <w:rFonts w:ascii="Arial" w:cs="Arial" w:eastAsia="Arial" w:hAnsi="Arial"/>
          <w:b/>
          <w:bCs/>
          <w:color w:val="8B0000"/>
          <w:sz w:val="22"/>
          <w:szCs w:val="22"/>
          <w:highlight w:val="yellow"/>
          <w:highlightCs w:val="yellow"/>
        </w:rPr>
        <w:t xml:space="preserve">[7]</w:t>
      </w:r>
      <w:r>
        <w:rPr>
          <w:rFonts w:ascii="Arial" w:cs="Arial" w:eastAsia="Arial" w:hAnsi="Arial"/>
          <w:color w:val="1C1C1C"/>
          <w:sz w:val="22"/>
          <w:szCs w:val="22"/>
        </w:rPr>
        <w:t xml:space="preserve"> working days advance notice, providing programme format briefings and technical requirements.</w:t>
      </w:r>
    </w:p>
    <w:p>
      <w:pPr>
        <w:pStyle w:val="ListParagraph"/>
        <w:numPr>
          <w:ilvl w:val="0"/>
          <w:numId w:val="3"/>
        </w:numPr>
        <w:spacing w:before="60" w:after="60"/>
      </w:pPr>
      <w:r>
        <w:rPr>
          <w:rFonts w:ascii="Arial" w:cs="Arial" w:eastAsia="Arial" w:hAnsi="Arial"/>
          <w:color w:val="1C1C1C"/>
          <w:sz w:val="22"/>
          <w:szCs w:val="22"/>
        </w:rPr>
        <w:t xml:space="preserve">Deliver post-programme analytics within 5 working days including reach estimates, engagement metrics, and feedback summaries.</w:t>
      </w:r>
    </w:p>
    <w:p>
      <w:pPr>
        <w:pStyle w:val="ListParagraph"/>
        <w:numPr>
          <w:ilvl w:val="0"/>
          <w:numId w:val="3"/>
        </w:numPr>
        <w:spacing w:before="60" w:after="60"/>
      </w:pPr>
      <w:r>
        <w:rPr>
          <w:rFonts w:ascii="Arial" w:cs="Arial" w:eastAsia="Arial" w:hAnsi="Arial"/>
          <w:color w:val="1C1C1C"/>
          <w:sz w:val="22"/>
          <w:szCs w:val="22"/>
        </w:rPr>
        <w:t xml:space="preserve">Promote programme segments featuring CEKA across social media channels at least 48 hours before broadcast.</w:t>
      </w:r>
    </w:p>
    <w:p>
      <w:pPr>
        <w:pStyle w:val="Heading3"/>
        <w:spacing w:before="180" w:after="80"/>
      </w:pPr>
      <w:r>
        <w:rPr>
          <w:rFonts w:ascii="Arial" w:cs="Arial" w:eastAsia="Arial" w:hAnsi="Arial"/>
          <w:b/>
          <w:bCs/>
          <w:color w:val="5A5A5A"/>
          <w:sz w:val="24"/>
          <w:szCs w:val="24"/>
        </w:rPr>
        <w:t xml:space="preserve">Campaign Materials and Content</w:t>
      </w:r>
    </w:p>
    <w:p>
      <w:pPr>
        <w:pStyle w:val="ListParagraph"/>
        <w:numPr>
          <w:ilvl w:val="0"/>
          <w:numId w:val="3"/>
        </w:numPr>
        <w:spacing w:before="60" w:after="60"/>
      </w:pPr>
      <w:r>
        <w:rPr>
          <w:rFonts w:ascii="Arial" w:cs="Arial" w:eastAsia="Arial" w:hAnsi="Arial"/>
          <w:color w:val="1C1C1C"/>
          <w:sz w:val="22"/>
          <w:szCs w:val="22"/>
        </w:rPr>
        <w:t xml:space="preserve">Share campaign materials including the complete digital asset repository, content calendars, and field activation templates within 10 working days of MoU signature.</w:t>
      </w:r>
    </w:p>
    <w:p>
      <w:pPr>
        <w:pStyle w:val="ListParagraph"/>
        <w:numPr>
          <w:ilvl w:val="0"/>
          <w:numId w:val="3"/>
        </w:numPr>
        <w:spacing w:before="60" w:after="60"/>
      </w:pPr>
      <w:r>
        <w:rPr>
          <w:rFonts w:ascii="Arial" w:cs="Arial" w:eastAsia="Arial" w:hAnsi="Arial"/>
          <w:color w:val="1C1C1C"/>
          <w:sz w:val="22"/>
          <w:szCs w:val="22"/>
        </w:rPr>
        <w:t xml:space="preserve">Grant CEKA access to the Partner's shared digital workspace containing campaign materials.</w:t>
      </w:r>
    </w:p>
    <w:p>
      <w:pPr>
        <w:pStyle w:val="ListParagraph"/>
        <w:numPr>
          <w:ilvl w:val="0"/>
          <w:numId w:val="3"/>
        </w:numPr>
        <w:spacing w:before="60" w:after="60"/>
      </w:pPr>
      <w:r>
        <w:rPr>
          <w:rFonts w:ascii="Arial" w:cs="Arial" w:eastAsia="Arial" w:hAnsi="Arial"/>
          <w:color w:val="1C1C1C"/>
          <w:sz w:val="22"/>
          <w:szCs w:val="22"/>
        </w:rPr>
        <w:t xml:space="preserve">Co-brand approved materials in accordance with Section 9 and Annexure D.</w:t>
      </w:r>
    </w:p>
    <w:p>
      <w:pPr>
        <w:pStyle w:val="ListParagraph"/>
        <w:numPr>
          <w:ilvl w:val="0"/>
          <w:numId w:val="3"/>
        </w:numPr>
        <w:spacing w:before="60" w:after="60"/>
      </w:pPr>
      <w:r>
        <w:rPr>
          <w:rFonts w:ascii="Arial" w:cs="Arial" w:eastAsia="Arial" w:hAnsi="Arial"/>
          <w:color w:val="1C1C1C"/>
          <w:sz w:val="22"/>
          <w:szCs w:val="22"/>
        </w:rPr>
        <w:t xml:space="preserve">Collaborate on content calendar development for joint campaigns, providing proposed schedules to CEKA at least 21 days before campaign commencement.</w:t>
      </w:r>
    </w:p>
    <w:p>
      <w:pPr>
        <w:pStyle w:val="Heading3"/>
        <w:spacing w:before="180" w:after="80"/>
      </w:pPr>
      <w:r>
        <w:rPr>
          <w:rFonts w:ascii="Arial" w:cs="Arial" w:eastAsia="Arial" w:hAnsi="Arial"/>
          <w:b/>
          <w:bCs/>
          <w:color w:val="5A5A5A"/>
          <w:sz w:val="24"/>
          <w:szCs w:val="24"/>
        </w:rPr>
        <w:t xml:space="preserve">Field Intelligence and Feedback</w:t>
      </w:r>
    </w:p>
    <w:p>
      <w:pPr>
        <w:pStyle w:val="ListParagraph"/>
        <w:numPr>
          <w:ilvl w:val="0"/>
          <w:numId w:val="3"/>
        </w:numPr>
        <w:spacing w:before="60" w:after="60"/>
      </w:pPr>
      <w:r>
        <w:rPr>
          <w:rFonts w:ascii="Arial" w:cs="Arial" w:eastAsia="Arial" w:hAnsi="Arial"/>
          <w:color w:val="1C1C1C"/>
          <w:sz w:val="22"/>
          <w:szCs w:val="22"/>
        </w:rPr>
        <w:t xml:space="preserve">Collect and transmit field intelligence regarding platform performance, usability challenges, community accessibility barriers, connectivity issues, information accuracy concerns, and feature requests encountered during activations.</w:t>
      </w:r>
    </w:p>
    <w:p>
      <w:pPr>
        <w:pStyle w:val="ListParagraph"/>
        <w:numPr>
          <w:ilvl w:val="0"/>
          <w:numId w:val="3"/>
        </w:numPr>
        <w:spacing w:before="60" w:after="60"/>
      </w:pPr>
      <w:r>
        <w:rPr>
          <w:rFonts w:ascii="Arial" w:cs="Arial" w:eastAsia="Arial" w:hAnsi="Arial"/>
          <w:color w:val="1C1C1C"/>
          <w:sz w:val="22"/>
          <w:szCs w:val="22"/>
        </w:rPr>
        <w:t xml:space="preserve">Complete and submit standardized feedback forms (Annexure G) within 7 working days of each community forum or ground activation.</w:t>
      </w:r>
    </w:p>
    <w:p>
      <w:pPr>
        <w:pStyle w:val="ListParagraph"/>
        <w:numPr>
          <w:ilvl w:val="0"/>
          <w:numId w:val="3"/>
        </w:numPr>
        <w:spacing w:before="60" w:after="60"/>
      </w:pPr>
      <w:r>
        <w:rPr>
          <w:rFonts w:ascii="Arial" w:cs="Arial" w:eastAsia="Arial" w:hAnsi="Arial"/>
          <w:color w:val="1C1C1C"/>
          <w:sz w:val="22"/>
          <w:szCs w:val="22"/>
        </w:rPr>
        <w:t xml:space="preserve">Conduct informal user testing of Nasaka IEBC during field activities and document usability issues, confusion points, and success stories.</w:t>
      </w:r>
    </w:p>
    <w:p>
      <w:pPr>
        <w:pStyle w:val="Heading3"/>
        <w:spacing w:before="180" w:after="80"/>
      </w:pPr>
      <w:r>
        <w:rPr>
          <w:rFonts w:ascii="Arial" w:cs="Arial" w:eastAsia="Arial" w:hAnsi="Arial"/>
          <w:b/>
          <w:bCs/>
          <w:color w:val="5A5A5A"/>
          <w:sz w:val="24"/>
          <w:szCs w:val="24"/>
        </w:rPr>
        <w:t xml:space="preserve">Community Facilitation</w:t>
      </w:r>
    </w:p>
    <w:p>
      <w:pPr>
        <w:pStyle w:val="ListParagraph"/>
        <w:numPr>
          <w:ilvl w:val="0"/>
          <w:numId w:val="3"/>
        </w:numPr>
        <w:spacing w:before="60" w:after="60"/>
      </w:pPr>
      <w:r>
        <w:rPr>
          <w:rFonts w:ascii="Arial" w:cs="Arial" w:eastAsia="Arial" w:hAnsi="Arial"/>
          <w:color w:val="1C1C1C"/>
          <w:sz w:val="22"/>
          <w:szCs w:val="22"/>
        </w:rPr>
        <w:t xml:space="preserve">Facilitate community access to Nasaka IEBC through live demonstrations, assisted registration support, and troubleshooting assistance during activations.</w:t>
      </w:r>
    </w:p>
    <w:p>
      <w:pPr>
        <w:pStyle w:val="ListParagraph"/>
        <w:numPr>
          <w:ilvl w:val="0"/>
          <w:numId w:val="3"/>
        </w:numPr>
        <w:spacing w:before="60" w:after="60"/>
      </w:pPr>
      <w:r>
        <w:rPr>
          <w:rFonts w:ascii="Arial" w:cs="Arial" w:eastAsia="Arial" w:hAnsi="Arial"/>
          <w:color w:val="1C1C1C"/>
          <w:sz w:val="22"/>
          <w:szCs w:val="22"/>
        </w:rPr>
        <w:t xml:space="preserve">Train field staff and volunteers on Nasaka IEBC functionality, key talking points, and troubleshooting basics, utilizing training materials provided by CEKA.</w:t>
      </w:r>
    </w:p>
    <w:p>
      <w:pPr>
        <w:pStyle w:val="ListParagraph"/>
        <w:numPr>
          <w:ilvl w:val="0"/>
          <w:numId w:val="3"/>
        </w:numPr>
        <w:spacing w:before="60" w:after="60"/>
      </w:pPr>
      <w:r>
        <w:rPr>
          <w:rFonts w:ascii="Arial" w:cs="Arial" w:eastAsia="Arial" w:hAnsi="Arial"/>
          <w:color w:val="1C1C1C"/>
          <w:sz w:val="22"/>
          <w:szCs w:val="22"/>
        </w:rPr>
        <w:t xml:space="preserve">Establish community ambassador networks in operating counties, identifying and empowering local champions who can continue promoting Nasaka IEBC usage beyond structured activations.</w:t>
      </w:r>
    </w:p>
    <w:p>
      <w:pPr>
        <w:pStyle w:val="Heading3"/>
        <w:spacing w:before="180" w:after="80"/>
      </w:pPr>
      <w:r>
        <w:rPr>
          <w:rFonts w:ascii="Arial" w:cs="Arial" w:eastAsia="Arial" w:hAnsi="Arial"/>
          <w:b/>
          <w:bCs/>
          <w:color w:val="5A5A5A"/>
          <w:sz w:val="24"/>
          <w:szCs w:val="24"/>
        </w:rPr>
        <w:t xml:space="preserve">Brand and IP Compliance</w:t>
      </w:r>
    </w:p>
    <w:p>
      <w:pPr>
        <w:pStyle w:val="ListParagraph"/>
        <w:numPr>
          <w:ilvl w:val="0"/>
          <w:numId w:val="3"/>
        </w:numPr>
        <w:spacing w:before="60" w:after="60"/>
      </w:pPr>
      <w:r>
        <w:rPr>
          <w:rFonts w:ascii="Arial" w:cs="Arial" w:eastAsia="Arial" w:hAnsi="Arial"/>
          <w:color w:val="1C1C1C"/>
          <w:sz w:val="22"/>
          <w:szCs w:val="22"/>
        </w:rPr>
        <w:t xml:space="preserve">Respect CEKA's intellectual property by using platform branding, content, logos, and technical materials only as explicitly authorized under this MoU and Annexure D.</w:t>
      </w:r>
    </w:p>
    <w:p>
      <w:pPr>
        <w:pStyle w:val="ListParagraph"/>
        <w:numPr>
          <w:ilvl w:val="0"/>
          <w:numId w:val="3"/>
        </w:numPr>
        <w:spacing w:before="60" w:after="60"/>
      </w:pPr>
      <w:r>
        <w:rPr>
          <w:rFonts w:ascii="Arial" w:cs="Arial" w:eastAsia="Arial" w:hAnsi="Arial"/>
          <w:color w:val="1C1C1C"/>
          <w:sz w:val="22"/>
          <w:szCs w:val="22"/>
        </w:rPr>
        <w:t xml:space="preserve">Attribute CEKA appropriately in all public communications, ensuring platform credit is given consistently and accurately.</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7. DATA PROTECTION, PRIVACY, AND HANDLING</w:t>
      </w:r>
    </w:p>
    <w:p>
      <w:pPr>
        <w:pStyle w:val="Heading2"/>
        <w:pBdr>
          <w:bottom w:val="single" w:color="1A6E3C" w:sz="4"/>
        </w:pBdr>
        <w:spacing w:before="240" w:after="120"/>
      </w:pPr>
      <w:r>
        <w:rPr>
          <w:rFonts w:ascii="Arial" w:cs="Arial" w:eastAsia="Arial" w:hAnsi="Arial"/>
          <w:b/>
          <w:bCs/>
          <w:color w:val="1A6E3C"/>
          <w:sz w:val="28"/>
          <w:szCs w:val="28"/>
        </w:rPr>
        <w:t xml:space="preserve">7.1 Legal Compliance</w:t>
      </w:r>
    </w:p>
    <w:p>
      <w:pPr>
        <w:spacing w:before="80" w:after="80"/>
      </w:pPr>
      <w:r>
        <w:rPr>
          <w:rFonts w:ascii="Arial" w:cs="Arial" w:eastAsia="Arial" w:hAnsi="Arial"/>
          <w:color w:val="1C1C1C"/>
          <w:sz w:val="22"/>
          <w:szCs w:val="22"/>
        </w:rPr>
        <w:t xml:space="preserve">Both Parties commit to full compliance with:</w:t>
      </w:r>
    </w:p>
    <w:p>
      <w:pPr>
        <w:pStyle w:val="ListParagraph"/>
        <w:numPr>
          <w:ilvl w:val="0"/>
          <w:numId w:val="2"/>
        </w:numPr>
        <w:spacing w:before="60" w:after="60"/>
      </w:pPr>
      <w:r>
        <w:rPr>
          <w:rFonts w:ascii="Arial" w:cs="Arial" w:eastAsia="Arial" w:hAnsi="Arial"/>
          <w:b/>
          <w:bCs/>
          <w:color w:val="1C1C1C"/>
          <w:sz w:val="22"/>
          <w:szCs w:val="22"/>
        </w:rPr>
        <w:t xml:space="preserve">Kenya Data Protection Act, 2019 </w:t>
      </w:r>
      <w:r>
        <w:rPr>
          <w:rFonts w:ascii="Arial" w:cs="Arial" w:eastAsia="Arial" w:hAnsi="Arial"/>
          <w:color w:val="1C1C1C"/>
          <w:sz w:val="22"/>
          <w:szCs w:val="22"/>
        </w:rPr>
        <w:t xml:space="preserve">and all regulations promulgated thereunder.</w:t>
      </w:r>
    </w:p>
    <w:p>
      <w:pPr>
        <w:pStyle w:val="ListParagraph"/>
        <w:numPr>
          <w:ilvl w:val="0"/>
          <w:numId w:val="2"/>
        </w:numPr>
        <w:spacing w:before="60" w:after="60"/>
      </w:pPr>
      <w:r>
        <w:rPr>
          <w:rFonts w:ascii="Arial" w:cs="Arial" w:eastAsia="Arial" w:hAnsi="Arial"/>
          <w:b/>
          <w:bCs/>
          <w:color w:val="1C1C1C"/>
          <w:sz w:val="22"/>
          <w:szCs w:val="22"/>
        </w:rPr>
        <w:t xml:space="preserve">Office of the Data Protection Commissioner (ODPC) </w:t>
      </w:r>
      <w:r>
        <w:rPr>
          <w:rFonts w:ascii="Arial" w:cs="Arial" w:eastAsia="Arial" w:hAnsi="Arial"/>
          <w:color w:val="1C1C1C"/>
          <w:sz w:val="22"/>
          <w:szCs w:val="22"/>
        </w:rPr>
        <w:t xml:space="preserve">guidance notes and directives.</w:t>
      </w:r>
    </w:p>
    <w:p>
      <w:pPr>
        <w:pStyle w:val="ListParagraph"/>
        <w:numPr>
          <w:ilvl w:val="0"/>
          <w:numId w:val="2"/>
        </w:numPr>
        <w:spacing w:before="60" w:after="60"/>
      </w:pPr>
      <w:r>
        <w:rPr>
          <w:rFonts w:ascii="Arial" w:cs="Arial" w:eastAsia="Arial" w:hAnsi="Arial"/>
          <w:b/>
          <w:bCs/>
          <w:color w:val="1C1C1C"/>
          <w:sz w:val="22"/>
          <w:szCs w:val="22"/>
        </w:rPr>
        <w:t xml:space="preserve">IEBC regulations </w:t>
      </w:r>
      <w:r>
        <w:rPr>
          <w:rFonts w:ascii="Arial" w:cs="Arial" w:eastAsia="Arial" w:hAnsi="Arial"/>
          <w:color w:val="1C1C1C"/>
          <w:sz w:val="22"/>
          <w:szCs w:val="22"/>
        </w:rPr>
        <w:t xml:space="preserve">governing voter registration data handling and electoral information dissemination.</w:t>
      </w:r>
    </w:p>
    <w:p>
      <w:pPr>
        <w:pStyle w:val="ListParagraph"/>
        <w:numPr>
          <w:ilvl w:val="0"/>
          <w:numId w:val="2"/>
        </w:numPr>
        <w:spacing w:before="60" w:after="60"/>
      </w:pPr>
      <w:r>
        <w:rPr>
          <w:rFonts w:ascii="Arial" w:cs="Arial" w:eastAsia="Arial" w:hAnsi="Arial"/>
          <w:b/>
          <w:bCs/>
          <w:color w:val="1C1C1C"/>
          <w:sz w:val="22"/>
          <w:szCs w:val="22"/>
        </w:rPr>
        <w:t xml:space="preserve">International data protection standards </w:t>
      </w:r>
      <w:r>
        <w:rPr>
          <w:rFonts w:ascii="Arial" w:cs="Arial" w:eastAsia="Arial" w:hAnsi="Arial"/>
          <w:color w:val="1C1C1C"/>
          <w:sz w:val="22"/>
          <w:szCs w:val="22"/>
        </w:rPr>
        <w:t xml:space="preserve">including GDPR principles where applicable to platform architecture or partnerships.</w:t>
      </w:r>
    </w:p>
    <w:p>
      <w:pPr>
        <w:pStyle w:val="Heading2"/>
        <w:pBdr>
          <w:bottom w:val="single" w:color="1A6E3C" w:sz="4"/>
        </w:pBdr>
        <w:spacing w:before="240" w:after="120"/>
      </w:pPr>
      <w:r>
        <w:rPr>
          <w:rFonts w:ascii="Arial" w:cs="Arial" w:eastAsia="Arial" w:hAnsi="Arial"/>
          <w:b/>
          <w:bCs/>
          <w:color w:val="1A6E3C"/>
          <w:sz w:val="28"/>
          <w:szCs w:val="28"/>
        </w:rPr>
        <w:t xml:space="preserve">7.2 Zero Personal Data Exchange Commitment</w:t>
      </w:r>
    </w:p>
    <w:p>
      <w:pPr>
        <w:spacing w:before="80" w:after="80"/>
      </w:pPr>
      <w:r>
        <w:rPr>
          <w:rFonts w:ascii="Arial" w:cs="Arial" w:eastAsia="Arial" w:hAnsi="Arial"/>
          <w:color w:val="1C1C1C"/>
          <w:sz w:val="22"/>
          <w:szCs w:val="22"/>
        </w:rPr>
        <w:t xml:space="preserve">The Parties expressly agree that </w:t>
      </w:r>
      <w:r>
        <w:rPr>
          <w:rFonts w:ascii="Arial" w:cs="Arial" w:eastAsia="Arial" w:hAnsi="Arial"/>
          <w:b/>
          <w:bCs/>
          <w:color w:val="1C1C1C"/>
          <w:sz w:val="22"/>
          <w:szCs w:val="22"/>
        </w:rPr>
        <w:t xml:space="preserve">no Personal Data</w:t>
      </w:r>
      <w:r>
        <w:rPr>
          <w:rFonts w:ascii="Arial" w:cs="Arial" w:eastAsia="Arial" w:hAnsi="Arial"/>
          <w:color w:val="1C1C1C"/>
          <w:sz w:val="22"/>
          <w:szCs w:val="22"/>
        </w:rPr>
        <w:t xml:space="preserve"> shall be purposefully collected, processed, or exchanged under this MoU.</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CEKA's Nasaka IEBC</w:t>
      </w:r>
      <w:r>
        <w:rPr>
          <w:rFonts w:ascii="Arial" w:cs="Arial" w:eastAsia="Arial" w:hAnsi="Arial"/>
          <w:color w:val="1C1C1C"/>
          <w:sz w:val="22"/>
          <w:szCs w:val="22"/>
        </w:rPr>
        <w:t xml:space="preserve"> is intentionally architected with </w:t>
      </w:r>
      <w:r>
        <w:rPr>
          <w:rFonts w:ascii="Arial" w:cs="Arial" w:eastAsia="Arial" w:hAnsi="Arial"/>
          <w:b/>
          <w:bCs/>
          <w:color w:val="1C1C1C"/>
          <w:sz w:val="22"/>
          <w:szCs w:val="22"/>
        </w:rPr>
        <w:t xml:space="preserve">zero-personal-data-capture</w:t>
      </w:r>
      <w:r>
        <w:rPr>
          <w:rFonts w:ascii="Arial" w:cs="Arial" w:eastAsia="Arial" w:hAnsi="Arial"/>
          <w:color w:val="1C1C1C"/>
          <w:sz w:val="22"/>
          <w:szCs w:val="22"/>
        </w:rPr>
        <w:t xml:space="preserve"> functionality:</w:t>
      </w:r>
    </w:p>
    <w:p>
      <w:pPr>
        <w:pStyle w:val="ListParagraph"/>
        <w:numPr>
          <w:ilvl w:val="0"/>
          <w:numId w:val="2"/>
        </w:numPr>
        <w:spacing w:before="60" w:after="60"/>
      </w:pPr>
      <w:r>
        <w:rPr>
          <w:rFonts w:ascii="Arial" w:cs="Arial" w:eastAsia="Arial" w:hAnsi="Arial"/>
          <w:color w:val="1C1C1C"/>
          <w:sz w:val="22"/>
          <w:szCs w:val="22"/>
        </w:rPr>
        <w:t xml:space="preserve">No user accounts, registrations, or login requirements.</w:t>
      </w:r>
    </w:p>
    <w:p>
      <w:pPr>
        <w:pStyle w:val="ListParagraph"/>
        <w:numPr>
          <w:ilvl w:val="0"/>
          <w:numId w:val="2"/>
        </w:numPr>
        <w:spacing w:before="60" w:after="60"/>
      </w:pPr>
      <w:r>
        <w:rPr>
          <w:rFonts w:ascii="Arial" w:cs="Arial" w:eastAsia="Arial" w:hAnsi="Arial"/>
          <w:color w:val="1C1C1C"/>
          <w:sz w:val="22"/>
          <w:szCs w:val="22"/>
        </w:rPr>
        <w:t xml:space="preserve">No collection of names, phone numbers, email addresses, or identification documents.</w:t>
      </w:r>
    </w:p>
    <w:p>
      <w:pPr>
        <w:pStyle w:val="ListParagraph"/>
        <w:numPr>
          <w:ilvl w:val="0"/>
          <w:numId w:val="2"/>
        </w:numPr>
        <w:spacing w:before="60" w:after="60"/>
      </w:pPr>
      <w:r>
        <w:rPr>
          <w:rFonts w:ascii="Arial" w:cs="Arial" w:eastAsia="Arial" w:hAnsi="Arial"/>
          <w:color w:val="1C1C1C"/>
          <w:sz w:val="22"/>
          <w:szCs w:val="22"/>
        </w:rPr>
        <w:t xml:space="preserve">No tracking of individual user behavior beyond aggregated, anonymized analytics.</w:t>
      </w:r>
    </w:p>
    <w:p>
      <w:pPr>
        <w:pStyle w:val="ListParagraph"/>
        <w:numPr>
          <w:ilvl w:val="0"/>
          <w:numId w:val="2"/>
        </w:numPr>
        <w:spacing w:before="60" w:after="60"/>
      </w:pPr>
      <w:r>
        <w:rPr>
          <w:rFonts w:ascii="Arial" w:cs="Arial" w:eastAsia="Arial" w:hAnsi="Arial"/>
          <w:color w:val="1C1C1C"/>
          <w:sz w:val="22"/>
          <w:szCs w:val="22"/>
        </w:rPr>
        <w:t xml:space="preserve">No cookies or persistent identifiers linking usage to specific individuals.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The Partner</w:t>
      </w:r>
      <w:r>
        <w:rPr>
          <w:rFonts w:ascii="Arial" w:cs="Arial" w:eastAsia="Arial" w:hAnsi="Arial"/>
          <w:color w:val="1C1C1C"/>
          <w:sz w:val="22"/>
          <w:szCs w:val="22"/>
        </w:rPr>
        <w:t xml:space="preserve"> commits to respecting this architecture by:</w:t>
      </w:r>
    </w:p>
    <w:p>
      <w:pPr>
        <w:pStyle w:val="ListParagraph"/>
        <w:numPr>
          <w:ilvl w:val="0"/>
          <w:numId w:val="2"/>
        </w:numPr>
        <w:spacing w:before="60" w:after="60"/>
      </w:pPr>
      <w:r>
        <w:rPr>
          <w:rFonts w:ascii="Arial" w:cs="Arial" w:eastAsia="Arial" w:hAnsi="Arial"/>
          <w:color w:val="1C1C1C"/>
          <w:sz w:val="22"/>
          <w:szCs w:val="22"/>
        </w:rPr>
        <w:t xml:space="preserve">Not implementing unauthorized tracking mechanisms on CEKA platforms.</w:t>
      </w:r>
    </w:p>
    <w:p>
      <w:pPr>
        <w:pStyle w:val="ListParagraph"/>
        <w:numPr>
          <w:ilvl w:val="0"/>
          <w:numId w:val="2"/>
        </w:numPr>
        <w:spacing w:before="60" w:after="60"/>
      </w:pPr>
      <w:r>
        <w:rPr>
          <w:rFonts w:ascii="Arial" w:cs="Arial" w:eastAsia="Arial" w:hAnsi="Arial"/>
          <w:color w:val="1C1C1C"/>
          <w:sz w:val="22"/>
          <w:szCs w:val="22"/>
        </w:rPr>
        <w:t xml:space="preserve">Not requesting Personal Data from Nasaka IEBC users as a condition of platform access.</w:t>
      </w:r>
    </w:p>
    <w:p>
      <w:pPr>
        <w:pStyle w:val="ListParagraph"/>
        <w:numPr>
          <w:ilvl w:val="0"/>
          <w:numId w:val="2"/>
        </w:numPr>
        <w:spacing w:before="60" w:after="60"/>
      </w:pPr>
      <w:r>
        <w:rPr>
          <w:rFonts w:ascii="Arial" w:cs="Arial" w:eastAsia="Arial" w:hAnsi="Arial"/>
          <w:color w:val="1C1C1C"/>
          <w:sz w:val="22"/>
          <w:szCs w:val="22"/>
        </w:rPr>
        <w:t xml:space="preserve">Not linking Nasaka IEBC usage to the Partner's own databases or CRM systems without express written consent from CEKA.</w:t>
      </w:r>
    </w:p>
    <w:p>
      <w:pPr>
        <w:pStyle w:val="Heading2"/>
        <w:pBdr>
          <w:bottom w:val="single" w:color="1A6E3C" w:sz="4"/>
        </w:pBdr>
        <w:spacing w:before="240" w:after="120"/>
      </w:pPr>
      <w:r>
        <w:rPr>
          <w:rFonts w:ascii="Arial" w:cs="Arial" w:eastAsia="Arial" w:hAnsi="Arial"/>
          <w:b/>
          <w:bCs/>
          <w:color w:val="1A6E3C"/>
          <w:sz w:val="28"/>
          <w:szCs w:val="28"/>
        </w:rPr>
        <w:t xml:space="preserve">7.3 Incidental Personal Data Protocols</w:t>
      </w:r>
    </w:p>
    <w:p>
      <w:pPr>
        <w:spacing w:before="80" w:after="80"/>
      </w:pPr>
      <w:r>
        <w:rPr>
          <w:rFonts w:ascii="Arial" w:cs="Arial" w:eastAsia="Arial" w:hAnsi="Arial"/>
          <w:color w:val="1C1C1C"/>
          <w:sz w:val="22"/>
          <w:szCs w:val="22"/>
        </w:rPr>
        <w:t xml:space="preserve">If Personal Data is incidentally or unintentionally captured, discovered, or disclosed by either Party, the receiving or discovering Party must immediately:</w:t>
      </w:r>
    </w:p>
    <w:p>
      <w:pPr>
        <w:pStyle w:val="ListParagraph"/>
        <w:numPr>
          <w:ilvl w:val="0"/>
          <w:numId w:val="3"/>
        </w:numPr>
        <w:spacing w:before="60" w:after="60"/>
      </w:pPr>
      <w:r>
        <w:rPr>
          <w:rFonts w:ascii="Arial" w:cs="Arial" w:eastAsia="Arial" w:hAnsi="Arial"/>
          <w:b/>
          <w:bCs/>
          <w:color w:val="1C1C1C"/>
          <w:sz w:val="22"/>
          <w:szCs w:val="22"/>
        </w:rPr>
        <w:t xml:space="preserve">Notify </w:t>
      </w:r>
      <w:r>
        <w:rPr>
          <w:rFonts w:ascii="Arial" w:cs="Arial" w:eastAsia="Arial" w:hAnsi="Arial"/>
          <w:color w:val="1C1C1C"/>
          <w:sz w:val="22"/>
          <w:szCs w:val="22"/>
        </w:rPr>
        <w:t xml:space="preserve">the originating Party within </w:t>
      </w:r>
      <w:r>
        <w:rPr>
          <w:rFonts w:ascii="Arial" w:cs="Arial" w:eastAsia="Arial" w:hAnsi="Arial"/>
          <w:b/>
          <w:bCs/>
          <w:color w:val="1C1C1C"/>
          <w:sz w:val="22"/>
          <w:szCs w:val="22"/>
        </w:rPr>
        <w:t xml:space="preserve">48 hours</w:t>
      </w:r>
      <w:r>
        <w:rPr>
          <w:rFonts w:ascii="Arial" w:cs="Arial" w:eastAsia="Arial" w:hAnsi="Arial"/>
          <w:color w:val="1C1C1C"/>
          <w:sz w:val="22"/>
          <w:szCs w:val="22"/>
        </w:rPr>
        <w:t xml:space="preserve"> of discovery via email to the designated focal point.</w:t>
      </w:r>
    </w:p>
    <w:p>
      <w:pPr>
        <w:pStyle w:val="ListParagraph"/>
        <w:numPr>
          <w:ilvl w:val="0"/>
          <w:numId w:val="3"/>
        </w:numPr>
        <w:spacing w:before="60" w:after="60"/>
      </w:pPr>
      <w:r>
        <w:rPr>
          <w:rFonts w:ascii="Arial" w:cs="Arial" w:eastAsia="Arial" w:hAnsi="Arial"/>
          <w:b/>
          <w:bCs/>
          <w:color w:val="1C1C1C"/>
          <w:sz w:val="22"/>
          <w:szCs w:val="22"/>
        </w:rPr>
        <w:t xml:space="preserve">Quarantine the data</w:t>
      </w:r>
      <w:r>
        <w:rPr>
          <w:rFonts w:ascii="Arial" w:cs="Arial" w:eastAsia="Arial" w:hAnsi="Arial"/>
          <w:color w:val="1C1C1C"/>
          <w:sz w:val="22"/>
          <w:szCs w:val="22"/>
        </w:rPr>
        <w:t xml:space="preserve"> by isolating it from other systems and restricting access to minimum personnel.</w:t>
      </w:r>
    </w:p>
    <w:p>
      <w:pPr>
        <w:pStyle w:val="ListParagraph"/>
        <w:numPr>
          <w:ilvl w:val="0"/>
          <w:numId w:val="3"/>
        </w:numPr>
        <w:spacing w:before="60" w:after="60"/>
      </w:pPr>
      <w:r>
        <w:rPr>
          <w:rFonts w:ascii="Arial" w:cs="Arial" w:eastAsia="Arial" w:hAnsi="Arial"/>
          <w:b/>
          <w:bCs/>
          <w:color w:val="1C1C1C"/>
          <w:sz w:val="22"/>
          <w:szCs w:val="22"/>
        </w:rPr>
        <w:t xml:space="preserve">Delete or return the data</w:t>
      </w:r>
      <w:r>
        <w:rPr>
          <w:rFonts w:ascii="Arial" w:cs="Arial" w:eastAsia="Arial" w:hAnsi="Arial"/>
          <w:color w:val="1C1C1C"/>
          <w:sz w:val="22"/>
          <w:szCs w:val="22"/>
        </w:rPr>
        <w:t xml:space="preserve"> within </w:t>
      </w:r>
      <w:r>
        <w:rPr>
          <w:rFonts w:ascii="Arial" w:cs="Arial" w:eastAsia="Arial" w:hAnsi="Arial"/>
          <w:b/>
          <w:bCs/>
          <w:color w:val="1C1C1C"/>
          <w:sz w:val="22"/>
          <w:szCs w:val="22"/>
        </w:rPr>
        <w:t xml:space="preserve">7 calendar days</w:t>
      </w:r>
      <w:r>
        <w:rPr>
          <w:rFonts w:ascii="Arial" w:cs="Arial" w:eastAsia="Arial" w:hAnsi="Arial"/>
          <w:color w:val="1C1C1C"/>
          <w:sz w:val="22"/>
          <w:szCs w:val="22"/>
        </w:rPr>
        <w:t xml:space="preserve"> unless written agreement for retention is expressly provided.</w:t>
      </w:r>
    </w:p>
    <w:p>
      <w:pPr>
        <w:pStyle w:val="ListParagraph"/>
        <w:numPr>
          <w:ilvl w:val="0"/>
          <w:numId w:val="3"/>
        </w:numPr>
        <w:spacing w:before="60" w:after="60"/>
      </w:pPr>
      <w:r>
        <w:rPr>
          <w:rFonts w:ascii="Arial" w:cs="Arial" w:eastAsia="Arial" w:hAnsi="Arial"/>
          <w:b/>
          <w:bCs/>
          <w:color w:val="1C1C1C"/>
          <w:sz w:val="22"/>
          <w:szCs w:val="22"/>
        </w:rPr>
        <w:t xml:space="preserve">Document the incident</w:t>
      </w:r>
      <w:r>
        <w:rPr>
          <w:rFonts w:ascii="Arial" w:cs="Arial" w:eastAsia="Arial" w:hAnsi="Arial"/>
          <w:color w:val="1C1C1C"/>
          <w:sz w:val="22"/>
          <w:szCs w:val="22"/>
        </w:rPr>
        <w:t xml:space="preserve"> including timeline, affected data types, individuals potentially affected, and remediation steps.</w:t>
      </w:r>
    </w:p>
    <w:p>
      <w:pPr>
        <w:pStyle w:val="ListParagraph"/>
        <w:numPr>
          <w:ilvl w:val="0"/>
          <w:numId w:val="3"/>
        </w:numPr>
        <w:spacing w:before="60" w:after="60"/>
      </w:pPr>
      <w:r>
        <w:rPr>
          <w:rFonts w:ascii="Arial" w:cs="Arial" w:eastAsia="Arial" w:hAnsi="Arial"/>
          <w:b/>
          <w:bCs/>
          <w:color w:val="1C1C1C"/>
          <w:sz w:val="22"/>
          <w:szCs w:val="22"/>
        </w:rPr>
        <w:t xml:space="preserve">Report to ODPC</w:t>
      </w:r>
      <w:r>
        <w:rPr>
          <w:rFonts w:ascii="Arial" w:cs="Arial" w:eastAsia="Arial" w:hAnsi="Arial"/>
          <w:color w:val="1C1C1C"/>
          <w:sz w:val="22"/>
          <w:szCs w:val="22"/>
        </w:rPr>
        <w:t xml:space="preserve"> if the incident constitutes a data breach under applicable law.</w:t>
      </w:r>
    </w:p>
    <w:p>
      <w:pPr>
        <w:pStyle w:val="Heading2"/>
        <w:pBdr>
          <w:bottom w:val="single" w:color="1A6E3C" w:sz="4"/>
        </w:pBdr>
        <w:spacing w:before="240" w:after="120"/>
      </w:pPr>
      <w:r>
        <w:rPr>
          <w:rFonts w:ascii="Arial" w:cs="Arial" w:eastAsia="Arial" w:hAnsi="Arial"/>
          <w:b/>
          <w:bCs/>
          <w:color w:val="1A6E3C"/>
          <w:sz w:val="28"/>
          <w:szCs w:val="28"/>
        </w:rPr>
        <w:t xml:space="preserve">7.4 Aggregated and Anonymized Data Sharing</w:t>
      </w:r>
    </w:p>
    <w:p>
      <w:pPr>
        <w:spacing w:before="80" w:after="80"/>
      </w:pPr>
      <w:r>
        <w:rPr>
          <w:rFonts w:ascii="Arial" w:cs="Arial" w:eastAsia="Arial" w:hAnsi="Arial"/>
          <w:color w:val="1C1C1C"/>
          <w:sz w:val="22"/>
          <w:szCs w:val="22"/>
        </w:rPr>
        <w:t xml:space="preserve">The Parties may share aggregated, anonymized analytics and statistical information that cannot be reverse-engineered to identify individuals, including:</w:t>
      </w:r>
    </w:p>
    <w:p>
      <w:pPr>
        <w:pStyle w:val="ListParagraph"/>
        <w:numPr>
          <w:ilvl w:val="0"/>
          <w:numId w:val="2"/>
        </w:numPr>
        <w:spacing w:before="60" w:after="60"/>
      </w:pPr>
      <w:r>
        <w:rPr>
          <w:rFonts w:ascii="Arial" w:cs="Arial" w:eastAsia="Arial" w:hAnsi="Arial"/>
          <w:color w:val="1C1C1C"/>
          <w:sz w:val="22"/>
          <w:szCs w:val="22"/>
        </w:rPr>
        <w:t xml:space="preserve">Platform usage statistics (total users, page views, session duration).</w:t>
      </w:r>
    </w:p>
    <w:p>
      <w:pPr>
        <w:pStyle w:val="ListParagraph"/>
        <w:numPr>
          <w:ilvl w:val="0"/>
          <w:numId w:val="2"/>
        </w:numPr>
        <w:spacing w:before="60" w:after="60"/>
      </w:pPr>
      <w:r>
        <w:rPr>
          <w:rFonts w:ascii="Arial" w:cs="Arial" w:eastAsia="Arial" w:hAnsi="Arial"/>
          <w:color w:val="1C1C1C"/>
          <w:sz w:val="22"/>
          <w:szCs w:val="22"/>
        </w:rPr>
        <w:t xml:space="preserve">Geographic distribution at county or constituency level (not household or individual level).</w:t>
      </w:r>
    </w:p>
    <w:p>
      <w:pPr>
        <w:pStyle w:val="ListParagraph"/>
        <w:numPr>
          <w:ilvl w:val="0"/>
          <w:numId w:val="2"/>
        </w:numPr>
        <w:spacing w:before="60" w:after="60"/>
      </w:pPr>
      <w:r>
        <w:rPr>
          <w:rFonts w:ascii="Arial" w:cs="Arial" w:eastAsia="Arial" w:hAnsi="Arial"/>
          <w:color w:val="1C1C1C"/>
          <w:sz w:val="22"/>
          <w:szCs w:val="22"/>
        </w:rPr>
        <w:t xml:space="preserve">Temporal patterns (peak usage times, seasonal trends).</w:t>
      </w:r>
    </w:p>
    <w:p>
      <w:pPr>
        <w:pStyle w:val="ListParagraph"/>
        <w:numPr>
          <w:ilvl w:val="0"/>
          <w:numId w:val="2"/>
        </w:numPr>
        <w:spacing w:before="60" w:after="60"/>
      </w:pPr>
      <w:r>
        <w:rPr>
          <w:rFonts w:ascii="Arial" w:cs="Arial" w:eastAsia="Arial" w:hAnsi="Arial"/>
          <w:color w:val="1C1C1C"/>
          <w:sz w:val="22"/>
          <w:szCs w:val="22"/>
        </w:rPr>
        <w:t xml:space="preserve">Referral source analysis (traffic attribution to Partner campaigns).</w:t>
      </w:r>
    </w:p>
    <w:p>
      <w:pPr>
        <w:pStyle w:val="ListParagraph"/>
        <w:numPr>
          <w:ilvl w:val="0"/>
          <w:numId w:val="2"/>
        </w:numPr>
        <w:spacing w:before="60" w:after="60"/>
      </w:pPr>
      <w:r>
        <w:rPr>
          <w:rFonts w:ascii="Arial" w:cs="Arial" w:eastAsia="Arial" w:hAnsi="Arial"/>
          <w:color w:val="1C1C1C"/>
          <w:sz w:val="22"/>
          <w:szCs w:val="22"/>
        </w:rPr>
        <w:t xml:space="preserve">Feature utilization rates.</w:t>
      </w:r>
    </w:p>
    <w:p>
      <w:pPr>
        <w:spacing w:before="0" w:after="120"/>
      </w:pPr>
      <w:r>
        <w:rPr>
          <w:rFonts w:ascii="Arial" w:cs="Arial" w:eastAsia="Arial" w:hAnsi="Arial"/>
          <w:sz w:val="22"/>
          <w:szCs w:val="22"/>
        </w:rPr>
        <w:t xml:space="preserve"/>
      </w:r>
    </w:p>
    <w:p>
      <w:pPr>
        <w:spacing w:before="80" w:after="80"/>
      </w:pPr>
      <w:r>
        <w:rPr>
          <w:rFonts w:ascii="Arial" w:cs="Arial" w:eastAsia="Arial" w:hAnsi="Arial"/>
          <w:color w:val="1C1C1C"/>
          <w:sz w:val="22"/>
          <w:szCs w:val="22"/>
        </w:rPr>
        <w:t xml:space="preserve">Shared analytics shall conform to formats and schemas specified in Annexure C, including aggregation thresholds ensuring no cohorts smaller than 10 individuals are reported.</w:t>
      </w:r>
    </w:p>
    <w:p>
      <w:pPr>
        <w:pStyle w:val="Heading2"/>
        <w:pBdr>
          <w:bottom w:val="single" w:color="1A6E3C" w:sz="4"/>
        </w:pBdr>
        <w:spacing w:before="240" w:after="120"/>
      </w:pPr>
      <w:r>
        <w:rPr>
          <w:rFonts w:ascii="Arial" w:cs="Arial" w:eastAsia="Arial" w:hAnsi="Arial"/>
          <w:b/>
          <w:bCs/>
          <w:color w:val="1A6E3C"/>
          <w:sz w:val="28"/>
          <w:szCs w:val="28"/>
        </w:rPr>
        <w:t xml:space="preserve">7.5 Data Security Obligations</w:t>
      </w:r>
    </w:p>
    <w:p>
      <w:pPr>
        <w:spacing w:before="80" w:after="80"/>
      </w:pPr>
      <w:r>
        <w:rPr>
          <w:rFonts w:ascii="Arial" w:cs="Arial" w:eastAsia="Arial" w:hAnsi="Arial"/>
          <w:color w:val="1C1C1C"/>
          <w:sz w:val="22"/>
          <w:szCs w:val="22"/>
        </w:rPr>
        <w:t xml:space="preserve">Each Party shall implement reasonable technical and organizational measures to protect Confidential Information, including:</w:t>
      </w:r>
    </w:p>
    <w:p>
      <w:pPr>
        <w:pStyle w:val="ListParagraph"/>
        <w:numPr>
          <w:ilvl w:val="0"/>
          <w:numId w:val="2"/>
        </w:numPr>
        <w:spacing w:before="60" w:after="60"/>
      </w:pPr>
      <w:r>
        <w:rPr>
          <w:rFonts w:ascii="Arial" w:cs="Arial" w:eastAsia="Arial" w:hAnsi="Arial"/>
          <w:color w:val="1C1C1C"/>
          <w:sz w:val="22"/>
          <w:szCs w:val="22"/>
        </w:rPr>
        <w:t xml:space="preserve">Encryption of data in transit (TLS 1.2 or higher) and at rest (AES-256 or equivalent).</w:t>
      </w:r>
    </w:p>
    <w:p>
      <w:pPr>
        <w:pStyle w:val="ListParagraph"/>
        <w:numPr>
          <w:ilvl w:val="0"/>
          <w:numId w:val="2"/>
        </w:numPr>
        <w:spacing w:before="60" w:after="60"/>
      </w:pPr>
      <w:r>
        <w:rPr>
          <w:rFonts w:ascii="Arial" w:cs="Arial" w:eastAsia="Arial" w:hAnsi="Arial"/>
          <w:color w:val="1C1C1C"/>
          <w:sz w:val="22"/>
          <w:szCs w:val="22"/>
        </w:rPr>
        <w:t xml:space="preserve">Access controls implementing principle of least privilege.</w:t>
      </w:r>
    </w:p>
    <w:p>
      <w:pPr>
        <w:pStyle w:val="ListParagraph"/>
        <w:numPr>
          <w:ilvl w:val="0"/>
          <w:numId w:val="2"/>
        </w:numPr>
        <w:spacing w:before="60" w:after="60"/>
      </w:pPr>
      <w:r>
        <w:rPr>
          <w:rFonts w:ascii="Arial" w:cs="Arial" w:eastAsia="Arial" w:hAnsi="Arial"/>
          <w:color w:val="1C1C1C"/>
          <w:sz w:val="22"/>
          <w:szCs w:val="22"/>
        </w:rPr>
        <w:t xml:space="preserve">Multi-factor authentication for system administrators.</w:t>
      </w:r>
    </w:p>
    <w:p>
      <w:pPr>
        <w:pStyle w:val="ListParagraph"/>
        <w:numPr>
          <w:ilvl w:val="0"/>
          <w:numId w:val="2"/>
        </w:numPr>
        <w:spacing w:before="60" w:after="60"/>
      </w:pPr>
      <w:r>
        <w:rPr>
          <w:rFonts w:ascii="Arial" w:cs="Arial" w:eastAsia="Arial" w:hAnsi="Arial"/>
          <w:color w:val="1C1C1C"/>
          <w:sz w:val="22"/>
          <w:szCs w:val="22"/>
        </w:rPr>
        <w:t xml:space="preserve">Regular security patches and updates.</w:t>
      </w:r>
    </w:p>
    <w:p>
      <w:pPr>
        <w:pStyle w:val="ListParagraph"/>
        <w:numPr>
          <w:ilvl w:val="0"/>
          <w:numId w:val="2"/>
        </w:numPr>
        <w:spacing w:before="60" w:after="60"/>
      </w:pPr>
      <w:r>
        <w:rPr>
          <w:rFonts w:ascii="Arial" w:cs="Arial" w:eastAsia="Arial" w:hAnsi="Arial"/>
          <w:color w:val="1C1C1C"/>
          <w:sz w:val="22"/>
          <w:szCs w:val="22"/>
        </w:rPr>
        <w:t xml:space="preserve">Secure backup and disaster recovery procedures.</w:t>
      </w:r>
    </w:p>
    <w:p>
      <w:pPr>
        <w:pStyle w:val="ListParagraph"/>
        <w:numPr>
          <w:ilvl w:val="0"/>
          <w:numId w:val="2"/>
        </w:numPr>
        <w:spacing w:before="60" w:after="60"/>
      </w:pPr>
      <w:r>
        <w:rPr>
          <w:rFonts w:ascii="Arial" w:cs="Arial" w:eastAsia="Arial" w:hAnsi="Arial"/>
          <w:color w:val="1C1C1C"/>
          <w:sz w:val="22"/>
          <w:szCs w:val="22"/>
        </w:rPr>
        <w:t xml:space="preserve">Staff training on data protection obligations and incident response.</w:t>
      </w:r>
    </w:p>
    <w:p>
      <w:pPr>
        <w:pStyle w:val="ListParagraph"/>
        <w:numPr>
          <w:ilvl w:val="0"/>
          <w:numId w:val="2"/>
        </w:numPr>
        <w:spacing w:before="60" w:after="60"/>
      </w:pPr>
      <w:r>
        <w:rPr>
          <w:rFonts w:ascii="Arial" w:cs="Arial" w:eastAsia="Arial" w:hAnsi="Arial"/>
          <w:color w:val="1C1C1C"/>
          <w:sz w:val="22"/>
          <w:szCs w:val="22"/>
        </w:rPr>
        <w:t xml:space="preserve">Incident response plans tested at least annually.</w:t>
      </w:r>
    </w:p>
    <w:p>
      <w:pPr>
        <w:pStyle w:val="Heading2"/>
        <w:pBdr>
          <w:bottom w:val="single" w:color="1A6E3C" w:sz="4"/>
        </w:pBdr>
        <w:spacing w:before="240" w:after="120"/>
      </w:pPr>
      <w:r>
        <w:rPr>
          <w:rFonts w:ascii="Arial" w:cs="Arial" w:eastAsia="Arial" w:hAnsi="Arial"/>
          <w:b/>
          <w:bCs/>
          <w:color w:val="1A6E3C"/>
          <w:sz w:val="28"/>
          <w:szCs w:val="28"/>
        </w:rPr>
        <w:t xml:space="preserve">7.6 Data Breach Notification</w:t>
      </w:r>
    </w:p>
    <w:p>
      <w:pPr>
        <w:spacing w:before="80" w:after="80"/>
      </w:pPr>
      <w:r>
        <w:rPr>
          <w:rFonts w:ascii="Arial" w:cs="Arial" w:eastAsia="Arial" w:hAnsi="Arial"/>
          <w:color w:val="1C1C1C"/>
          <w:sz w:val="22"/>
          <w:szCs w:val="22"/>
        </w:rPr>
        <w:t xml:space="preserve">In the event of a data security breach, the affected Party must:</w:t>
      </w:r>
    </w:p>
    <w:p>
      <w:pPr>
        <w:pStyle w:val="ListParagraph"/>
        <w:numPr>
          <w:ilvl w:val="0"/>
          <w:numId w:val="3"/>
        </w:numPr>
        <w:spacing w:before="60" w:after="60"/>
      </w:pPr>
      <w:r>
        <w:rPr>
          <w:rFonts w:ascii="Arial" w:cs="Arial" w:eastAsia="Arial" w:hAnsi="Arial"/>
          <w:b/>
          <w:bCs/>
          <w:color w:val="1C1C1C"/>
          <w:sz w:val="22"/>
          <w:szCs w:val="22"/>
        </w:rPr>
        <w:t xml:space="preserve">Notify</w:t>
      </w:r>
      <w:r>
        <w:rPr>
          <w:rFonts w:ascii="Arial" w:cs="Arial" w:eastAsia="Arial" w:hAnsi="Arial"/>
          <w:color w:val="1C1C1C"/>
          <w:sz w:val="22"/>
          <w:szCs w:val="22"/>
        </w:rPr>
        <w:t xml:space="preserve"> the other Party within </w:t>
      </w:r>
      <w:r>
        <w:rPr>
          <w:rFonts w:ascii="Arial" w:cs="Arial" w:eastAsia="Arial" w:hAnsi="Arial"/>
          <w:b/>
          <w:bCs/>
          <w:color w:val="1C1C1C"/>
          <w:sz w:val="22"/>
          <w:szCs w:val="22"/>
        </w:rPr>
        <w:t xml:space="preserve">24 hours</w:t>
      </w:r>
      <w:r>
        <w:rPr>
          <w:rFonts w:ascii="Arial" w:cs="Arial" w:eastAsia="Arial" w:hAnsi="Arial"/>
          <w:color w:val="1C1C1C"/>
          <w:sz w:val="22"/>
          <w:szCs w:val="22"/>
        </w:rPr>
        <w:t xml:space="preserve"> of discovery.</w:t>
      </w:r>
    </w:p>
    <w:p>
      <w:pPr>
        <w:pStyle w:val="ListParagraph"/>
        <w:numPr>
          <w:ilvl w:val="0"/>
          <w:numId w:val="3"/>
        </w:numPr>
        <w:spacing w:before="60" w:after="60"/>
      </w:pPr>
      <w:r>
        <w:rPr>
          <w:rFonts w:ascii="Arial" w:cs="Arial" w:eastAsia="Arial" w:hAnsi="Arial"/>
          <w:b/>
          <w:bCs/>
          <w:color w:val="1C1C1C"/>
          <w:sz w:val="22"/>
          <w:szCs w:val="22"/>
        </w:rPr>
        <w:t xml:space="preserve">Provide detailed incident report</w:t>
      </w:r>
      <w:r>
        <w:rPr>
          <w:rFonts w:ascii="Arial" w:cs="Arial" w:eastAsia="Arial" w:hAnsi="Arial"/>
          <w:color w:val="1C1C1C"/>
          <w:sz w:val="22"/>
          <w:szCs w:val="22"/>
        </w:rPr>
        <w:t xml:space="preserve"> within 72 hours including nature of breach, data affected, and remediation timeline.</w:t>
      </w:r>
    </w:p>
    <w:p>
      <w:pPr>
        <w:pStyle w:val="ListParagraph"/>
        <w:numPr>
          <w:ilvl w:val="0"/>
          <w:numId w:val="3"/>
        </w:numPr>
        <w:spacing w:before="60" w:after="60"/>
      </w:pPr>
      <w:r>
        <w:rPr>
          <w:rFonts w:ascii="Arial" w:cs="Arial" w:eastAsia="Arial" w:hAnsi="Arial"/>
          <w:b/>
          <w:bCs/>
          <w:color w:val="1C1C1C"/>
          <w:sz w:val="22"/>
          <w:szCs w:val="22"/>
        </w:rPr>
        <w:t xml:space="preserve">Cooperate fully</w:t>
      </w:r>
      <w:r>
        <w:rPr>
          <w:rFonts w:ascii="Arial" w:cs="Arial" w:eastAsia="Arial" w:hAnsi="Arial"/>
          <w:color w:val="1C1C1C"/>
          <w:sz w:val="22"/>
          <w:szCs w:val="22"/>
        </w:rPr>
        <w:t xml:space="preserve"> in investigation, remediation, and notification obligations.</w:t>
      </w:r>
    </w:p>
    <w:p>
      <w:pPr>
        <w:pStyle w:val="ListParagraph"/>
        <w:numPr>
          <w:ilvl w:val="0"/>
          <w:numId w:val="3"/>
        </w:numPr>
        <w:spacing w:before="60" w:after="60"/>
      </w:pPr>
      <w:r>
        <w:rPr>
          <w:rFonts w:ascii="Arial" w:cs="Arial" w:eastAsia="Arial" w:hAnsi="Arial"/>
          <w:b/>
          <w:bCs/>
          <w:color w:val="1C1C1C"/>
          <w:sz w:val="22"/>
          <w:szCs w:val="22"/>
        </w:rPr>
        <w:t xml:space="preserve">Implement corrective measures</w:t>
      </w:r>
      <w:r>
        <w:rPr>
          <w:rFonts w:ascii="Arial" w:cs="Arial" w:eastAsia="Arial" w:hAnsi="Arial"/>
          <w:color w:val="1C1C1C"/>
          <w:sz w:val="22"/>
          <w:szCs w:val="22"/>
        </w:rPr>
        <w:t xml:space="preserve"> to prevent recurrence and share lessons learned.</w:t>
      </w:r>
    </w:p>
    <w:p>
      <w:pPr>
        <w:pStyle w:val="Heading2"/>
        <w:pBdr>
          <w:bottom w:val="single" w:color="1A6E3C" w:sz="4"/>
        </w:pBdr>
        <w:spacing w:before="240" w:after="120"/>
      </w:pPr>
      <w:r>
        <w:rPr>
          <w:rFonts w:ascii="Arial" w:cs="Arial" w:eastAsia="Arial" w:hAnsi="Arial"/>
          <w:b/>
          <w:bCs/>
          <w:color w:val="1A6E3C"/>
          <w:sz w:val="28"/>
          <w:szCs w:val="28"/>
        </w:rPr>
        <w:t xml:space="preserve">7.7 Data Retention and Destruction</w:t>
      </w:r>
    </w:p>
    <w:p>
      <w:pPr>
        <w:spacing w:before="80" w:after="80"/>
      </w:pPr>
      <w:r>
        <w:rPr>
          <w:rFonts w:ascii="Arial" w:cs="Arial" w:eastAsia="Arial" w:hAnsi="Arial"/>
          <w:color w:val="1C1C1C"/>
          <w:sz w:val="22"/>
          <w:szCs w:val="22"/>
        </w:rPr>
        <w:t xml:space="preserve">Upon termination of this MoU, each Party shall securely delete or return Confidential Information within 14 days, and provide written certification of deletion or return upon request.</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8. INTELLECTUAL PROPERTY AND LICENSING</w:t>
      </w:r>
    </w:p>
    <w:p>
      <w:pPr>
        <w:pStyle w:val="Heading2"/>
        <w:pBdr>
          <w:bottom w:val="single" w:color="1A6E3C" w:sz="4"/>
        </w:pBdr>
        <w:spacing w:before="240" w:after="120"/>
      </w:pPr>
      <w:r>
        <w:rPr>
          <w:rFonts w:ascii="Arial" w:cs="Arial" w:eastAsia="Arial" w:hAnsi="Arial"/>
          <w:b/>
          <w:bCs/>
          <w:color w:val="1A6E3C"/>
          <w:sz w:val="28"/>
          <w:szCs w:val="28"/>
        </w:rPr>
        <w:t xml:space="preserve">8.1 Pre-Existing Intellectual Property</w:t>
      </w:r>
    </w:p>
    <w:p>
      <w:pPr>
        <w:spacing w:before="80" w:after="80"/>
      </w:pPr>
      <w:r>
        <w:rPr>
          <w:rFonts w:ascii="Arial" w:cs="Arial" w:eastAsia="Arial" w:hAnsi="Arial"/>
          <w:color w:val="1C1C1C"/>
          <w:sz w:val="22"/>
          <w:szCs w:val="22"/>
        </w:rPr>
        <w:t xml:space="preserve">Each Party </w:t>
      </w:r>
      <w:r>
        <w:rPr>
          <w:rFonts w:ascii="Arial" w:cs="Arial" w:eastAsia="Arial" w:hAnsi="Arial"/>
          <w:b/>
          <w:bCs/>
          <w:color w:val="1C1C1C"/>
          <w:sz w:val="22"/>
          <w:szCs w:val="22"/>
        </w:rPr>
        <w:t xml:space="preserve">retains full and exclusive ownership</w:t>
      </w:r>
      <w:r>
        <w:rPr>
          <w:rFonts w:ascii="Arial" w:cs="Arial" w:eastAsia="Arial" w:hAnsi="Arial"/>
          <w:color w:val="1C1C1C"/>
          <w:sz w:val="22"/>
          <w:szCs w:val="22"/>
        </w:rPr>
        <w:t xml:space="preserve"> of all intellectual property rights existing prior to the Effective Date, including:</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CEKA Pre-Existing IP:</w:t>
      </w:r>
    </w:p>
    <w:p>
      <w:pPr>
        <w:pStyle w:val="ListParagraph"/>
        <w:numPr>
          <w:ilvl w:val="0"/>
          <w:numId w:val="2"/>
        </w:numPr>
        <w:spacing w:before="60" w:after="60"/>
      </w:pPr>
      <w:r>
        <w:rPr>
          <w:rFonts w:ascii="Arial" w:cs="Arial" w:eastAsia="Arial" w:hAnsi="Arial"/>
          <w:color w:val="1C1C1C"/>
          <w:sz w:val="22"/>
          <w:szCs w:val="22"/>
        </w:rPr>
        <w:t xml:space="preserve">Nasaka IEBC platform source code, architecture, algorithms, and databases.</w:t>
      </w:r>
    </w:p>
    <w:p>
      <w:pPr>
        <w:pStyle w:val="ListParagraph"/>
        <w:numPr>
          <w:ilvl w:val="0"/>
          <w:numId w:val="2"/>
        </w:numPr>
        <w:spacing w:before="60" w:after="60"/>
      </w:pPr>
      <w:r>
        <w:rPr>
          <w:rFonts w:ascii="Arial" w:cs="Arial" w:eastAsia="Arial" w:hAnsi="Arial"/>
          <w:color w:val="1C1C1C"/>
          <w:sz w:val="22"/>
          <w:szCs w:val="22"/>
        </w:rPr>
        <w:t xml:space="preserve">Civic Education Kenya brand, logos, trademarks, and visual identity.</w:t>
      </w:r>
    </w:p>
    <w:p>
      <w:pPr>
        <w:pStyle w:val="ListParagraph"/>
        <w:numPr>
          <w:ilvl w:val="0"/>
          <w:numId w:val="2"/>
        </w:numPr>
        <w:spacing w:before="60" w:after="60"/>
      </w:pPr>
      <w:r>
        <w:rPr>
          <w:rFonts w:ascii="Arial" w:cs="Arial" w:eastAsia="Arial" w:hAnsi="Arial"/>
          <w:color w:val="1C1C1C"/>
          <w:sz w:val="22"/>
          <w:szCs w:val="22"/>
        </w:rPr>
        <w:t xml:space="preserve">Proprietary civic education content, research methodologies, and frameworks.</w:t>
      </w:r>
    </w:p>
    <w:p>
      <w:pPr>
        <w:pStyle w:val="ListParagraph"/>
        <w:numPr>
          <w:ilvl w:val="0"/>
          <w:numId w:val="2"/>
        </w:numPr>
        <w:spacing w:before="60" w:after="60"/>
      </w:pPr>
      <w:r>
        <w:rPr>
          <w:rFonts w:ascii="Arial" w:cs="Arial" w:eastAsia="Arial" w:hAnsi="Arial"/>
          <w:color w:val="1C1C1C"/>
          <w:sz w:val="22"/>
          <w:szCs w:val="22"/>
        </w:rPr>
        <w:t xml:space="preserve">Data compilation methods and analytical tools.</w:t>
      </w:r>
    </w:p>
    <w:p>
      <w:pPr>
        <w:pStyle w:val="ListParagraph"/>
        <w:numPr>
          <w:ilvl w:val="0"/>
          <w:numId w:val="2"/>
        </w:numPr>
        <w:spacing w:before="60" w:after="60"/>
      </w:pPr>
      <w:r>
        <w:rPr>
          <w:rFonts w:ascii="Arial" w:cs="Arial" w:eastAsia="Arial" w:hAnsi="Arial"/>
          <w:color w:val="1C1C1C"/>
          <w:sz w:val="22"/>
          <w:szCs w:val="22"/>
        </w:rPr>
        <w:t xml:space="preserve">Domain names, social media accounts, and digital properties.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Partner Pre-Existing IP:</w:t>
      </w:r>
    </w:p>
    <w:p>
      <w:pPr>
        <w:pStyle w:val="ListParagraph"/>
        <w:numPr>
          <w:ilvl w:val="0"/>
          <w:numId w:val="2"/>
        </w:numPr>
        <w:spacing w:before="60" w:after="60"/>
      </w:pPr>
      <w:r>
        <w:rPr>
          <w:rFonts w:ascii="Arial" w:cs="Arial" w:eastAsia="Arial" w:hAnsi="Arial"/>
          <w:b/>
          <w:bCs/>
          <w:color w:val="8B0000"/>
          <w:sz w:val="22"/>
          <w:szCs w:val="22"/>
          <w:highlight w:val="yellow"/>
          <w:highlightCs w:val="yellow"/>
        </w:rPr>
        <w:t xml:space="preserve">[List Partner's pre-existing IP — e.g. Partner platform source code, brand, logos, trademarks, campaign frameworks, advocacy strategies, community engagement tools, digital content repositories, domain names, social media accounts]</w:t>
      </w:r>
    </w:p>
    <w:p>
      <w:pPr>
        <w:pStyle w:val="Heading2"/>
        <w:pBdr>
          <w:bottom w:val="single" w:color="1A6E3C" w:sz="4"/>
        </w:pBdr>
        <w:spacing w:before="240" w:after="120"/>
      </w:pPr>
      <w:r>
        <w:rPr>
          <w:rFonts w:ascii="Arial" w:cs="Arial" w:eastAsia="Arial" w:hAnsi="Arial"/>
          <w:b/>
          <w:bCs/>
          <w:color w:val="1A6E3C"/>
          <w:sz w:val="28"/>
          <w:szCs w:val="28"/>
        </w:rPr>
        <w:t xml:space="preserve">8.2 License Grant from CEKA to Partner</w:t>
      </w:r>
    </w:p>
    <w:p>
      <w:pPr>
        <w:spacing w:before="80" w:after="80"/>
      </w:pPr>
      <w:r>
        <w:rPr>
          <w:rFonts w:ascii="Arial" w:cs="Arial" w:eastAsia="Arial" w:hAnsi="Arial"/>
          <w:color w:val="1C1C1C"/>
          <w:sz w:val="22"/>
          <w:szCs w:val="22"/>
        </w:rPr>
        <w:t xml:space="preserve">CEKA hereby grants the Partner a </w:t>
      </w:r>
      <w:r>
        <w:rPr>
          <w:rFonts w:ascii="Arial" w:cs="Arial" w:eastAsia="Arial" w:hAnsi="Arial"/>
          <w:b/>
          <w:bCs/>
          <w:color w:val="1C1C1C"/>
          <w:sz w:val="22"/>
          <w:szCs w:val="22"/>
        </w:rPr>
        <w:t xml:space="preserve">limited, non-exclusive, non-transferable, non-sublicensable, royalty-free license</w:t>
      </w:r>
      <w:r>
        <w:rPr>
          <w:rFonts w:ascii="Arial" w:cs="Arial" w:eastAsia="Arial" w:hAnsi="Arial"/>
          <w:color w:val="1C1C1C"/>
          <w:sz w:val="22"/>
          <w:szCs w:val="22"/>
        </w:rPr>
        <w:t xml:space="preserve"> to:</w:t>
      </w:r>
    </w:p>
    <w:p>
      <w:pPr>
        <w:pStyle w:val="ListParagraph"/>
        <w:numPr>
          <w:ilvl w:val="0"/>
          <w:numId w:val="2"/>
        </w:numPr>
        <w:spacing w:before="60" w:after="60"/>
      </w:pPr>
      <w:r>
        <w:rPr>
          <w:rFonts w:ascii="Arial" w:cs="Arial" w:eastAsia="Arial" w:hAnsi="Arial"/>
          <w:color w:val="1C1C1C"/>
          <w:sz w:val="22"/>
          <w:szCs w:val="22"/>
        </w:rPr>
        <w:t xml:space="preserve">Reproduce and distribute CEKA-provided campaign materials (logos, platform descriptions, infographics, user guides) solely for activities described in Annexure B.</w:t>
      </w:r>
    </w:p>
    <w:p>
      <w:pPr>
        <w:pStyle w:val="ListParagraph"/>
        <w:numPr>
          <w:ilvl w:val="0"/>
          <w:numId w:val="2"/>
        </w:numPr>
        <w:spacing w:before="60" w:after="60"/>
      </w:pPr>
      <w:r>
        <w:rPr>
          <w:rFonts w:ascii="Arial" w:cs="Arial" w:eastAsia="Arial" w:hAnsi="Arial"/>
          <w:color w:val="1C1C1C"/>
          <w:sz w:val="22"/>
          <w:szCs w:val="22"/>
        </w:rPr>
        <w:t xml:space="preserve">Display Nasaka IEBC branding on co-branded materials, social media posts, physical collateral at activations, and promotional materials for community forums.</w:t>
      </w:r>
    </w:p>
    <w:p>
      <w:pPr>
        <w:pStyle w:val="ListParagraph"/>
        <w:numPr>
          <w:ilvl w:val="0"/>
          <w:numId w:val="2"/>
        </w:numPr>
        <w:spacing w:before="60" w:after="60"/>
      </w:pPr>
      <w:r>
        <w:rPr>
          <w:rFonts w:ascii="Arial" w:cs="Arial" w:eastAsia="Arial" w:hAnsi="Arial"/>
          <w:color w:val="1C1C1C"/>
          <w:sz w:val="22"/>
          <w:szCs w:val="22"/>
        </w:rPr>
        <w:t xml:space="preserve">Include CEKA branding in the Partner's presentations, reports, and communications referencing the collaboration.</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Geographic Scope: </w:t>
      </w:r>
      <w:r>
        <w:rPr>
          <w:rFonts w:ascii="Arial" w:cs="Arial" w:eastAsia="Arial" w:hAnsi="Arial"/>
          <w:color w:val="1C1C1C"/>
          <w:sz w:val="22"/>
          <w:szCs w:val="22"/>
        </w:rPr>
        <w:t xml:space="preserve">Kenya territory only.</w:t>
      </w:r>
    </w:p>
    <w:p>
      <w:pPr>
        <w:spacing w:before="80" w:after="80"/>
      </w:pPr>
      <w:r>
        <w:rPr>
          <w:rFonts w:ascii="Arial" w:cs="Arial" w:eastAsia="Arial" w:hAnsi="Arial"/>
          <w:b/>
          <w:bCs/>
          <w:color w:val="1C1C1C"/>
          <w:sz w:val="22"/>
          <w:szCs w:val="22"/>
        </w:rPr>
        <w:t xml:space="preserve">Duration: </w:t>
      </w:r>
      <w:r>
        <w:rPr>
          <w:rFonts w:ascii="Arial" w:cs="Arial" w:eastAsia="Arial" w:hAnsi="Arial"/>
          <w:color w:val="1C1C1C"/>
          <w:sz w:val="22"/>
          <w:szCs w:val="22"/>
        </w:rPr>
        <w:t xml:space="preserve">For the term of this MoU and for 60 days thereafter to enable completion of ongoing campaigns.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Conditions and Restrictions:</w:t>
      </w:r>
    </w:p>
    <w:p>
      <w:pPr>
        <w:pStyle w:val="ListParagraph"/>
        <w:numPr>
          <w:ilvl w:val="0"/>
          <w:numId w:val="2"/>
        </w:numPr>
        <w:spacing w:before="60" w:after="60"/>
      </w:pPr>
      <w:r>
        <w:rPr>
          <w:rFonts w:ascii="Arial" w:cs="Arial" w:eastAsia="Arial" w:hAnsi="Arial"/>
          <w:color w:val="1C1C1C"/>
          <w:sz w:val="22"/>
          <w:szCs w:val="22"/>
        </w:rPr>
        <w:t xml:space="preserve">Materials must be used in accordance with branding guidelines specified in Annexure D.</w:t>
      </w:r>
    </w:p>
    <w:p>
      <w:pPr>
        <w:pStyle w:val="ListParagraph"/>
        <w:numPr>
          <w:ilvl w:val="0"/>
          <w:numId w:val="2"/>
        </w:numPr>
        <w:spacing w:before="60" w:after="60"/>
      </w:pPr>
      <w:r>
        <w:rPr>
          <w:rFonts w:ascii="Arial" w:cs="Arial" w:eastAsia="Arial" w:hAnsi="Arial"/>
          <w:color w:val="1C1C1C"/>
          <w:sz w:val="22"/>
          <w:szCs w:val="22"/>
        </w:rPr>
        <w:t xml:space="preserve">No modifications to CEKA branding elements without express written permission.</w:t>
      </w:r>
    </w:p>
    <w:p>
      <w:pPr>
        <w:pStyle w:val="ListParagraph"/>
        <w:numPr>
          <w:ilvl w:val="0"/>
          <w:numId w:val="2"/>
        </w:numPr>
        <w:spacing w:before="60" w:after="60"/>
      </w:pPr>
      <w:r>
        <w:rPr>
          <w:rFonts w:ascii="Arial" w:cs="Arial" w:eastAsia="Arial" w:hAnsi="Arial"/>
          <w:color w:val="1C1C1C"/>
          <w:sz w:val="22"/>
          <w:szCs w:val="22"/>
        </w:rPr>
        <w:t xml:space="preserve">Attribution to CEKA must be maintained on all reproduced materials.</w:t>
      </w:r>
    </w:p>
    <w:p>
      <w:pPr>
        <w:pStyle w:val="ListParagraph"/>
        <w:numPr>
          <w:ilvl w:val="0"/>
          <w:numId w:val="2"/>
        </w:numPr>
        <w:spacing w:before="60" w:after="60"/>
      </w:pPr>
      <w:r>
        <w:rPr>
          <w:rFonts w:ascii="Arial" w:cs="Arial" w:eastAsia="Arial" w:hAnsi="Arial"/>
          <w:color w:val="1C1C1C"/>
          <w:sz w:val="22"/>
          <w:szCs w:val="22"/>
        </w:rPr>
        <w:t xml:space="preserve">Materials must not be used for commercial purposes, political campaigns, or partisan activities.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Explicitly Excluded from License:</w:t>
      </w:r>
    </w:p>
    <w:p>
      <w:pPr>
        <w:pStyle w:val="ListParagraph"/>
        <w:numPr>
          <w:ilvl w:val="0"/>
          <w:numId w:val="2"/>
        </w:numPr>
        <w:spacing w:before="60" w:after="60"/>
      </w:pPr>
      <w:r>
        <w:rPr>
          <w:rFonts w:ascii="Arial" w:cs="Arial" w:eastAsia="Arial" w:hAnsi="Arial"/>
          <w:color w:val="1C1C1C"/>
          <w:sz w:val="22"/>
          <w:szCs w:val="22"/>
        </w:rPr>
        <w:t xml:space="preserve">Nasaka IEBC source code, backend systems, APIs, or technical architecture.</w:t>
      </w:r>
    </w:p>
    <w:p>
      <w:pPr>
        <w:pStyle w:val="ListParagraph"/>
        <w:numPr>
          <w:ilvl w:val="0"/>
          <w:numId w:val="2"/>
        </w:numPr>
        <w:spacing w:before="60" w:after="60"/>
      </w:pPr>
      <w:r>
        <w:rPr>
          <w:rFonts w:ascii="Arial" w:cs="Arial" w:eastAsia="Arial" w:hAnsi="Arial"/>
          <w:color w:val="1C1C1C"/>
          <w:sz w:val="22"/>
          <w:szCs w:val="22"/>
        </w:rPr>
        <w:t xml:space="preserve">CEKA proprietary databases, algorithms, or data processing methodologies.</w:t>
      </w:r>
    </w:p>
    <w:p>
      <w:pPr>
        <w:pStyle w:val="ListParagraph"/>
        <w:numPr>
          <w:ilvl w:val="0"/>
          <w:numId w:val="2"/>
        </w:numPr>
        <w:spacing w:before="60" w:after="60"/>
      </w:pPr>
      <w:r>
        <w:rPr>
          <w:rFonts w:ascii="Arial" w:cs="Arial" w:eastAsia="Arial" w:hAnsi="Arial"/>
          <w:color w:val="1C1C1C"/>
          <w:sz w:val="22"/>
          <w:szCs w:val="22"/>
        </w:rPr>
        <w:t xml:space="preserve">Access credentials, administrative interfaces, or system-level controls.</w:t>
      </w:r>
    </w:p>
    <w:p>
      <w:pPr>
        <w:pStyle w:val="Heading2"/>
        <w:pBdr>
          <w:bottom w:val="single" w:color="1A6E3C" w:sz="4"/>
        </w:pBdr>
        <w:spacing w:before="240" w:after="120"/>
      </w:pPr>
      <w:r>
        <w:rPr>
          <w:rFonts w:ascii="Arial" w:cs="Arial" w:eastAsia="Arial" w:hAnsi="Arial"/>
          <w:b/>
          <w:bCs/>
          <w:color w:val="1A6E3C"/>
          <w:sz w:val="28"/>
          <w:szCs w:val="28"/>
        </w:rPr>
        <w:t xml:space="preserve">8.3 License Grant from Partner to CEKA</w:t>
      </w:r>
    </w:p>
    <w:p>
      <w:pPr>
        <w:spacing w:before="80" w:after="80"/>
      </w:pPr>
      <w:r>
        <w:rPr>
          <w:rFonts w:ascii="Arial" w:cs="Arial" w:eastAsia="Arial" w:hAnsi="Arial"/>
          <w:color w:val="1C1C1C"/>
          <w:sz w:val="22"/>
          <w:szCs w:val="22"/>
        </w:rPr>
        <w:t xml:space="preserve">The Partner hereby grants CEKA a </w:t>
      </w:r>
      <w:r>
        <w:rPr>
          <w:rFonts w:ascii="Arial" w:cs="Arial" w:eastAsia="Arial" w:hAnsi="Arial"/>
          <w:b/>
          <w:bCs/>
          <w:color w:val="1C1C1C"/>
          <w:sz w:val="22"/>
          <w:szCs w:val="22"/>
        </w:rPr>
        <w:t xml:space="preserve">limited, non-exclusive, non-transferable, non-sublicensable, royalty-free license</w:t>
      </w:r>
      <w:r>
        <w:rPr>
          <w:rFonts w:ascii="Arial" w:cs="Arial" w:eastAsia="Arial" w:hAnsi="Arial"/>
          <w:color w:val="1C1C1C"/>
          <w:sz w:val="22"/>
          <w:szCs w:val="22"/>
        </w:rPr>
        <w:t xml:space="preserve"> to:</w:t>
      </w:r>
    </w:p>
    <w:p>
      <w:pPr>
        <w:pStyle w:val="ListParagraph"/>
        <w:numPr>
          <w:ilvl w:val="0"/>
          <w:numId w:val="2"/>
        </w:numPr>
        <w:spacing w:before="60" w:after="60"/>
      </w:pPr>
      <w:r>
        <w:rPr>
          <w:rFonts w:ascii="Arial" w:cs="Arial" w:eastAsia="Arial" w:hAnsi="Arial"/>
          <w:color w:val="1C1C1C"/>
          <w:sz w:val="22"/>
          <w:szCs w:val="22"/>
        </w:rPr>
        <w:t xml:space="preserve">Reproduce and distribute Partner-provided campaign materials (logos, graphics, templates, content assets) solely for activities described in Annexure B.</w:t>
      </w:r>
    </w:p>
    <w:p>
      <w:pPr>
        <w:pStyle w:val="ListParagraph"/>
        <w:numPr>
          <w:ilvl w:val="0"/>
          <w:numId w:val="2"/>
        </w:numPr>
        <w:spacing w:before="60" w:after="60"/>
      </w:pPr>
      <w:r>
        <w:rPr>
          <w:rFonts w:ascii="Arial" w:cs="Arial" w:eastAsia="Arial" w:hAnsi="Arial"/>
          <w:color w:val="1C1C1C"/>
          <w:sz w:val="22"/>
          <w:szCs w:val="22"/>
        </w:rPr>
        <w:t xml:space="preserve">Display the Partner's branding on co-branded materials, joint programme promotions, and impact reporting.</w:t>
      </w:r>
    </w:p>
    <w:p>
      <w:pPr>
        <w:pStyle w:val="ListParagraph"/>
        <w:numPr>
          <w:ilvl w:val="0"/>
          <w:numId w:val="2"/>
        </w:numPr>
        <w:spacing w:before="60" w:after="60"/>
      </w:pPr>
      <w:r>
        <w:rPr>
          <w:rFonts w:ascii="Arial" w:cs="Arial" w:eastAsia="Arial" w:hAnsi="Arial"/>
          <w:color w:val="1C1C1C"/>
          <w:sz w:val="22"/>
          <w:szCs w:val="22"/>
        </w:rPr>
        <w:t xml:space="preserve">Reference the Partner's work and contributions in CEKA's communications, donor reports, and platform promotional materials.</w:t>
      </w:r>
    </w:p>
    <w:p>
      <w:pPr>
        <w:pStyle w:val="ListParagraph"/>
        <w:numPr>
          <w:ilvl w:val="0"/>
          <w:numId w:val="2"/>
        </w:numPr>
        <w:spacing w:before="60" w:after="60"/>
      </w:pPr>
      <w:r>
        <w:rPr>
          <w:rFonts w:ascii="Arial" w:cs="Arial" w:eastAsia="Arial" w:hAnsi="Arial"/>
          <w:b/>
          <w:bCs/>
          <w:color w:val="8B0000"/>
          <w:sz w:val="22"/>
          <w:szCs w:val="22"/>
          <w:highlight w:val="yellow"/>
          <w:highlightCs w:val="yellow"/>
        </w:rPr>
        <w:t xml:space="preserve">[Additional specific license from Partner — e.g. Record, archive, and redistribute programme recordings for educational, promotional, and archival purposes]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Geographic Scope: </w:t>
      </w:r>
      <w:r>
        <w:rPr>
          <w:rFonts w:ascii="Arial" w:cs="Arial" w:eastAsia="Arial" w:hAnsi="Arial"/>
          <w:color w:val="1C1C1C"/>
          <w:sz w:val="22"/>
          <w:szCs w:val="22"/>
        </w:rPr>
        <w:t xml:space="preserve">Kenya territory, with extension to regional and international dissemination for content related to comparative civic education and Pan-African democratic development discourse.</w:t>
      </w:r>
    </w:p>
    <w:p>
      <w:pPr>
        <w:spacing w:before="80" w:after="80"/>
      </w:pPr>
      <w:r>
        <w:rPr>
          <w:rFonts w:ascii="Arial" w:cs="Arial" w:eastAsia="Arial" w:hAnsi="Arial"/>
          <w:b/>
          <w:bCs/>
          <w:color w:val="1C1C1C"/>
          <w:sz w:val="22"/>
          <w:szCs w:val="22"/>
        </w:rPr>
        <w:t xml:space="preserve">Duration: </w:t>
      </w:r>
      <w:r>
        <w:rPr>
          <w:rFonts w:ascii="Arial" w:cs="Arial" w:eastAsia="Arial" w:hAnsi="Arial"/>
          <w:color w:val="1C1C1C"/>
          <w:sz w:val="22"/>
          <w:szCs w:val="22"/>
        </w:rPr>
        <w:t xml:space="preserve">For the term of this MoU, with perpetual license for archival recordings of joint content for historical and educational purposes.</w:t>
      </w:r>
    </w:p>
    <w:p>
      <w:pPr>
        <w:pStyle w:val="Heading2"/>
        <w:pBdr>
          <w:bottom w:val="single" w:color="1A6E3C" w:sz="4"/>
        </w:pBdr>
        <w:spacing w:before="240" w:after="120"/>
      </w:pPr>
      <w:r>
        <w:rPr>
          <w:rFonts w:ascii="Arial" w:cs="Arial" w:eastAsia="Arial" w:hAnsi="Arial"/>
          <w:b/>
          <w:bCs/>
          <w:color w:val="1A6E3C"/>
          <w:sz w:val="28"/>
          <w:szCs w:val="28"/>
        </w:rPr>
        <w:t xml:space="preserve">8.4 Jointly Created Materials</w:t>
      </w:r>
    </w:p>
    <w:p>
      <w:pPr>
        <w:spacing w:before="80" w:after="80"/>
      </w:pPr>
      <w:r>
        <w:rPr>
          <w:rFonts w:ascii="Arial" w:cs="Arial" w:eastAsia="Arial" w:hAnsi="Arial"/>
          <w:color w:val="1C1C1C"/>
          <w:sz w:val="22"/>
          <w:szCs w:val="22"/>
        </w:rPr>
        <w:t xml:space="preserve">Materials </w:t>
      </w:r>
      <w:r>
        <w:rPr>
          <w:rFonts w:ascii="Arial" w:cs="Arial" w:eastAsia="Arial" w:hAnsi="Arial"/>
          <w:b/>
          <w:bCs/>
          <w:color w:val="1C1C1C"/>
          <w:sz w:val="22"/>
          <w:szCs w:val="22"/>
        </w:rPr>
        <w:t xml:space="preserve">jointly developed under this MoU</w:t>
      </w:r>
      <w:r>
        <w:rPr>
          <w:rFonts w:ascii="Arial" w:cs="Arial" w:eastAsia="Arial" w:hAnsi="Arial"/>
          <w:color w:val="1C1C1C"/>
          <w:sz w:val="22"/>
          <w:szCs w:val="22"/>
        </w:rPr>
        <w:t xml:space="preserve"> shall be </w:t>
      </w:r>
      <w:r>
        <w:rPr>
          <w:rFonts w:ascii="Arial" w:cs="Arial" w:eastAsia="Arial" w:hAnsi="Arial"/>
          <w:b/>
          <w:bCs/>
          <w:color w:val="1C1C1C"/>
          <w:sz w:val="22"/>
          <w:szCs w:val="22"/>
        </w:rPr>
        <w:t xml:space="preserve">co-owned</w:t>
      </w:r>
      <w:r>
        <w:rPr>
          <w:rFonts w:ascii="Arial" w:cs="Arial" w:eastAsia="Arial" w:hAnsi="Arial"/>
          <w:color w:val="1C1C1C"/>
          <w:sz w:val="22"/>
          <w:szCs w:val="22"/>
        </w:rPr>
        <w:t xml:space="preserve"> by both Parties with equal rights to use, reproduce, distribute, and create derivative works, subject to:</w:t>
      </w:r>
    </w:p>
    <w:p>
      <w:pPr>
        <w:pStyle w:val="ListParagraph"/>
        <w:numPr>
          <w:ilvl w:val="0"/>
          <w:numId w:val="2"/>
        </w:numPr>
        <w:spacing w:before="60" w:after="60"/>
      </w:pPr>
      <w:r>
        <w:rPr>
          <w:rFonts w:ascii="Arial" w:cs="Arial" w:eastAsia="Arial" w:hAnsi="Arial"/>
          <w:b/>
          <w:bCs/>
          <w:color w:val="1C1C1C"/>
          <w:sz w:val="22"/>
          <w:szCs w:val="22"/>
        </w:rPr>
        <w:t xml:space="preserve">Mutual attribution: </w:t>
      </w:r>
      <w:r>
        <w:rPr>
          <w:rFonts w:ascii="Arial" w:cs="Arial" w:eastAsia="Arial" w:hAnsi="Arial"/>
          <w:color w:val="1C1C1C"/>
          <w:sz w:val="22"/>
          <w:szCs w:val="22"/>
        </w:rPr>
        <w:t xml:space="preserve">Both organizations must be credited whenever joint materials are reproduced.</w:t>
      </w:r>
    </w:p>
    <w:p>
      <w:pPr>
        <w:pStyle w:val="ListParagraph"/>
        <w:numPr>
          <w:ilvl w:val="0"/>
          <w:numId w:val="2"/>
        </w:numPr>
        <w:spacing w:before="60" w:after="60"/>
      </w:pPr>
      <w:r>
        <w:rPr>
          <w:rFonts w:ascii="Arial" w:cs="Arial" w:eastAsia="Arial" w:hAnsi="Arial"/>
          <w:b/>
          <w:bCs/>
          <w:color w:val="1C1C1C"/>
          <w:sz w:val="22"/>
          <w:szCs w:val="22"/>
        </w:rPr>
        <w:t xml:space="preserve">Quality control: </w:t>
      </w:r>
      <w:r>
        <w:rPr>
          <w:rFonts w:ascii="Arial" w:cs="Arial" w:eastAsia="Arial" w:hAnsi="Arial"/>
          <w:color w:val="1C1C1C"/>
          <w:sz w:val="22"/>
          <w:szCs w:val="22"/>
        </w:rPr>
        <w:t xml:space="preserve">Neither Party may modify joint materials in ways that misrepresent the other Party's contributions without written approval.</w:t>
      </w:r>
    </w:p>
    <w:p>
      <w:pPr>
        <w:pStyle w:val="ListParagraph"/>
        <w:numPr>
          <w:ilvl w:val="0"/>
          <w:numId w:val="2"/>
        </w:numPr>
        <w:spacing w:before="60" w:after="60"/>
      </w:pPr>
      <w:r>
        <w:rPr>
          <w:rFonts w:ascii="Arial" w:cs="Arial" w:eastAsia="Arial" w:hAnsi="Arial"/>
          <w:b/>
          <w:bCs/>
          <w:color w:val="1C1C1C"/>
          <w:sz w:val="22"/>
          <w:szCs w:val="22"/>
        </w:rPr>
        <w:t xml:space="preserve">Third-party licensing: </w:t>
      </w:r>
      <w:r>
        <w:rPr>
          <w:rFonts w:ascii="Arial" w:cs="Arial" w:eastAsia="Arial" w:hAnsi="Arial"/>
          <w:color w:val="1C1C1C"/>
          <w:sz w:val="22"/>
          <w:szCs w:val="22"/>
        </w:rPr>
        <w:t xml:space="preserve">Granting licenses to third parties for joint materials requires written consent from both Parties.</w:t>
      </w:r>
    </w:p>
    <w:p>
      <w:pPr>
        <w:pStyle w:val="Heading2"/>
        <w:pBdr>
          <w:bottom w:val="single" w:color="1A6E3C" w:sz="4"/>
        </w:pBdr>
        <w:spacing w:before="240" w:after="120"/>
      </w:pPr>
      <w:r>
        <w:rPr>
          <w:rFonts w:ascii="Arial" w:cs="Arial" w:eastAsia="Arial" w:hAnsi="Arial"/>
          <w:b/>
          <w:bCs/>
          <w:color w:val="1A6E3C"/>
          <w:sz w:val="28"/>
          <w:szCs w:val="28"/>
        </w:rPr>
        <w:t xml:space="preserve">8.5 Restrictions on Use</w:t>
      </w:r>
    </w:p>
    <w:p>
      <w:pPr>
        <w:spacing w:before="80" w:after="80"/>
      </w:pPr>
      <w:r>
        <w:rPr>
          <w:rFonts w:ascii="Arial" w:cs="Arial" w:eastAsia="Arial" w:hAnsi="Arial"/>
          <w:color w:val="1C1C1C"/>
          <w:sz w:val="22"/>
          <w:szCs w:val="22"/>
        </w:rPr>
        <w:t xml:space="preserve">Neither Party may:</w:t>
      </w:r>
    </w:p>
    <w:p>
      <w:pPr>
        <w:pStyle w:val="ListParagraph"/>
        <w:numPr>
          <w:ilvl w:val="0"/>
          <w:numId w:val="2"/>
        </w:numPr>
        <w:spacing w:before="60" w:after="60"/>
      </w:pPr>
      <w:r>
        <w:rPr>
          <w:rFonts w:ascii="Arial" w:cs="Arial" w:eastAsia="Arial" w:hAnsi="Arial"/>
          <w:color w:val="1C1C1C"/>
          <w:sz w:val="22"/>
          <w:szCs w:val="22"/>
        </w:rPr>
        <w:t xml:space="preserve">Reverse engineer, decompile, or disassemble the other Party's software, platforms, or technical systems.</w:t>
      </w:r>
    </w:p>
    <w:p>
      <w:pPr>
        <w:pStyle w:val="ListParagraph"/>
        <w:numPr>
          <w:ilvl w:val="0"/>
          <w:numId w:val="2"/>
        </w:numPr>
        <w:spacing w:before="60" w:after="60"/>
      </w:pPr>
      <w:r>
        <w:rPr>
          <w:rFonts w:ascii="Arial" w:cs="Arial" w:eastAsia="Arial" w:hAnsi="Arial"/>
          <w:color w:val="1C1C1C"/>
          <w:sz w:val="22"/>
          <w:szCs w:val="22"/>
        </w:rPr>
        <w:t xml:space="preserve">Access or attempt to access non-public areas of the other Party's systems, databases, or administrative interfaces without express written authorization.</w:t>
      </w:r>
    </w:p>
    <w:p>
      <w:pPr>
        <w:pStyle w:val="ListParagraph"/>
        <w:numPr>
          <w:ilvl w:val="0"/>
          <w:numId w:val="2"/>
        </w:numPr>
        <w:spacing w:before="60" w:after="60"/>
      </w:pPr>
      <w:r>
        <w:rPr>
          <w:rFonts w:ascii="Arial" w:cs="Arial" w:eastAsia="Arial" w:hAnsi="Arial"/>
          <w:color w:val="1C1C1C"/>
          <w:sz w:val="22"/>
          <w:szCs w:val="22"/>
        </w:rPr>
        <w:t xml:space="preserve">Create derivative works of the other Party's proprietary materials beyond the scope explicitly permitted by this MoU.</w:t>
      </w:r>
    </w:p>
    <w:p>
      <w:pPr>
        <w:pStyle w:val="ListParagraph"/>
        <w:numPr>
          <w:ilvl w:val="0"/>
          <w:numId w:val="2"/>
        </w:numPr>
        <w:spacing w:before="60" w:after="60"/>
      </w:pPr>
      <w:r>
        <w:rPr>
          <w:rFonts w:ascii="Arial" w:cs="Arial" w:eastAsia="Arial" w:hAnsi="Arial"/>
          <w:color w:val="1C1C1C"/>
          <w:sz w:val="22"/>
          <w:szCs w:val="22"/>
        </w:rPr>
        <w:t xml:space="preserve">Sublicense, transfer, assign, or sell rights granted under this MoU to third parties without written consent.</w:t>
      </w:r>
    </w:p>
    <w:p>
      <w:pPr>
        <w:pStyle w:val="ListParagraph"/>
        <w:numPr>
          <w:ilvl w:val="0"/>
          <w:numId w:val="2"/>
        </w:numPr>
        <w:spacing w:before="60" w:after="60"/>
      </w:pPr>
      <w:r>
        <w:rPr>
          <w:rFonts w:ascii="Arial" w:cs="Arial" w:eastAsia="Arial" w:hAnsi="Arial"/>
          <w:color w:val="1C1C1C"/>
          <w:sz w:val="22"/>
          <w:szCs w:val="22"/>
        </w:rPr>
        <w:t xml:space="preserve">Remove, obscure, or alter copyright notices, attribution, or proprietary markings on materials provided by the other Party.</w:t>
      </w:r>
    </w:p>
    <w:p>
      <w:pPr>
        <w:pStyle w:val="ListParagraph"/>
        <w:numPr>
          <w:ilvl w:val="0"/>
          <w:numId w:val="2"/>
        </w:numPr>
        <w:spacing w:before="60" w:after="60"/>
      </w:pPr>
      <w:r>
        <w:rPr>
          <w:rFonts w:ascii="Arial" w:cs="Arial" w:eastAsia="Arial" w:hAnsi="Arial"/>
          <w:color w:val="1C1C1C"/>
          <w:sz w:val="22"/>
          <w:szCs w:val="22"/>
        </w:rPr>
        <w:t xml:space="preserve">Use the other Party's branding, trademarks, or identity to imply endorsements, partnerships, affiliations, or positions not explicitly documented in this MoU.</w:t>
      </w:r>
    </w:p>
    <w:p>
      <w:pPr>
        <w:pStyle w:val="Heading2"/>
        <w:pBdr>
          <w:bottom w:val="single" w:color="1A6E3C" w:sz="4"/>
        </w:pBdr>
        <w:spacing w:before="240" w:after="120"/>
      </w:pPr>
      <w:r>
        <w:rPr>
          <w:rFonts w:ascii="Arial" w:cs="Arial" w:eastAsia="Arial" w:hAnsi="Arial"/>
          <w:b/>
          <w:bCs/>
          <w:color w:val="1A6E3C"/>
          <w:sz w:val="28"/>
          <w:szCs w:val="28"/>
        </w:rPr>
        <w:t xml:space="preserve">8.6 Post-Termination IP Rights</w:t>
      </w:r>
    </w:p>
    <w:p>
      <w:pPr>
        <w:spacing w:before="80" w:after="80"/>
      </w:pPr>
      <w:r>
        <w:rPr>
          <w:rFonts w:ascii="Arial" w:cs="Arial" w:eastAsia="Arial" w:hAnsi="Arial"/>
          <w:color w:val="1C1C1C"/>
          <w:sz w:val="22"/>
          <w:szCs w:val="22"/>
        </w:rPr>
        <w:t xml:space="preserve">Upon termination or expiration of this MoU:</w:t>
      </w:r>
    </w:p>
    <w:p>
      <w:pPr>
        <w:pStyle w:val="ListParagraph"/>
        <w:numPr>
          <w:ilvl w:val="0"/>
          <w:numId w:val="2"/>
        </w:numPr>
        <w:spacing w:before="60" w:after="60"/>
      </w:pPr>
      <w:r>
        <w:rPr>
          <w:rFonts w:ascii="Arial" w:cs="Arial" w:eastAsia="Arial" w:hAnsi="Arial"/>
          <w:color w:val="1C1C1C"/>
          <w:sz w:val="22"/>
          <w:szCs w:val="22"/>
        </w:rPr>
        <w:t xml:space="preserve">All licenses granted herein automatically terminate, except as specified for archival content.</w:t>
      </w:r>
    </w:p>
    <w:p>
      <w:pPr>
        <w:pStyle w:val="ListParagraph"/>
        <w:numPr>
          <w:ilvl w:val="0"/>
          <w:numId w:val="2"/>
        </w:numPr>
        <w:spacing w:before="60" w:after="60"/>
      </w:pPr>
      <w:r>
        <w:rPr>
          <w:rFonts w:ascii="Arial" w:cs="Arial" w:eastAsia="Arial" w:hAnsi="Arial"/>
          <w:color w:val="1C1C1C"/>
          <w:sz w:val="22"/>
          <w:szCs w:val="22"/>
        </w:rPr>
        <w:t xml:space="preserve">Each Party must cease use of the other Party's intellectual property within 60 days.</w:t>
      </w:r>
    </w:p>
    <w:p>
      <w:pPr>
        <w:pStyle w:val="ListParagraph"/>
        <w:numPr>
          <w:ilvl w:val="0"/>
          <w:numId w:val="2"/>
        </w:numPr>
        <w:spacing w:before="60" w:after="60"/>
      </w:pPr>
      <w:r>
        <w:rPr>
          <w:rFonts w:ascii="Arial" w:cs="Arial" w:eastAsia="Arial" w:hAnsi="Arial"/>
          <w:color w:val="1C1C1C"/>
          <w:sz w:val="22"/>
          <w:szCs w:val="22"/>
        </w:rPr>
        <w:t xml:space="preserve">Jointly created materials may continue to be used by both Parties indefinitely, subject to Section 8.4 requirements.</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9. BRANDING AND PUBLIC COMMUNICATIONS</w:t>
      </w:r>
    </w:p>
    <w:p>
      <w:pPr>
        <w:pStyle w:val="Heading2"/>
        <w:pBdr>
          <w:bottom w:val="single" w:color="1A6E3C" w:sz="4"/>
        </w:pBdr>
        <w:spacing w:before="240" w:after="120"/>
      </w:pPr>
      <w:r>
        <w:rPr>
          <w:rFonts w:ascii="Arial" w:cs="Arial" w:eastAsia="Arial" w:hAnsi="Arial"/>
          <w:b/>
          <w:bCs/>
          <w:color w:val="1A6E3C"/>
          <w:sz w:val="28"/>
          <w:szCs w:val="28"/>
        </w:rPr>
        <w:t xml:space="preserve">9.1 Co-Branding Standards</w:t>
      </w:r>
    </w:p>
    <w:p>
      <w:pPr>
        <w:spacing w:before="80" w:after="80"/>
      </w:pPr>
      <w:r>
        <w:rPr>
          <w:rFonts w:ascii="Arial" w:cs="Arial" w:eastAsia="Arial" w:hAnsi="Arial"/>
          <w:b/>
          <w:bCs/>
          <w:color w:val="1C1C1C"/>
          <w:sz w:val="22"/>
          <w:szCs w:val="22"/>
        </w:rPr>
        <w:t xml:space="preserve">Visual Standards:</w:t>
      </w:r>
    </w:p>
    <w:p>
      <w:pPr>
        <w:pStyle w:val="ListParagraph"/>
        <w:numPr>
          <w:ilvl w:val="0"/>
          <w:numId w:val="2"/>
        </w:numPr>
        <w:spacing w:before="60" w:after="60"/>
      </w:pPr>
      <w:r>
        <w:rPr>
          <w:rFonts w:ascii="Arial" w:cs="Arial" w:eastAsia="Arial" w:hAnsi="Arial"/>
          <w:color w:val="1C1C1C"/>
          <w:sz w:val="22"/>
          <w:szCs w:val="22"/>
        </w:rPr>
        <w:t xml:space="preserve">Use approved logos and brand assets provided in Annexure D, including file formats (PNG, SVG, EPS), minimum size requirements, clear space specifications, and color specifications.</w:t>
      </w:r>
    </w:p>
    <w:p>
      <w:pPr>
        <w:pStyle w:val="ListParagraph"/>
        <w:numPr>
          <w:ilvl w:val="0"/>
          <w:numId w:val="2"/>
        </w:numPr>
        <w:spacing w:before="60" w:after="60"/>
      </w:pPr>
      <w:r>
        <w:rPr>
          <w:rFonts w:ascii="Arial" w:cs="Arial" w:eastAsia="Arial" w:hAnsi="Arial"/>
          <w:color w:val="1C1C1C"/>
          <w:sz w:val="22"/>
          <w:szCs w:val="22"/>
        </w:rPr>
        <w:t xml:space="preserve">Ensure proportional visual prominence of both organizations' branding, with logo sizes within 20% of each other unless specific tactical considerations warrant agreed variation.</w:t>
      </w:r>
    </w:p>
    <w:p>
      <w:pPr>
        <w:pStyle w:val="ListParagraph"/>
        <w:numPr>
          <w:ilvl w:val="0"/>
          <w:numId w:val="2"/>
        </w:numPr>
        <w:spacing w:before="60" w:after="60"/>
      </w:pPr>
      <w:r>
        <w:rPr>
          <w:rFonts w:ascii="Arial" w:cs="Arial" w:eastAsia="Arial" w:hAnsi="Arial"/>
          <w:color w:val="1C1C1C"/>
          <w:sz w:val="22"/>
          <w:szCs w:val="22"/>
        </w:rPr>
        <w:t xml:space="preserve">Maintain brand integrity by adhering to each organization's visual identity guidelines.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Approval Process:</w:t>
      </w:r>
    </w:p>
    <w:p>
      <w:pPr>
        <w:pStyle w:val="ListParagraph"/>
        <w:numPr>
          <w:ilvl w:val="0"/>
          <w:numId w:val="2"/>
        </w:numPr>
        <w:spacing w:before="60" w:after="60"/>
      </w:pPr>
      <w:r>
        <w:rPr>
          <w:rFonts w:ascii="Arial" w:cs="Arial" w:eastAsia="Arial" w:hAnsi="Arial"/>
          <w:color w:val="1C1C1C"/>
          <w:sz w:val="22"/>
          <w:szCs w:val="22"/>
        </w:rPr>
        <w:t xml:space="preserve">Submit co-branded materials for mutual approval via email to designated focal points at least 48 working hours before intended publication or distribution.</w:t>
      </w:r>
    </w:p>
    <w:p>
      <w:pPr>
        <w:pStyle w:val="ListParagraph"/>
        <w:numPr>
          <w:ilvl w:val="0"/>
          <w:numId w:val="2"/>
        </w:numPr>
        <w:spacing w:before="60" w:after="60"/>
      </w:pPr>
      <w:r>
        <w:rPr>
          <w:rFonts w:ascii="Arial" w:cs="Arial" w:eastAsia="Arial" w:hAnsi="Arial"/>
          <w:color w:val="1C1C1C"/>
          <w:sz w:val="22"/>
          <w:szCs w:val="22"/>
        </w:rPr>
        <w:t xml:space="preserve">Provide materials in editable formats (Adobe Illustrator, Photoshop, Canva links) to enable revisions if needed.</w:t>
      </w:r>
    </w:p>
    <w:p>
      <w:pPr>
        <w:pStyle w:val="ListParagraph"/>
        <w:numPr>
          <w:ilvl w:val="0"/>
          <w:numId w:val="2"/>
        </w:numPr>
        <w:spacing w:before="60" w:after="60"/>
      </w:pPr>
      <w:r>
        <w:rPr>
          <w:rFonts w:ascii="Arial" w:cs="Arial" w:eastAsia="Arial" w:hAnsi="Arial"/>
          <w:color w:val="1C1C1C"/>
          <w:sz w:val="22"/>
          <w:szCs w:val="22"/>
        </w:rPr>
        <w:t xml:space="preserve">Approvals shall not be unreasonably withheld, and rejections must include specific, actionable feedback.</w:t>
      </w:r>
    </w:p>
    <w:p>
      <w:pPr>
        <w:pStyle w:val="Heading2"/>
        <w:pBdr>
          <w:bottom w:val="single" w:color="1A6E3C" w:sz="4"/>
        </w:pBdr>
        <w:spacing w:before="240" w:after="120"/>
      </w:pPr>
      <w:r>
        <w:rPr>
          <w:rFonts w:ascii="Arial" w:cs="Arial" w:eastAsia="Arial" w:hAnsi="Arial"/>
          <w:b/>
          <w:bCs/>
          <w:color w:val="1A6E3C"/>
          <w:sz w:val="28"/>
          <w:szCs w:val="28"/>
        </w:rPr>
        <w:t xml:space="preserve">9.2 Public Statements and Announcements</w:t>
      </w:r>
    </w:p>
    <w:p>
      <w:pPr>
        <w:spacing w:before="80" w:after="80"/>
      </w:pPr>
      <w:r>
        <w:rPr>
          <w:rFonts w:ascii="Arial" w:cs="Arial" w:eastAsia="Arial" w:hAnsi="Arial"/>
          <w:b/>
          <w:bCs/>
          <w:color w:val="1C1C1C"/>
          <w:sz w:val="22"/>
          <w:szCs w:val="22"/>
        </w:rPr>
        <w:t xml:space="preserve">Joint Announcements </w:t>
      </w:r>
      <w:r>
        <w:rPr>
          <w:rFonts w:ascii="Arial" w:cs="Arial" w:eastAsia="Arial" w:hAnsi="Arial"/>
          <w:color w:val="1C1C1C"/>
          <w:sz w:val="22"/>
          <w:szCs w:val="22"/>
        </w:rPr>
        <w:t xml:space="preserve">(press releases, major partnership declarations, impact reports released to media) require written pre-approval from both Parties and coordinated release timing agreed at least 7 working days in advance.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Individual Mentions </w:t>
      </w:r>
      <w:r>
        <w:rPr>
          <w:rFonts w:ascii="Arial" w:cs="Arial" w:eastAsia="Arial" w:hAnsi="Arial"/>
          <w:color w:val="1C1C1C"/>
          <w:sz w:val="22"/>
          <w:szCs w:val="22"/>
        </w:rPr>
        <w:t xml:space="preserve">of the collaboration in routine communications may proceed without pre-approval, provided they:</w:t>
      </w:r>
    </w:p>
    <w:p>
      <w:pPr>
        <w:pStyle w:val="ListParagraph"/>
        <w:numPr>
          <w:ilvl w:val="0"/>
          <w:numId w:val="2"/>
        </w:numPr>
        <w:spacing w:before="60" w:after="60"/>
      </w:pPr>
      <w:r>
        <w:rPr>
          <w:rFonts w:ascii="Arial" w:cs="Arial" w:eastAsia="Arial" w:hAnsi="Arial"/>
          <w:color w:val="1C1C1C"/>
          <w:sz w:val="22"/>
          <w:szCs w:val="22"/>
        </w:rPr>
        <w:t xml:space="preserve">Accurately represent the collaboration's nature, scope, and objectives without mischaracterization.</w:t>
      </w:r>
    </w:p>
    <w:p>
      <w:pPr>
        <w:pStyle w:val="ListParagraph"/>
        <w:numPr>
          <w:ilvl w:val="0"/>
          <w:numId w:val="2"/>
        </w:numPr>
        <w:spacing w:before="60" w:after="60"/>
      </w:pPr>
      <w:r>
        <w:rPr>
          <w:rFonts w:ascii="Arial" w:cs="Arial" w:eastAsia="Arial" w:hAnsi="Arial"/>
          <w:color w:val="1C1C1C"/>
          <w:sz w:val="22"/>
          <w:szCs w:val="22"/>
        </w:rPr>
        <w:t xml:space="preserve">Use approved organizational descriptions from Annexure D.</w:t>
      </w:r>
    </w:p>
    <w:p>
      <w:pPr>
        <w:pStyle w:val="ListParagraph"/>
        <w:numPr>
          <w:ilvl w:val="0"/>
          <w:numId w:val="2"/>
        </w:numPr>
        <w:spacing w:before="60" w:after="60"/>
      </w:pPr>
      <w:r>
        <w:rPr>
          <w:rFonts w:ascii="Arial" w:cs="Arial" w:eastAsia="Arial" w:hAnsi="Arial"/>
          <w:color w:val="1C1C1C"/>
          <w:sz w:val="22"/>
          <w:szCs w:val="22"/>
        </w:rPr>
        <w:t xml:space="preserve">Avoid overstating the partnership's scale, exclusivity, or impact beyond demonstrable achievements.</w:t>
      </w:r>
    </w:p>
    <w:p>
      <w:pPr>
        <w:pStyle w:val="ListParagraph"/>
        <w:numPr>
          <w:ilvl w:val="0"/>
          <w:numId w:val="2"/>
        </w:numPr>
        <w:spacing w:before="60" w:after="60"/>
      </w:pPr>
      <w:r>
        <w:rPr>
          <w:rFonts w:ascii="Arial" w:cs="Arial" w:eastAsia="Arial" w:hAnsi="Arial"/>
          <w:color w:val="1C1C1C"/>
          <w:sz w:val="22"/>
          <w:szCs w:val="22"/>
        </w:rPr>
        <w:t xml:space="preserve">Tag or mention the partner organization on social media to enable visibility and engagement.</w:t>
      </w:r>
    </w:p>
    <w:p>
      <w:pPr>
        <w:pStyle w:val="Heading2"/>
        <w:pBdr>
          <w:bottom w:val="single" w:color="1A6E3C" w:sz="4"/>
        </w:pBdr>
        <w:spacing w:before="240" w:after="120"/>
      </w:pPr>
      <w:r>
        <w:rPr>
          <w:rFonts w:ascii="Arial" w:cs="Arial" w:eastAsia="Arial" w:hAnsi="Arial"/>
          <w:b/>
          <w:bCs/>
          <w:color w:val="1A6E3C"/>
          <w:sz w:val="28"/>
          <w:szCs w:val="28"/>
        </w:rPr>
        <w:t xml:space="preserve">9.3 Prohibited Representations</w:t>
      </w:r>
    </w:p>
    <w:p>
      <w:pPr>
        <w:spacing w:before="80" w:after="80"/>
      </w:pPr>
      <w:r>
        <w:rPr>
          <w:rFonts w:ascii="Arial" w:cs="Arial" w:eastAsia="Arial" w:hAnsi="Arial"/>
          <w:color w:val="1C1C1C"/>
          <w:sz w:val="22"/>
          <w:szCs w:val="22"/>
        </w:rPr>
        <w:t xml:space="preserve">Neither Party may:</w:t>
      </w:r>
    </w:p>
    <w:p>
      <w:pPr>
        <w:pStyle w:val="ListParagraph"/>
        <w:numPr>
          <w:ilvl w:val="0"/>
          <w:numId w:val="2"/>
        </w:numPr>
        <w:spacing w:before="60" w:after="60"/>
      </w:pPr>
      <w:r>
        <w:rPr>
          <w:rFonts w:ascii="Arial" w:cs="Arial" w:eastAsia="Arial" w:hAnsi="Arial"/>
          <w:b/>
          <w:bCs/>
          <w:color w:val="1C1C1C"/>
          <w:sz w:val="22"/>
          <w:szCs w:val="22"/>
        </w:rPr>
        <w:t xml:space="preserve">Imply governmental affiliation, endorsement, or official status </w:t>
      </w:r>
      <w:r>
        <w:rPr>
          <w:rFonts w:ascii="Arial" w:cs="Arial" w:eastAsia="Arial" w:hAnsi="Arial"/>
          <w:color w:val="1C1C1C"/>
          <w:sz w:val="22"/>
          <w:szCs w:val="22"/>
        </w:rPr>
        <w:t xml:space="preserve">on behalf of the other Party.</w:t>
      </w:r>
    </w:p>
    <w:p>
      <w:pPr>
        <w:pStyle w:val="ListParagraph"/>
        <w:numPr>
          <w:ilvl w:val="0"/>
          <w:numId w:val="2"/>
        </w:numPr>
        <w:spacing w:before="60" w:after="60"/>
      </w:pPr>
      <w:r>
        <w:rPr>
          <w:rFonts w:ascii="Arial" w:cs="Arial" w:eastAsia="Arial" w:hAnsi="Arial"/>
          <w:b/>
          <w:bCs/>
          <w:color w:val="1C1C1C"/>
          <w:sz w:val="22"/>
          <w:szCs w:val="22"/>
        </w:rPr>
        <w:t xml:space="preserve">Suggest exclusive partnerships </w:t>
      </w:r>
      <w:r>
        <w:rPr>
          <w:rFonts w:ascii="Arial" w:cs="Arial" w:eastAsia="Arial" w:hAnsi="Arial"/>
          <w:color w:val="1C1C1C"/>
          <w:sz w:val="22"/>
          <w:szCs w:val="22"/>
        </w:rPr>
        <w:t xml:space="preserve">that conflict with either organization's other relationships.</w:t>
      </w:r>
    </w:p>
    <w:p>
      <w:pPr>
        <w:pStyle w:val="ListParagraph"/>
        <w:numPr>
          <w:ilvl w:val="0"/>
          <w:numId w:val="2"/>
        </w:numPr>
        <w:spacing w:before="60" w:after="60"/>
      </w:pPr>
      <w:r>
        <w:rPr>
          <w:rFonts w:ascii="Arial" w:cs="Arial" w:eastAsia="Arial" w:hAnsi="Arial"/>
          <w:b/>
          <w:bCs/>
          <w:color w:val="1C1C1C"/>
          <w:sz w:val="22"/>
          <w:szCs w:val="22"/>
        </w:rPr>
        <w:t xml:space="preserve">Make political endorsements </w:t>
      </w:r>
      <w:r>
        <w:rPr>
          <w:rFonts w:ascii="Arial" w:cs="Arial" w:eastAsia="Arial" w:hAnsi="Arial"/>
          <w:color w:val="1C1C1C"/>
          <w:sz w:val="22"/>
          <w:szCs w:val="22"/>
        </w:rPr>
        <w:t xml:space="preserve">of candidates, parties, or ballot measures using the other Party's branding.</w:t>
      </w:r>
    </w:p>
    <w:p>
      <w:pPr>
        <w:pStyle w:val="ListParagraph"/>
        <w:numPr>
          <w:ilvl w:val="0"/>
          <w:numId w:val="2"/>
        </w:numPr>
        <w:spacing w:before="60" w:after="60"/>
      </w:pPr>
      <w:r>
        <w:rPr>
          <w:rFonts w:ascii="Arial" w:cs="Arial" w:eastAsia="Arial" w:hAnsi="Arial"/>
          <w:b/>
          <w:bCs/>
          <w:color w:val="1C1C1C"/>
          <w:sz w:val="22"/>
          <w:szCs w:val="22"/>
        </w:rPr>
        <w:t xml:space="preserve">Exaggerate user numbers, reach statistics, or impact metrics </w:t>
      </w:r>
      <w:r>
        <w:rPr>
          <w:rFonts w:ascii="Arial" w:cs="Arial" w:eastAsia="Arial" w:hAnsi="Arial"/>
          <w:color w:val="1C1C1C"/>
          <w:sz w:val="22"/>
          <w:szCs w:val="22"/>
        </w:rPr>
        <w:t xml:space="preserve">beyond documented evidence.</w:t>
      </w:r>
    </w:p>
    <w:p>
      <w:pPr>
        <w:pStyle w:val="ListParagraph"/>
        <w:numPr>
          <w:ilvl w:val="0"/>
          <w:numId w:val="2"/>
        </w:numPr>
        <w:spacing w:before="60" w:after="60"/>
      </w:pPr>
      <w:r>
        <w:rPr>
          <w:rFonts w:ascii="Arial" w:cs="Arial" w:eastAsia="Arial" w:hAnsi="Arial"/>
          <w:b/>
          <w:bCs/>
          <w:color w:val="1C1C1C"/>
          <w:sz w:val="22"/>
          <w:szCs w:val="22"/>
        </w:rPr>
        <w:t xml:space="preserve">Disclose donor identities, funding amounts, or grant details </w:t>
      </w:r>
      <w:r>
        <w:rPr>
          <w:rFonts w:ascii="Arial" w:cs="Arial" w:eastAsia="Arial" w:hAnsi="Arial"/>
          <w:color w:val="1C1C1C"/>
          <w:sz w:val="22"/>
          <w:szCs w:val="22"/>
        </w:rPr>
        <w:t xml:space="preserve">related to the other Party without express written permission.</w:t>
      </w:r>
    </w:p>
    <w:p>
      <w:pPr>
        <w:pStyle w:val="ListParagraph"/>
        <w:numPr>
          <w:ilvl w:val="0"/>
          <w:numId w:val="2"/>
        </w:numPr>
        <w:spacing w:before="60" w:after="60"/>
      </w:pPr>
      <w:r>
        <w:rPr>
          <w:rFonts w:ascii="Arial" w:cs="Arial" w:eastAsia="Arial" w:hAnsi="Arial"/>
          <w:b/>
          <w:bCs/>
          <w:color w:val="1C1C1C"/>
          <w:sz w:val="22"/>
          <w:szCs w:val="22"/>
        </w:rPr>
        <w:t xml:space="preserve">Imply financial relationships </w:t>
      </w:r>
      <w:r>
        <w:rPr>
          <w:rFonts w:ascii="Arial" w:cs="Arial" w:eastAsia="Arial" w:hAnsi="Arial"/>
          <w:color w:val="1C1C1C"/>
          <w:sz w:val="22"/>
          <w:szCs w:val="22"/>
        </w:rPr>
        <w:t xml:space="preserve">between the organizations that do not exist.</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10. CONFIDENTIALITY</w:t>
      </w:r>
    </w:p>
    <w:p>
      <w:pPr>
        <w:pStyle w:val="Heading2"/>
        <w:pBdr>
          <w:bottom w:val="single" w:color="1A6E3C" w:sz="4"/>
        </w:pBdr>
        <w:spacing w:before="240" w:after="120"/>
      </w:pPr>
      <w:r>
        <w:rPr>
          <w:rFonts w:ascii="Arial" w:cs="Arial" w:eastAsia="Arial" w:hAnsi="Arial"/>
          <w:b/>
          <w:bCs/>
          <w:color w:val="1A6E3C"/>
          <w:sz w:val="28"/>
          <w:szCs w:val="28"/>
        </w:rPr>
        <w:t xml:space="preserve">10.1 Obligations</w:t>
      </w:r>
    </w:p>
    <w:p>
      <w:pPr>
        <w:spacing w:before="80" w:after="80"/>
      </w:pPr>
      <w:r>
        <w:rPr>
          <w:rFonts w:ascii="Arial" w:cs="Arial" w:eastAsia="Arial" w:hAnsi="Arial"/>
          <w:color w:val="1C1C1C"/>
          <w:sz w:val="22"/>
          <w:szCs w:val="22"/>
        </w:rPr>
        <w:t xml:space="preserve">Each Party receiving Confidential Information from the other Party agrees to:</w:t>
      </w:r>
    </w:p>
    <w:p>
      <w:pPr>
        <w:pStyle w:val="ListParagraph"/>
        <w:numPr>
          <w:ilvl w:val="0"/>
          <w:numId w:val="2"/>
        </w:numPr>
        <w:spacing w:before="60" w:after="60"/>
      </w:pPr>
      <w:r>
        <w:rPr>
          <w:rFonts w:ascii="Arial" w:cs="Arial" w:eastAsia="Arial" w:hAnsi="Arial"/>
          <w:b/>
          <w:bCs/>
          <w:color w:val="1C1C1C"/>
          <w:sz w:val="22"/>
          <w:szCs w:val="22"/>
        </w:rPr>
        <w:t xml:space="preserve">Maintain confidentiality </w:t>
      </w:r>
      <w:r>
        <w:rPr>
          <w:rFonts w:ascii="Arial" w:cs="Arial" w:eastAsia="Arial" w:hAnsi="Arial"/>
          <w:color w:val="1C1C1C"/>
          <w:sz w:val="22"/>
          <w:szCs w:val="22"/>
        </w:rPr>
        <w:t xml:space="preserve">and not disclose Confidential Information to third parties without prior written consent from the disclosing Party.</w:t>
      </w:r>
    </w:p>
    <w:p>
      <w:pPr>
        <w:pStyle w:val="ListParagraph"/>
        <w:numPr>
          <w:ilvl w:val="0"/>
          <w:numId w:val="2"/>
        </w:numPr>
        <w:spacing w:before="60" w:after="60"/>
      </w:pPr>
      <w:r>
        <w:rPr>
          <w:rFonts w:ascii="Arial" w:cs="Arial" w:eastAsia="Arial" w:hAnsi="Arial"/>
          <w:b/>
          <w:bCs/>
          <w:color w:val="1C1C1C"/>
          <w:sz w:val="22"/>
          <w:szCs w:val="22"/>
        </w:rPr>
        <w:t xml:space="preserve">Use Confidential Information solely </w:t>
      </w:r>
      <w:r>
        <w:rPr>
          <w:rFonts w:ascii="Arial" w:cs="Arial" w:eastAsia="Arial" w:hAnsi="Arial"/>
          <w:color w:val="1C1C1C"/>
          <w:sz w:val="22"/>
          <w:szCs w:val="22"/>
        </w:rPr>
        <w:t xml:space="preserve">for purposes outlined in this MoU and directly related to collaboration activities.</w:t>
      </w:r>
    </w:p>
    <w:p>
      <w:pPr>
        <w:pStyle w:val="ListParagraph"/>
        <w:numPr>
          <w:ilvl w:val="0"/>
          <w:numId w:val="2"/>
        </w:numPr>
        <w:spacing w:before="60" w:after="60"/>
      </w:pPr>
      <w:r>
        <w:rPr>
          <w:rFonts w:ascii="Arial" w:cs="Arial" w:eastAsia="Arial" w:hAnsi="Arial"/>
          <w:b/>
          <w:bCs/>
          <w:color w:val="1C1C1C"/>
          <w:sz w:val="22"/>
          <w:szCs w:val="22"/>
        </w:rPr>
        <w:t xml:space="preserve">Restrict access </w:t>
      </w:r>
      <w:r>
        <w:rPr>
          <w:rFonts w:ascii="Arial" w:cs="Arial" w:eastAsia="Arial" w:hAnsi="Arial"/>
          <w:color w:val="1C1C1C"/>
          <w:sz w:val="22"/>
          <w:szCs w:val="22"/>
        </w:rPr>
        <w:t xml:space="preserve">to personnel, volunteers, and contractors with legitimate need-to-know for collaboration purposes.</w:t>
      </w:r>
    </w:p>
    <w:p>
      <w:pPr>
        <w:pStyle w:val="ListParagraph"/>
        <w:numPr>
          <w:ilvl w:val="0"/>
          <w:numId w:val="2"/>
        </w:numPr>
        <w:spacing w:before="60" w:after="60"/>
      </w:pPr>
      <w:r>
        <w:rPr>
          <w:rFonts w:ascii="Arial" w:cs="Arial" w:eastAsia="Arial" w:hAnsi="Arial"/>
          <w:b/>
          <w:bCs/>
          <w:color w:val="1C1C1C"/>
          <w:sz w:val="22"/>
          <w:szCs w:val="22"/>
        </w:rPr>
        <w:t xml:space="preserve">Implement reasonable technical and organizational security measures </w:t>
      </w:r>
      <w:r>
        <w:rPr>
          <w:rFonts w:ascii="Arial" w:cs="Arial" w:eastAsia="Arial" w:hAnsi="Arial"/>
          <w:color w:val="1C1C1C"/>
          <w:sz w:val="22"/>
          <w:szCs w:val="22"/>
        </w:rPr>
        <w:t xml:space="preserve">to protect Confidential Information from unauthorized access, disclosure, alteration, theft, or destruction.</w:t>
      </w:r>
    </w:p>
    <w:p>
      <w:pPr>
        <w:pStyle w:val="ListParagraph"/>
        <w:numPr>
          <w:ilvl w:val="0"/>
          <w:numId w:val="2"/>
        </w:numPr>
        <w:spacing w:before="60" w:after="60"/>
      </w:pPr>
      <w:r>
        <w:rPr>
          <w:rFonts w:ascii="Arial" w:cs="Arial" w:eastAsia="Arial" w:hAnsi="Arial"/>
          <w:b/>
          <w:bCs/>
          <w:color w:val="1C1C1C"/>
          <w:sz w:val="22"/>
          <w:szCs w:val="22"/>
        </w:rPr>
        <w:t xml:space="preserve">Not reverse engineer, decompile, or derive </w:t>
      </w:r>
      <w:r>
        <w:rPr>
          <w:rFonts w:ascii="Arial" w:cs="Arial" w:eastAsia="Arial" w:hAnsi="Arial"/>
          <w:color w:val="1C1C1C"/>
          <w:sz w:val="22"/>
          <w:szCs w:val="22"/>
        </w:rPr>
        <w:t xml:space="preserve">underlying methodologies, algorithms, or technical implementations from Confidential Information.</w:t>
      </w:r>
    </w:p>
    <w:p>
      <w:pPr>
        <w:pStyle w:val="Heading2"/>
        <w:pBdr>
          <w:bottom w:val="single" w:color="1A6E3C" w:sz="4"/>
        </w:pBdr>
        <w:spacing w:before="240" w:after="120"/>
      </w:pPr>
      <w:r>
        <w:rPr>
          <w:rFonts w:ascii="Arial" w:cs="Arial" w:eastAsia="Arial" w:hAnsi="Arial"/>
          <w:b/>
          <w:bCs/>
          <w:color w:val="1A6E3C"/>
          <w:sz w:val="28"/>
          <w:szCs w:val="28"/>
        </w:rPr>
        <w:t xml:space="preserve">10.2 Permitted Disclosures</w:t>
      </w:r>
    </w:p>
    <w:p>
      <w:pPr>
        <w:spacing w:before="80" w:after="80"/>
      </w:pPr>
      <w:r>
        <w:rPr>
          <w:rFonts w:ascii="Arial" w:cs="Arial" w:eastAsia="Arial" w:hAnsi="Arial"/>
          <w:color w:val="1C1C1C"/>
          <w:sz w:val="22"/>
          <w:szCs w:val="22"/>
        </w:rPr>
        <w:t xml:space="preserve">Confidentiality obligations do not prohibit disclosure to authorized personnel with legitimate need-to-know, to funders and board members for governance purposes (with confidentiality obligations), or when required by law, court order, or government regulation, provided advance written notice is given and only the minimum information legally required is disclosed.</w:t>
      </w:r>
    </w:p>
    <w:p>
      <w:pPr>
        <w:pStyle w:val="Heading2"/>
        <w:pBdr>
          <w:bottom w:val="single" w:color="1A6E3C" w:sz="4"/>
        </w:pBdr>
        <w:spacing w:before="240" w:after="120"/>
      </w:pPr>
      <w:r>
        <w:rPr>
          <w:rFonts w:ascii="Arial" w:cs="Arial" w:eastAsia="Arial" w:hAnsi="Arial"/>
          <w:b/>
          <w:bCs/>
          <w:color w:val="1A6E3C"/>
          <w:sz w:val="28"/>
          <w:szCs w:val="28"/>
        </w:rPr>
        <w:t xml:space="preserve">10.3 Exclusions</w:t>
      </w:r>
    </w:p>
    <w:p>
      <w:pPr>
        <w:spacing w:before="80" w:after="80"/>
      </w:pPr>
      <w:r>
        <w:rPr>
          <w:rFonts w:ascii="Arial" w:cs="Arial" w:eastAsia="Arial" w:hAnsi="Arial"/>
          <w:color w:val="1C1C1C"/>
          <w:sz w:val="22"/>
          <w:szCs w:val="22"/>
        </w:rPr>
        <w:t xml:space="preserve">Confidentiality obligations do not apply to information that is or becomes publicly available through no breach of this MoU; was rightfully in the receiving Party's possession prior to disclosure; is independently developed by the receiving Party without reference to Confidential Information; or is rightfully received from a third party without restriction.</w:t>
      </w:r>
    </w:p>
    <w:p>
      <w:pPr>
        <w:pStyle w:val="Heading2"/>
        <w:pBdr>
          <w:bottom w:val="single" w:color="1A6E3C" w:sz="4"/>
        </w:pBdr>
        <w:spacing w:before="240" w:after="120"/>
      </w:pPr>
      <w:r>
        <w:rPr>
          <w:rFonts w:ascii="Arial" w:cs="Arial" w:eastAsia="Arial" w:hAnsi="Arial"/>
          <w:b/>
          <w:bCs/>
          <w:color w:val="1A6E3C"/>
          <w:sz w:val="28"/>
          <w:szCs w:val="28"/>
        </w:rPr>
        <w:t xml:space="preserve">10.4 Duration</w:t>
      </w:r>
    </w:p>
    <w:p>
      <w:pPr>
        <w:spacing w:before="80" w:after="80"/>
      </w:pPr>
      <w:r>
        <w:rPr>
          <w:rFonts w:ascii="Arial" w:cs="Arial" w:eastAsia="Arial" w:hAnsi="Arial"/>
          <w:color w:val="1C1C1C"/>
          <w:sz w:val="22"/>
          <w:szCs w:val="22"/>
        </w:rPr>
        <w:t xml:space="preserve">Confidentiality obligations shall survive termination or expiration of this MoU for a period of </w:t>
      </w:r>
      <w:r>
        <w:rPr>
          <w:rFonts w:ascii="Arial" w:cs="Arial" w:eastAsia="Arial" w:hAnsi="Arial"/>
          <w:b/>
          <w:bCs/>
          <w:color w:val="1C1C1C"/>
          <w:sz w:val="22"/>
          <w:szCs w:val="22"/>
        </w:rPr>
        <w:t xml:space="preserve">two (2) years</w:t>
      </w:r>
      <w:r>
        <w:rPr>
          <w:rFonts w:ascii="Arial" w:cs="Arial" w:eastAsia="Arial" w:hAnsi="Arial"/>
          <w:color w:val="1C1C1C"/>
          <w:sz w:val="22"/>
          <w:szCs w:val="22"/>
        </w:rPr>
        <w:t xml:space="preserve"> from the date of termination or expiration, and extend beyond the survival period for information that constitutes trade secrets under applicable law.</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11. FINANCIAL ARRANGEMENTS AND RESOURCE COMMITMENTS</w:t>
      </w:r>
    </w:p>
    <w:p>
      <w:pPr>
        <w:pStyle w:val="Heading2"/>
        <w:pBdr>
          <w:bottom w:val="single" w:color="1A6E3C" w:sz="4"/>
        </w:pBdr>
        <w:spacing w:before="240" w:after="120"/>
      </w:pPr>
      <w:r>
        <w:rPr>
          <w:rFonts w:ascii="Arial" w:cs="Arial" w:eastAsia="Arial" w:hAnsi="Arial"/>
          <w:b/>
          <w:bCs/>
          <w:color w:val="1A6E3C"/>
          <w:sz w:val="28"/>
          <w:szCs w:val="28"/>
        </w:rPr>
        <w:t xml:space="preserve">11.1 No Direct Financial Obligations</w:t>
      </w:r>
    </w:p>
    <w:p>
      <w:pPr>
        <w:spacing w:before="80" w:after="80"/>
      </w:pPr>
      <w:r>
        <w:rPr>
          <w:rFonts w:ascii="Arial" w:cs="Arial" w:eastAsia="Arial" w:hAnsi="Arial"/>
          <w:color w:val="1C1C1C"/>
          <w:sz w:val="22"/>
          <w:szCs w:val="22"/>
        </w:rPr>
        <w:t xml:space="preserve">This MoU does not create direct financial payment obligations between the Parties. Each organization shall bear its own operational costs, fund its own activities related to the collaboration unless cost-sharing is explicitly agreed in writing, and manage its own resource mobilization activities.</w:t>
      </w:r>
    </w:p>
    <w:p>
      <w:pPr>
        <w:pStyle w:val="Heading2"/>
        <w:pBdr>
          <w:bottom w:val="single" w:color="1A6E3C" w:sz="4"/>
        </w:pBdr>
        <w:spacing w:before="240" w:after="120"/>
      </w:pPr>
      <w:r>
        <w:rPr>
          <w:rFonts w:ascii="Arial" w:cs="Arial" w:eastAsia="Arial" w:hAnsi="Arial"/>
          <w:b/>
          <w:bCs/>
          <w:color w:val="1A6E3C"/>
          <w:sz w:val="28"/>
          <w:szCs w:val="28"/>
        </w:rPr>
        <w:t xml:space="preserve">11.2 Cost-Sharing for Specific Joint Activities</w:t>
      </w:r>
    </w:p>
    <w:p>
      <w:pPr>
        <w:spacing w:before="80" w:after="80"/>
      </w:pPr>
      <w:r>
        <w:rPr>
          <w:rFonts w:ascii="Arial" w:cs="Arial" w:eastAsia="Arial" w:hAnsi="Arial"/>
          <w:color w:val="1C1C1C"/>
          <w:sz w:val="22"/>
          <w:szCs w:val="22"/>
        </w:rPr>
        <w:t xml:space="preserve">For discrete joint activities requiring shared costs, the Parties shall identify cost-sharing needs at least 21 days before the planned activity, negotiate cost-sharing ratios based on each Party's budgetary capacity, and obtain written approval from both focal points before incurring costs exceeding KES </w:t>
      </w:r>
      <w:r>
        <w:rPr>
          <w:rFonts w:ascii="Arial" w:cs="Arial" w:eastAsia="Arial" w:hAnsi="Arial"/>
          <w:b/>
          <w:bCs/>
          <w:color w:val="8B0000"/>
          <w:sz w:val="22"/>
          <w:szCs w:val="22"/>
          <w:highlight w:val="yellow"/>
          <w:highlightCs w:val="yellow"/>
        </w:rPr>
        <w:t xml:space="preserve">[10,000]</w:t>
      </w:r>
      <w:r>
        <w:rPr>
          <w:rFonts w:ascii="Arial" w:cs="Arial" w:eastAsia="Arial" w:hAnsi="Arial"/>
          <w:color w:val="1C1C1C"/>
          <w:sz w:val="22"/>
          <w:szCs w:val="22"/>
        </w:rPr>
        <w:t xml:space="preserve"> per activity.</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Default Cost-Sharing Formula: </w:t>
      </w:r>
      <w:r>
        <w:rPr>
          <w:rFonts w:ascii="Arial" w:cs="Arial" w:eastAsia="Arial" w:hAnsi="Arial"/>
          <w:color w:val="1C1C1C"/>
          <w:sz w:val="22"/>
          <w:szCs w:val="22"/>
        </w:rPr>
        <w:t xml:space="preserve">Unless otherwise agreed, costs shall be shared </w:t>
      </w:r>
      <w:r>
        <w:rPr>
          <w:rFonts w:ascii="Arial" w:cs="Arial" w:eastAsia="Arial" w:hAnsi="Arial"/>
          <w:b/>
          <w:bCs/>
          <w:color w:val="1C1C1C"/>
          <w:sz w:val="22"/>
          <w:szCs w:val="22"/>
        </w:rPr>
        <w:t xml:space="preserve">50/50</w:t>
      </w:r>
      <w:r>
        <w:rPr>
          <w:rFonts w:ascii="Arial" w:cs="Arial" w:eastAsia="Arial" w:hAnsi="Arial"/>
          <w:color w:val="1C1C1C"/>
          <w:sz w:val="22"/>
          <w:szCs w:val="22"/>
        </w:rPr>
        <w:t xml:space="preserve"> between the Parties for jointly benefiting activities.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Payment: </w:t>
      </w:r>
      <w:r>
        <w:rPr>
          <w:rFonts w:ascii="Arial" w:cs="Arial" w:eastAsia="Arial" w:hAnsi="Arial"/>
          <w:color w:val="1C1C1C"/>
          <w:sz w:val="22"/>
          <w:szCs w:val="22"/>
        </w:rPr>
        <w:t xml:space="preserve">The Party incurring costs on behalf of both organizations shall provide itemized receipts within 10 working days of expense. The other Party shall reimburse its share within 30 calendar days of receiving documentation.</w:t>
      </w:r>
    </w:p>
    <w:p>
      <w:pPr>
        <w:pStyle w:val="Heading2"/>
        <w:pBdr>
          <w:bottom w:val="single" w:color="1A6E3C" w:sz="4"/>
        </w:pBdr>
        <w:spacing w:before="240" w:after="120"/>
      </w:pPr>
      <w:r>
        <w:rPr>
          <w:rFonts w:ascii="Arial" w:cs="Arial" w:eastAsia="Arial" w:hAnsi="Arial"/>
          <w:b/>
          <w:bCs/>
          <w:color w:val="1A6E3C"/>
          <w:sz w:val="28"/>
          <w:szCs w:val="28"/>
        </w:rPr>
        <w:t xml:space="preserve">11.3 In-Kind Contributions</w:t>
      </w:r>
    </w:p>
    <w:p>
      <w:pPr>
        <w:spacing w:before="80" w:after="80"/>
      </w:pPr>
      <w:r>
        <w:rPr>
          <w:rFonts w:ascii="Arial" w:cs="Arial" w:eastAsia="Arial" w:hAnsi="Arial"/>
          <w:color w:val="1C1C1C"/>
          <w:sz w:val="22"/>
          <w:szCs w:val="22"/>
        </w:rPr>
        <w:t xml:space="preserve">Both Parties acknowledge significant in-kind contributions to the collaboration:</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CEKA In-Kind: </w:t>
      </w:r>
      <w:r>
        <w:rPr>
          <w:rFonts w:ascii="Arial" w:cs="Arial" w:eastAsia="Arial" w:hAnsi="Arial"/>
          <w:color w:val="1C1C1C"/>
          <w:sz w:val="22"/>
          <w:szCs w:val="22"/>
        </w:rPr>
        <w:t xml:space="preserve">Platform development and maintenance labor, technical support time, data verification and quality assurance work, training material development, analytics reporting, and volunteer coordination.</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Partner In-Kind: </w:t>
      </w:r>
      <w:r>
        <w:rPr>
          <w:rFonts w:ascii="Arial" w:cs="Arial" w:eastAsia="Arial" w:hAnsi="Arial"/>
          <w:b/>
          <w:bCs/>
          <w:color w:val="8B0000"/>
          <w:sz w:val="22"/>
          <w:szCs w:val="22"/>
          <w:highlight w:val="yellow"/>
          <w:highlightCs w:val="yellow"/>
        </w:rPr>
        <w:t xml:space="preserve">[List Partner's in-kind contributions — e.g. programme airtime and production resources, social media amplification and community management, field activation logistics and venue arrangements, staff time for coordination and campaign execution, community network access and relationships]</w:t>
      </w:r>
    </w:p>
    <w:p>
      <w:pPr>
        <w:pStyle w:val="Heading2"/>
        <w:pBdr>
          <w:bottom w:val="single" w:color="1A6E3C" w:sz="4"/>
        </w:pBdr>
        <w:spacing w:before="240" w:after="120"/>
      </w:pPr>
      <w:r>
        <w:rPr>
          <w:rFonts w:ascii="Arial" w:cs="Arial" w:eastAsia="Arial" w:hAnsi="Arial"/>
          <w:b/>
          <w:bCs/>
          <w:color w:val="1A6E3C"/>
          <w:sz w:val="28"/>
          <w:szCs w:val="28"/>
        </w:rPr>
        <w:t xml:space="preserve">11.4 Joint Fundraising and Grant Applications</w:t>
      </w:r>
    </w:p>
    <w:p>
      <w:pPr>
        <w:spacing w:before="80" w:after="80"/>
      </w:pPr>
      <w:r>
        <w:rPr>
          <w:rFonts w:ascii="Arial" w:cs="Arial" w:eastAsia="Arial" w:hAnsi="Arial"/>
          <w:color w:val="1C1C1C"/>
          <w:sz w:val="22"/>
          <w:szCs w:val="22"/>
        </w:rPr>
        <w:t xml:space="preserve">Should the Parties identify joint fundraising opportunities, they may jointly apply for funding with coordinated proposals, clearly defined roles and deliverables, and negotiate budget allocations reflecting each Party's scope of work. Separate agreements detailing financial management and reporting responsibilities shall be established for grant-funded work.</w:t>
      </w:r>
    </w:p>
    <w:p>
      <w:pPr>
        <w:pStyle w:val="Heading2"/>
        <w:pBdr>
          <w:bottom w:val="single" w:color="1A6E3C" w:sz="4"/>
        </w:pBdr>
        <w:spacing w:before="240" w:after="120"/>
      </w:pPr>
      <w:r>
        <w:rPr>
          <w:rFonts w:ascii="Arial" w:cs="Arial" w:eastAsia="Arial" w:hAnsi="Arial"/>
          <w:b/>
          <w:bCs/>
          <w:color w:val="1A6E3C"/>
          <w:sz w:val="28"/>
          <w:szCs w:val="28"/>
        </w:rPr>
        <w:t xml:space="preserve">11.5 Resource Constraints Acknowledgment</w:t>
      </w:r>
    </w:p>
    <w:p>
      <w:pPr>
        <w:spacing w:before="80" w:after="80"/>
      </w:pPr>
      <w:r>
        <w:rPr>
          <w:rFonts w:ascii="Arial" w:cs="Arial" w:eastAsia="Arial" w:hAnsi="Arial"/>
          <w:color w:val="1C1C1C"/>
          <w:sz w:val="22"/>
          <w:szCs w:val="22"/>
        </w:rPr>
        <w:t xml:space="preserve">Both Parties acknowledge that civic organizations operate with perpetual resource constraints, making flexibility and mutual understanding essential. If either Party experiences resource constraints affecting deliverables, the affected Party shall promptly notify the other Party and negotiate adjusted timelines or scope in good faith. Neither Party shall be penalized for reasonable delays resulting from documented resource constraints, provided timely communication and good-faith mitigation efforts are demonstrated.</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12. MONITORING, EVALUATION, AND REPORTING</w:t>
      </w:r>
    </w:p>
    <w:p>
      <w:pPr>
        <w:pStyle w:val="Heading2"/>
        <w:pBdr>
          <w:bottom w:val="single" w:color="1A6E3C" w:sz="4"/>
        </w:pBdr>
        <w:spacing w:before="240" w:after="120"/>
      </w:pPr>
      <w:r>
        <w:rPr>
          <w:rFonts w:ascii="Arial" w:cs="Arial" w:eastAsia="Arial" w:hAnsi="Arial"/>
          <w:b/>
          <w:bCs/>
          <w:color w:val="1A6E3C"/>
          <w:sz w:val="28"/>
          <w:szCs w:val="28"/>
        </w:rPr>
        <w:t xml:space="preserve">12.1 Key Performance Indicators (KPIs)</w:t>
      </w:r>
    </w:p>
    <w:p>
      <w:pPr>
        <w:spacing w:before="80" w:after="80"/>
      </w:pPr>
      <w:r>
        <w:rPr>
          <w:rFonts w:ascii="Arial" w:cs="Arial" w:eastAsia="Arial" w:hAnsi="Arial"/>
          <w:color w:val="1C1C1C"/>
          <w:sz w:val="22"/>
          <w:szCs w:val="22"/>
        </w:rPr>
        <w:t xml:space="preserve">The Parties agree to measure collaboration impact using the Key Performance Indicators specified in Annexure E:</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1620"/>
        <w:gridCol w:w="1620"/>
      </w:tblGrid>
      <w:tr>
        <w:tc>
          <w:tcPr>
            <w:tcW w:type="dxa" w:w="288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KPI Category</w:t>
            </w:r>
          </w:p>
        </w:tc>
        <w:tc>
          <w:tcPr>
            <w:tcW w:type="dxa" w:w="324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Metric / Indicator</w:t>
            </w:r>
          </w:p>
        </w:tc>
        <w:tc>
          <w:tcPr>
            <w:tcW w:type="dxa" w:w="162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Baseline</w:t>
            </w:r>
          </w:p>
        </w:tc>
        <w:tc>
          <w:tcPr>
            <w:tcW w:type="dxa" w:w="162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Target</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Platform Reach</w:t>
            </w:r>
          </w:p>
        </w:tc>
        <w:tc>
          <w:tcPr>
            <w:tcW w:type="dxa" w:w="32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Monthly unique users – Nasaka IEBC</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[Target]</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Platform Reach</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Referral traffic from Partner channels (UTM)</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[Target]</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Platform Reach</w:t>
            </w:r>
          </w:p>
        </w:tc>
        <w:tc>
          <w:tcPr>
            <w:tcW w:type="dxa" w:w="32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Geographic distribution by county</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[Target]</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Campaign Effectiveness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Co-branded materials produced &amp; distributed</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[Target]</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Campaign Effectiveness</w:t>
            </w:r>
          </w:p>
        </w:tc>
        <w:tc>
          <w:tcPr>
            <w:tcW w:type="dxa" w:w="32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Social media reach &amp; engagement (all platforms)</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[Target]</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Campaign Effectiveness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Joint programming segments / events</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[Target]</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Community Engagement</w:t>
            </w:r>
          </w:p>
        </w:tc>
        <w:tc>
          <w:tcPr>
            <w:tcW w:type="dxa" w:w="32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Joint activations / community forums</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[Target]</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Community Engagement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Participants reached with direct platform exposure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[Target]</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Community Engagement</w:t>
            </w:r>
          </w:p>
        </w:tc>
        <w:tc>
          <w:tcPr>
            <w:tcW w:type="dxa" w:w="32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Feedback forms submitted (% of activations)</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[Target]</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Data Quality</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Location update resolution time (hours)</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[&lt; 72 hrs]</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Data Quality</w:t>
            </w:r>
          </w:p>
        </w:tc>
        <w:tc>
          <w:tcPr>
            <w:tcW w:type="dxa" w:w="32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Platform uptime % during business hours</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[&gt; 99%]</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Partnership Health</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Steering Group meetings held (%)</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[100%]</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Partnership Health</w:t>
            </w:r>
          </w:p>
        </w:tc>
        <w:tc>
          <w:tcPr>
            <w:tcW w:type="dxa" w:w="32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Deliverable completion rate (%)</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[Baseline]</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[&gt; 90%]</w:t>
            </w:r>
          </w:p>
        </w:tc>
      </w:tr>
    </w:tbl>
    <w:p>
      <w:pPr>
        <w:spacing w:before="0" w:after="120"/>
      </w:pPr>
      <w:r>
        <w:rPr>
          <w:rFonts w:ascii="Arial" w:cs="Arial" w:eastAsia="Arial" w:hAnsi="Arial"/>
          <w:sz w:val="22"/>
          <w:szCs w:val="22"/>
        </w:rPr>
        <w:t xml:space="preserve"/>
      </w:r>
    </w:p>
    <w:p>
      <w:pPr>
        <w:spacing w:before="60" w:after="60"/>
        <w:ind w:left="720"/>
      </w:pPr>
      <w:r>
        <w:rPr>
          <w:rFonts w:ascii="Arial" w:cs="Arial" w:eastAsia="Arial" w:hAnsi="Arial"/>
          <w:i/>
          <w:iCs/>
          <w:color w:val="5A5A5A"/>
          <w:sz w:val="20"/>
          <w:szCs w:val="20"/>
        </w:rPr>
        <w:t xml:space="preserve">Baseline values and targets to be established collaboratively during the first Steering Group meeting following MoU signature.</w:t>
      </w:r>
    </w:p>
    <w:p>
      <w:pPr>
        <w:pStyle w:val="Heading2"/>
        <w:pBdr>
          <w:bottom w:val="single" w:color="1A6E3C" w:sz="4"/>
        </w:pBdr>
        <w:spacing w:before="240" w:after="120"/>
      </w:pPr>
      <w:r>
        <w:rPr>
          <w:rFonts w:ascii="Arial" w:cs="Arial" w:eastAsia="Arial" w:hAnsi="Arial"/>
          <w:b/>
          <w:bCs/>
          <w:color w:val="1A6E3C"/>
          <w:sz w:val="28"/>
          <w:szCs w:val="28"/>
        </w:rPr>
        <w:t xml:space="preserve">12.2 Reporting Cadence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Monthly Reports </w:t>
      </w:r>
      <w:r>
        <w:rPr>
          <w:rFonts w:ascii="Arial" w:cs="Arial" w:eastAsia="Arial" w:hAnsi="Arial"/>
          <w:color w:val="1C1C1C"/>
          <w:sz w:val="22"/>
          <w:szCs w:val="22"/>
        </w:rPr>
        <w:t xml:space="preserve">(within 10 working days of month end):</w:t>
      </w:r>
    </w:p>
    <w:p>
      <w:pPr>
        <w:pStyle w:val="ListParagraph"/>
        <w:numPr>
          <w:ilvl w:val="0"/>
          <w:numId w:val="2"/>
        </w:numPr>
        <w:spacing w:before="60" w:after="60"/>
      </w:pPr>
      <w:r>
        <w:rPr>
          <w:rFonts w:ascii="Arial" w:cs="Arial" w:eastAsia="Arial" w:hAnsi="Arial"/>
          <w:b/>
          <w:bCs/>
          <w:color w:val="1C1C1C"/>
          <w:sz w:val="22"/>
          <w:szCs w:val="22"/>
        </w:rPr>
        <w:t xml:space="preserve">CEKA to Partner: </w:t>
      </w:r>
      <w:r>
        <w:rPr>
          <w:rFonts w:ascii="Arial" w:cs="Arial" w:eastAsia="Arial" w:hAnsi="Arial"/>
          <w:color w:val="1C1C1C"/>
          <w:sz w:val="22"/>
          <w:szCs w:val="22"/>
        </w:rPr>
        <w:t xml:space="preserve">Platform usage statistics, referral traffic analysis, top-performing counties, technical issues, upcoming platform developments.</w:t>
      </w:r>
    </w:p>
    <w:p>
      <w:pPr>
        <w:pStyle w:val="ListParagraph"/>
        <w:numPr>
          <w:ilvl w:val="0"/>
          <w:numId w:val="2"/>
        </w:numPr>
        <w:spacing w:before="60" w:after="60"/>
      </w:pPr>
      <w:r>
        <w:rPr>
          <w:rFonts w:ascii="Arial" w:cs="Arial" w:eastAsia="Arial" w:hAnsi="Arial"/>
          <w:b/>
          <w:bCs/>
          <w:color w:val="1C1C1C"/>
          <w:sz w:val="22"/>
          <w:szCs w:val="22"/>
        </w:rPr>
        <w:t xml:space="preserve">Partner to CEKA: </w:t>
      </w:r>
      <w:r>
        <w:rPr>
          <w:rFonts w:ascii="Arial" w:cs="Arial" w:eastAsia="Arial" w:hAnsi="Arial"/>
          <w:color w:val="1C1C1C"/>
          <w:sz w:val="22"/>
          <w:szCs w:val="22"/>
        </w:rPr>
        <w:t xml:space="preserve">Campaign activities summary, reach and engagement metrics, community feedback highlights, upcoming activities requiring CEKA coordination.</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Quarterly Reports </w:t>
      </w:r>
      <w:r>
        <w:rPr>
          <w:rFonts w:ascii="Arial" w:cs="Arial" w:eastAsia="Arial" w:hAnsi="Arial"/>
          <w:color w:val="1C1C1C"/>
          <w:sz w:val="22"/>
          <w:szCs w:val="22"/>
        </w:rPr>
        <w:t xml:space="preserve">(within 15 working days of quarter end):</w:t>
      </w:r>
    </w:p>
    <w:p>
      <w:pPr>
        <w:pStyle w:val="ListParagraph"/>
        <w:numPr>
          <w:ilvl w:val="0"/>
          <w:numId w:val="2"/>
        </w:numPr>
        <w:spacing w:before="60" w:after="60"/>
      </w:pPr>
      <w:r>
        <w:rPr>
          <w:rFonts w:ascii="Arial" w:cs="Arial" w:eastAsia="Arial" w:hAnsi="Arial"/>
          <w:color w:val="1C1C1C"/>
          <w:sz w:val="22"/>
          <w:szCs w:val="22"/>
        </w:rPr>
        <w:t xml:space="preserve">Comprehensive KPI dashboard with progress against targets, narrative analysis, success stories, challenges, recommendations, and budget utilization summary.</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Annual / Close-out Report </w:t>
      </w:r>
      <w:r>
        <w:rPr>
          <w:rFonts w:ascii="Arial" w:cs="Arial" w:eastAsia="Arial" w:hAnsi="Arial"/>
          <w:color w:val="1C1C1C"/>
          <w:sz w:val="22"/>
          <w:szCs w:val="22"/>
        </w:rPr>
        <w:t xml:space="preserve">(within 30 days of MoU anniversary or termination):</w:t>
      </w:r>
    </w:p>
    <w:p>
      <w:pPr>
        <w:pStyle w:val="ListParagraph"/>
        <w:numPr>
          <w:ilvl w:val="0"/>
          <w:numId w:val="2"/>
        </w:numPr>
        <w:spacing w:before="60" w:after="60"/>
      </w:pPr>
      <w:r>
        <w:rPr>
          <w:rFonts w:ascii="Arial" w:cs="Arial" w:eastAsia="Arial" w:hAnsi="Arial"/>
          <w:color w:val="1C1C1C"/>
          <w:sz w:val="22"/>
          <w:szCs w:val="22"/>
        </w:rPr>
        <w:t xml:space="preserve">Complete impact assessment, longitudinal analysis, lessons learned and best practices documentation, recommendations for continuation, and financial summary.</w:t>
      </w:r>
    </w:p>
    <w:p>
      <w:pPr>
        <w:pStyle w:val="Heading2"/>
        <w:pBdr>
          <w:bottom w:val="single" w:color="1A6E3C" w:sz="4"/>
        </w:pBdr>
        <w:spacing w:before="240" w:after="120"/>
      </w:pPr>
      <w:r>
        <w:rPr>
          <w:rFonts w:ascii="Arial" w:cs="Arial" w:eastAsia="Arial" w:hAnsi="Arial"/>
          <w:b/>
          <w:bCs/>
          <w:color w:val="1A6E3C"/>
          <w:sz w:val="28"/>
          <w:szCs w:val="28"/>
        </w:rPr>
        <w:t xml:space="preserve">12.3 Transparency and Data Sharing</w:t>
      </w:r>
    </w:p>
    <w:p>
      <w:pPr>
        <w:spacing w:before="80" w:after="80"/>
      </w:pPr>
      <w:r>
        <w:rPr>
          <w:rFonts w:ascii="Arial" w:cs="Arial" w:eastAsia="Arial" w:hAnsi="Arial"/>
          <w:color w:val="1C1C1C"/>
          <w:sz w:val="22"/>
          <w:szCs w:val="22"/>
        </w:rPr>
        <w:t xml:space="preserve">Both Parties commit to transparent sharing of monitoring data with each other, recognizing that honest assessment of both successes and challenges strengthens the partnership. Aggregated, anonymized data and impact narratives may be shared publicly or with third parties, subject to mutual approval and protection of Confidential Information.</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13. LIABILITY, INDEMNITY, AND INSURANCE</w:t>
      </w:r>
    </w:p>
    <w:p>
      <w:pPr>
        <w:pStyle w:val="Heading2"/>
        <w:pBdr>
          <w:bottom w:val="single" w:color="1A6E3C" w:sz="4"/>
        </w:pBdr>
        <w:spacing w:before="240" w:after="120"/>
      </w:pPr>
      <w:r>
        <w:rPr>
          <w:rFonts w:ascii="Arial" w:cs="Arial" w:eastAsia="Arial" w:hAnsi="Arial"/>
          <w:b/>
          <w:bCs/>
          <w:color w:val="1A6E3C"/>
          <w:sz w:val="28"/>
          <w:szCs w:val="28"/>
        </w:rPr>
        <w:t xml:space="preserve">13.1 Limitation of Liability</w:t>
      </w:r>
    </w:p>
    <w:p>
      <w:pPr>
        <w:spacing w:before="80" w:after="80"/>
      </w:pPr>
      <w:r>
        <w:rPr>
          <w:rFonts w:ascii="Arial" w:cs="Arial" w:eastAsia="Arial" w:hAnsi="Arial"/>
          <w:color w:val="1C1C1C"/>
          <w:sz w:val="22"/>
          <w:szCs w:val="22"/>
        </w:rPr>
        <w:t xml:space="preserve">To the fullest extent permitted by applicable law, neither Party shall be liable to the other for indirect, incidental, consequential, special, punitive, or exemplary damages arising from or related to this MoU. Each Party shall perform its obligations with reasonable care and skill consistent with industry standards for civic organizations operating with limited resources.</w:t>
      </w:r>
    </w:p>
    <w:p>
      <w:pPr>
        <w:pStyle w:val="Heading2"/>
        <w:pBdr>
          <w:bottom w:val="single" w:color="1A6E3C" w:sz="4"/>
        </w:pBdr>
        <w:spacing w:before="240" w:after="120"/>
      </w:pPr>
      <w:r>
        <w:rPr>
          <w:rFonts w:ascii="Arial" w:cs="Arial" w:eastAsia="Arial" w:hAnsi="Arial"/>
          <w:b/>
          <w:bCs/>
          <w:color w:val="1A6E3C"/>
          <w:sz w:val="28"/>
          <w:szCs w:val="28"/>
        </w:rPr>
        <w:t xml:space="preserve">13.2 Mutual Indemnification</w:t>
      </w:r>
    </w:p>
    <w:p>
      <w:pPr>
        <w:spacing w:before="80" w:after="80"/>
      </w:pPr>
      <w:r>
        <w:rPr>
          <w:rFonts w:ascii="Arial" w:cs="Arial" w:eastAsia="Arial" w:hAnsi="Arial"/>
          <w:color w:val="1C1C1C"/>
          <w:sz w:val="22"/>
          <w:szCs w:val="22"/>
        </w:rPr>
        <w:t xml:space="preserve">Each Party ("Indemnifying Party") agrees to indemnify, defend, and hold harmless the other Party ("Indemnified Party"), including its directors, officers, employees, volunteers, contractors, and agents, from and against any third-party claims, losses, damages, liabilities, costs, and expenses arising from:</w:t>
      </w:r>
    </w:p>
    <w:p>
      <w:pPr>
        <w:pStyle w:val="ListParagraph"/>
        <w:numPr>
          <w:ilvl w:val="0"/>
          <w:numId w:val="3"/>
        </w:numPr>
        <w:spacing w:before="60" w:after="60"/>
      </w:pPr>
      <w:r>
        <w:rPr>
          <w:rFonts w:ascii="Arial" w:cs="Arial" w:eastAsia="Arial" w:hAnsi="Arial"/>
          <w:b/>
          <w:bCs/>
          <w:color w:val="1C1C1C"/>
          <w:sz w:val="22"/>
          <w:szCs w:val="22"/>
        </w:rPr>
        <w:t xml:space="preserve">Negligence or Willful Misconduct: </w:t>
      </w:r>
      <w:r>
        <w:rPr>
          <w:rFonts w:ascii="Arial" w:cs="Arial" w:eastAsia="Arial" w:hAnsi="Arial"/>
          <w:color w:val="1C1C1C"/>
          <w:sz w:val="22"/>
          <w:szCs w:val="22"/>
        </w:rPr>
        <w:t xml:space="preserve">The Indemnifying Party's negligent acts, omissions, or willful misconduct in performing its obligations.</w:t>
      </w:r>
    </w:p>
    <w:p>
      <w:pPr>
        <w:pStyle w:val="ListParagraph"/>
        <w:numPr>
          <w:ilvl w:val="0"/>
          <w:numId w:val="3"/>
        </w:numPr>
        <w:spacing w:before="60" w:after="60"/>
      </w:pPr>
      <w:r>
        <w:rPr>
          <w:rFonts w:ascii="Arial" w:cs="Arial" w:eastAsia="Arial" w:hAnsi="Arial"/>
          <w:b/>
          <w:bCs/>
          <w:color w:val="1C1C1C"/>
          <w:sz w:val="22"/>
          <w:szCs w:val="22"/>
        </w:rPr>
        <w:t xml:space="preserve">Breach of MoU: </w:t>
      </w:r>
      <w:r>
        <w:rPr>
          <w:rFonts w:ascii="Arial" w:cs="Arial" w:eastAsia="Arial" w:hAnsi="Arial"/>
          <w:color w:val="1C1C1C"/>
          <w:sz w:val="22"/>
          <w:szCs w:val="22"/>
        </w:rPr>
        <w:t xml:space="preserve">The Indemnifying Party's material breach of any term, condition, representation, or warranty.</w:t>
      </w:r>
    </w:p>
    <w:p>
      <w:pPr>
        <w:pStyle w:val="ListParagraph"/>
        <w:numPr>
          <w:ilvl w:val="0"/>
          <w:numId w:val="3"/>
        </w:numPr>
        <w:spacing w:before="60" w:after="60"/>
      </w:pPr>
      <w:r>
        <w:rPr>
          <w:rFonts w:ascii="Arial" w:cs="Arial" w:eastAsia="Arial" w:hAnsi="Arial"/>
          <w:b/>
          <w:bCs/>
          <w:color w:val="1C1C1C"/>
          <w:sz w:val="22"/>
          <w:szCs w:val="22"/>
        </w:rPr>
        <w:t xml:space="preserve">Intellectual Property Infringement: </w:t>
      </w:r>
      <w:r>
        <w:rPr>
          <w:rFonts w:ascii="Arial" w:cs="Arial" w:eastAsia="Arial" w:hAnsi="Arial"/>
          <w:color w:val="1C1C1C"/>
          <w:sz w:val="22"/>
          <w:szCs w:val="22"/>
        </w:rPr>
        <w:t xml:space="preserve">Claims that materials, content, or technology provided by the Indemnifying Party infringe third-party intellectual property rights.</w:t>
      </w:r>
    </w:p>
    <w:p>
      <w:pPr>
        <w:pStyle w:val="ListParagraph"/>
        <w:numPr>
          <w:ilvl w:val="0"/>
          <w:numId w:val="3"/>
        </w:numPr>
        <w:spacing w:before="60" w:after="60"/>
      </w:pPr>
      <w:r>
        <w:rPr>
          <w:rFonts w:ascii="Arial" w:cs="Arial" w:eastAsia="Arial" w:hAnsi="Arial"/>
          <w:b/>
          <w:bCs/>
          <w:color w:val="1C1C1C"/>
          <w:sz w:val="22"/>
          <w:szCs w:val="22"/>
        </w:rPr>
        <w:t xml:space="preserve">Data Protection Violations: </w:t>
      </w:r>
      <w:r>
        <w:rPr>
          <w:rFonts w:ascii="Arial" w:cs="Arial" w:eastAsia="Arial" w:hAnsi="Arial"/>
          <w:color w:val="1C1C1C"/>
          <w:sz w:val="22"/>
          <w:szCs w:val="22"/>
        </w:rPr>
        <w:t xml:space="preserve">The Indemnifying Party's violation of applicable data protection laws or improper handling of Personal Data.</w:t>
      </w:r>
    </w:p>
    <w:p>
      <w:pPr>
        <w:pStyle w:val="ListParagraph"/>
        <w:numPr>
          <w:ilvl w:val="0"/>
          <w:numId w:val="3"/>
        </w:numPr>
        <w:spacing w:before="60" w:after="60"/>
      </w:pPr>
      <w:r>
        <w:rPr>
          <w:rFonts w:ascii="Arial" w:cs="Arial" w:eastAsia="Arial" w:hAnsi="Arial"/>
          <w:b/>
          <w:bCs/>
          <w:color w:val="1C1C1C"/>
          <w:sz w:val="22"/>
          <w:szCs w:val="22"/>
        </w:rPr>
        <w:t xml:space="preserve">Third-Party Contracts: </w:t>
      </w:r>
      <w:r>
        <w:rPr>
          <w:rFonts w:ascii="Arial" w:cs="Arial" w:eastAsia="Arial" w:hAnsi="Arial"/>
          <w:color w:val="1C1C1C"/>
          <w:sz w:val="22"/>
          <w:szCs w:val="22"/>
        </w:rPr>
        <w:t xml:space="preserve">The Indemnifying Party's breach of contracts or agreements with third parties that affects the Indemnified Party.</w:t>
      </w:r>
    </w:p>
    <w:p>
      <w:pPr>
        <w:pStyle w:val="Heading2"/>
        <w:pBdr>
          <w:bottom w:val="single" w:color="1A6E3C" w:sz="4"/>
        </w:pBdr>
        <w:spacing w:before="240" w:after="120"/>
      </w:pPr>
      <w:r>
        <w:rPr>
          <w:rFonts w:ascii="Arial" w:cs="Arial" w:eastAsia="Arial" w:hAnsi="Arial"/>
          <w:b/>
          <w:bCs/>
          <w:color w:val="1A6E3C"/>
          <w:sz w:val="28"/>
          <w:szCs w:val="28"/>
        </w:rPr>
        <w:t xml:space="preserve">13.3 Insurance</w:t>
      </w:r>
    </w:p>
    <w:p>
      <w:pPr>
        <w:spacing w:before="80" w:after="80"/>
      </w:pPr>
      <w:r>
        <w:rPr>
          <w:rFonts w:ascii="Arial" w:cs="Arial" w:eastAsia="Arial" w:hAnsi="Arial"/>
          <w:color w:val="1C1C1C"/>
          <w:sz w:val="22"/>
          <w:szCs w:val="22"/>
        </w:rPr>
        <w:t xml:space="preserve">Each Party shall maintain appropriate insurance coverage for its operations. Given the resource constraints of civic organizations, failure to maintain specific insurance coverage shall not constitute a breach of this MoU, provided the Party exercises reasonable care in managing risks.</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14. FORCE MAJEURE</w:t>
      </w:r>
    </w:p>
    <w:p>
      <w:pPr>
        <w:pStyle w:val="Heading2"/>
        <w:pBdr>
          <w:bottom w:val="single" w:color="1A6E3C" w:sz="4"/>
        </w:pBdr>
        <w:spacing w:before="240" w:after="120"/>
      </w:pPr>
      <w:r>
        <w:rPr>
          <w:rFonts w:ascii="Arial" w:cs="Arial" w:eastAsia="Arial" w:hAnsi="Arial"/>
          <w:b/>
          <w:bCs/>
          <w:color w:val="1A6E3C"/>
          <w:sz w:val="28"/>
          <w:szCs w:val="28"/>
        </w:rPr>
        <w:t xml:space="preserve">14.1 Force Majeure Events</w:t>
      </w:r>
    </w:p>
    <w:p>
      <w:pPr>
        <w:spacing w:before="80" w:after="80"/>
      </w:pPr>
      <w:r>
        <w:rPr>
          <w:rFonts w:ascii="Arial" w:cs="Arial" w:eastAsia="Arial" w:hAnsi="Arial"/>
          <w:color w:val="1C1C1C"/>
          <w:sz w:val="22"/>
          <w:szCs w:val="22"/>
        </w:rPr>
        <w:t xml:space="preserve">Neither Party shall be held responsible for failure or delay in performing obligations if such failure or delay is caused by circumstances beyond its reasonable control, including but not limited to: natural disasters, civil unrest, riots, war, acts of terrorism, government actions (including internet shutdowns or states of emergency), prolonged power or telecommunications outages, public health emergencies, large-scale cyber attacks, or new laws or regulations making performance impossible.</w:t>
      </w:r>
    </w:p>
    <w:p>
      <w:pPr>
        <w:pStyle w:val="Heading2"/>
        <w:pBdr>
          <w:bottom w:val="single" w:color="1A6E3C" w:sz="4"/>
        </w:pBdr>
        <w:spacing w:before="240" w:after="120"/>
      </w:pPr>
      <w:r>
        <w:rPr>
          <w:rFonts w:ascii="Arial" w:cs="Arial" w:eastAsia="Arial" w:hAnsi="Arial"/>
          <w:b/>
          <w:bCs/>
          <w:color w:val="1A6E3C"/>
          <w:sz w:val="28"/>
          <w:szCs w:val="28"/>
        </w:rPr>
        <w:t xml:space="preserve">14.2 Notification and Mitigation</w:t>
      </w:r>
    </w:p>
    <w:p>
      <w:pPr>
        <w:spacing w:before="80" w:after="80"/>
      </w:pPr>
      <w:r>
        <w:rPr>
          <w:rFonts w:ascii="Arial" w:cs="Arial" w:eastAsia="Arial" w:hAnsi="Arial"/>
          <w:color w:val="1C1C1C"/>
          <w:sz w:val="22"/>
          <w:szCs w:val="22"/>
        </w:rPr>
        <w:t xml:space="preserve">A Party affected by a force majeure event shall notify the other Party within 72 hours, describe the nature and expected duration of the event, exercise reasonable efforts to mitigate effects and resume performance, and provide regular updates (at least weekly) on status and progress.</w:t>
      </w:r>
    </w:p>
    <w:p>
      <w:pPr>
        <w:pStyle w:val="Heading2"/>
        <w:pBdr>
          <w:bottom w:val="single" w:color="1A6E3C" w:sz="4"/>
        </w:pBdr>
        <w:spacing w:before="240" w:after="120"/>
      </w:pPr>
      <w:r>
        <w:rPr>
          <w:rFonts w:ascii="Arial" w:cs="Arial" w:eastAsia="Arial" w:hAnsi="Arial"/>
          <w:b/>
          <w:bCs/>
          <w:color w:val="1A6E3C"/>
          <w:sz w:val="28"/>
          <w:szCs w:val="28"/>
        </w:rPr>
        <w:t xml:space="preserve">14.3 Termination Due to Prolonged Force Majeure</w:t>
      </w:r>
    </w:p>
    <w:p>
      <w:pPr>
        <w:spacing w:before="80" w:after="80"/>
      </w:pPr>
      <w:r>
        <w:rPr>
          <w:rFonts w:ascii="Arial" w:cs="Arial" w:eastAsia="Arial" w:hAnsi="Arial"/>
          <w:color w:val="1C1C1C"/>
          <w:sz w:val="22"/>
          <w:szCs w:val="22"/>
        </w:rPr>
        <w:t xml:space="preserve">If a force majeure event prevents performance of material obligations for more than </w:t>
      </w:r>
      <w:r>
        <w:rPr>
          <w:rFonts w:ascii="Arial" w:cs="Arial" w:eastAsia="Arial" w:hAnsi="Arial"/>
          <w:b/>
          <w:bCs/>
          <w:color w:val="1C1C1C"/>
          <w:sz w:val="22"/>
          <w:szCs w:val="22"/>
        </w:rPr>
        <w:t xml:space="preserve">90 consecutive days</w:t>
      </w:r>
      <w:r>
        <w:rPr>
          <w:rFonts w:ascii="Arial" w:cs="Arial" w:eastAsia="Arial" w:hAnsi="Arial"/>
          <w:color w:val="1C1C1C"/>
          <w:sz w:val="22"/>
          <w:szCs w:val="22"/>
        </w:rPr>
        <w:t xml:space="preserve">, either Party may terminate this MoU by providing written notice without penalty or liability, except for obligations that accrued before the force majeure event and post-termination obligations specified in Section 15.5.</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15. TERM, TERMINATION, AND EXIT PROCEDURES</w:t>
      </w:r>
    </w:p>
    <w:p>
      <w:pPr>
        <w:pStyle w:val="Heading2"/>
        <w:pBdr>
          <w:bottom w:val="single" w:color="1A6E3C" w:sz="4"/>
        </w:pBdr>
        <w:spacing w:before="240" w:after="120"/>
      </w:pPr>
      <w:r>
        <w:rPr>
          <w:rFonts w:ascii="Arial" w:cs="Arial" w:eastAsia="Arial" w:hAnsi="Arial"/>
          <w:b/>
          <w:bCs/>
          <w:color w:val="1A6E3C"/>
          <w:sz w:val="28"/>
          <w:szCs w:val="28"/>
        </w:rPr>
        <w:t xml:space="preserve">15.1 Term</w:t>
      </w:r>
    </w:p>
    <w:p>
      <w:pPr>
        <w:spacing w:before="80" w:after="80"/>
      </w:pPr>
      <w:r>
        <w:rPr>
          <w:rFonts w:ascii="Arial" w:cs="Arial" w:eastAsia="Arial" w:hAnsi="Arial"/>
          <w:color w:val="1C1C1C"/>
          <w:sz w:val="22"/>
          <w:szCs w:val="22"/>
        </w:rPr>
        <w:t xml:space="preserve">This MoU shall commence on the Effective Date and shall continue for </w:t>
      </w:r>
      <w:r>
        <w:rPr>
          <w:rFonts w:ascii="Arial" w:cs="Arial" w:eastAsia="Arial" w:hAnsi="Arial"/>
          <w:b/>
          <w:bCs/>
          <w:color w:val="1C1C1C"/>
          <w:sz w:val="22"/>
          <w:szCs w:val="22"/>
        </w:rPr>
        <w:t xml:space="default"/>
      </w:r>
      <w:r>
        <w:rPr>
          <w:rFonts w:ascii="Arial" w:cs="Arial" w:eastAsia="Arial" w:hAnsi="Arial"/>
          <w:color w:val="1C1C1C"/>
          <w:sz w:val="22"/>
          <w:szCs w:val="22"/>
        </w:rPr>
        <w:t xml:space="preserve"> unless extended or terminated earlier in accordance with this Section.</w:t>
      </w:r>
    </w:p>
    <w:p>
      <w:pPr>
        <w:pStyle w:val="Heading2"/>
        <w:pBdr>
          <w:bottom w:val="single" w:color="1A6E3C" w:sz="4"/>
        </w:pBdr>
        <w:spacing w:before="240" w:after="120"/>
      </w:pPr>
      <w:r>
        <w:rPr>
          <w:rFonts w:ascii="Arial" w:cs="Arial" w:eastAsia="Arial" w:hAnsi="Arial"/>
          <w:b/>
          <w:bCs/>
          <w:color w:val="1A6E3C"/>
          <w:sz w:val="28"/>
          <w:szCs w:val="28"/>
        </w:rPr>
        <w:t xml:space="preserve">15.2 Extension</w:t>
      </w:r>
    </w:p>
    <w:p>
      <w:pPr>
        <w:spacing w:before="80" w:after="80"/>
      </w:pPr>
      <w:r>
        <w:rPr>
          <w:rFonts w:ascii="Arial" w:cs="Arial" w:eastAsia="Arial" w:hAnsi="Arial"/>
          <w:color w:val="1C1C1C"/>
          <w:sz w:val="22"/>
          <w:szCs w:val="22"/>
        </w:rPr>
        <w:t xml:space="preserve">Either Party may propose extension by providing written notice at least </w:t>
      </w:r>
      <w:r>
        <w:rPr>
          <w:rFonts w:ascii="Arial" w:cs="Arial" w:eastAsia="Arial" w:hAnsi="Arial"/>
          <w:b/>
          <w:bCs/>
          <w:color w:val="1C1C1C"/>
          <w:sz w:val="22"/>
          <w:szCs w:val="22"/>
        </w:rPr>
        <w:t xml:space="preserve">thirty (30) days</w:t>
      </w:r>
      <w:r>
        <w:rPr>
          <w:rFonts w:ascii="Arial" w:cs="Arial" w:eastAsia="Arial" w:hAnsi="Arial"/>
          <w:color w:val="1C1C1C"/>
          <w:sz w:val="22"/>
          <w:szCs w:val="22"/>
        </w:rPr>
        <w:t xml:space="preserve"> before expiration. If both Parties are actively collaborating and neither Party provides notice of non-renewal at least 30 days before expiration, this MoU shall automatically extend on a month-to-month basis under the same terms, terminable by either Party with 30 days' written notice.</w:t>
      </w:r>
    </w:p>
    <w:p>
      <w:pPr>
        <w:pStyle w:val="Heading2"/>
        <w:pBdr>
          <w:bottom w:val="single" w:color="1A6E3C" w:sz="4"/>
        </w:pBdr>
        <w:spacing w:before="240" w:after="120"/>
      </w:pPr>
      <w:r>
        <w:rPr>
          <w:rFonts w:ascii="Arial" w:cs="Arial" w:eastAsia="Arial" w:hAnsi="Arial"/>
          <w:b/>
          <w:bCs/>
          <w:color w:val="1A6E3C"/>
          <w:sz w:val="28"/>
          <w:szCs w:val="28"/>
        </w:rPr>
        <w:t xml:space="preserve">15.3 Termination for Convenience</w:t>
      </w:r>
    </w:p>
    <w:p>
      <w:pPr>
        <w:spacing w:before="80" w:after="80"/>
      </w:pPr>
      <w:r>
        <w:rPr>
          <w:rFonts w:ascii="Arial" w:cs="Arial" w:eastAsia="Arial" w:hAnsi="Arial"/>
          <w:color w:val="1C1C1C"/>
          <w:sz w:val="22"/>
          <w:szCs w:val="22"/>
        </w:rPr>
        <w:t xml:space="preserve">Either Party may terminate this MoU without cause by providing </w:t>
      </w:r>
      <w:r>
        <w:rPr>
          <w:rFonts w:ascii="Arial" w:cs="Arial" w:eastAsia="Arial" w:hAnsi="Arial"/>
          <w:b/>
          <w:bCs/>
          <w:color w:val="1C1C1C"/>
          <w:sz w:val="22"/>
          <w:szCs w:val="22"/>
        </w:rPr>
        <w:t xml:space="preserve">thirty (30) days' written notice</w:t>
      </w:r>
      <w:r>
        <w:rPr>
          <w:rFonts w:ascii="Arial" w:cs="Arial" w:eastAsia="Arial" w:hAnsi="Arial"/>
          <w:color w:val="1C1C1C"/>
          <w:sz w:val="22"/>
          <w:szCs w:val="22"/>
        </w:rPr>
        <w:t xml:space="preserve"> to the other Party via email to the designated focal point. Parties agree to conduct termination processes in good faith, maintaining professional courtesy and avoiding public criticism or reputational harm.</w:t>
      </w:r>
    </w:p>
    <w:p>
      <w:pPr>
        <w:pStyle w:val="Heading2"/>
        <w:pBdr>
          <w:bottom w:val="single" w:color="1A6E3C" w:sz="4"/>
        </w:pBdr>
        <w:spacing w:before="240" w:after="120"/>
      </w:pPr>
      <w:r>
        <w:rPr>
          <w:rFonts w:ascii="Arial" w:cs="Arial" w:eastAsia="Arial" w:hAnsi="Arial"/>
          <w:b/>
          <w:bCs/>
          <w:color w:val="1A6E3C"/>
          <w:sz w:val="28"/>
          <w:szCs w:val="28"/>
        </w:rPr>
        <w:t xml:space="preserve">15.4 Termination for Cause</w:t>
      </w:r>
    </w:p>
    <w:p>
      <w:pPr>
        <w:spacing w:before="80" w:after="80"/>
      </w:pPr>
      <w:r>
        <w:rPr>
          <w:rFonts w:ascii="Arial" w:cs="Arial" w:eastAsia="Arial" w:hAnsi="Arial"/>
          <w:color w:val="1C1C1C"/>
          <w:sz w:val="22"/>
          <w:szCs w:val="22"/>
        </w:rPr>
        <w:t xml:space="preserve">Either Party may terminate this MoU immediately upon written notice if the other Party:</w:t>
      </w:r>
    </w:p>
    <w:p>
      <w:pPr>
        <w:pStyle w:val="ListParagraph"/>
        <w:numPr>
          <w:ilvl w:val="0"/>
          <w:numId w:val="2"/>
        </w:numPr>
        <w:spacing w:before="60" w:after="60"/>
      </w:pPr>
      <w:r>
        <w:rPr>
          <w:rFonts w:ascii="Arial" w:cs="Arial" w:eastAsia="Arial" w:hAnsi="Arial"/>
          <w:b/>
          <w:bCs/>
          <w:color w:val="1C1C1C"/>
          <w:sz w:val="22"/>
          <w:szCs w:val="22"/>
        </w:rPr>
        <w:t xml:space="preserve">Material Breach: </w:t>
      </w:r>
      <w:r>
        <w:rPr>
          <w:rFonts w:ascii="Arial" w:cs="Arial" w:eastAsia="Arial" w:hAnsi="Arial"/>
          <w:color w:val="1C1C1C"/>
          <w:sz w:val="22"/>
          <w:szCs w:val="22"/>
        </w:rPr>
        <w:t xml:space="preserve">Commits a material breach of any obligation and fails to cure such breach within </w:t>
      </w:r>
      <w:r>
        <w:rPr>
          <w:rFonts w:ascii="Arial" w:cs="Arial" w:eastAsia="Arial" w:hAnsi="Arial"/>
          <w:b/>
          <w:bCs/>
          <w:color w:val="1C1C1C"/>
          <w:sz w:val="22"/>
          <w:szCs w:val="22"/>
        </w:rPr>
        <w:t xml:space="preserve">fourteen (14) calendar days</w:t>
      </w:r>
      <w:r>
        <w:rPr>
          <w:rFonts w:ascii="Arial" w:cs="Arial" w:eastAsia="Arial" w:hAnsi="Arial"/>
          <w:color w:val="1C1C1C"/>
          <w:sz w:val="22"/>
          <w:szCs w:val="22"/>
        </w:rPr>
        <w:t xml:space="preserve"> after receiving written notice specifying the breach and required corrective action.</w:t>
      </w:r>
    </w:p>
    <w:p>
      <w:pPr>
        <w:pStyle w:val="ListParagraph"/>
        <w:numPr>
          <w:ilvl w:val="0"/>
          <w:numId w:val="2"/>
        </w:numPr>
        <w:spacing w:before="60" w:after="60"/>
      </w:pPr>
      <w:r>
        <w:rPr>
          <w:rFonts w:ascii="Arial" w:cs="Arial" w:eastAsia="Arial" w:hAnsi="Arial"/>
          <w:b/>
          <w:bCs/>
          <w:color w:val="1C1C1C"/>
          <w:sz w:val="22"/>
          <w:szCs w:val="22"/>
        </w:rPr>
        <w:t xml:space="preserve">Misconduct or Reputational Harm: </w:t>
      </w:r>
      <w:r>
        <w:rPr>
          <w:rFonts w:ascii="Arial" w:cs="Arial" w:eastAsia="Arial" w:hAnsi="Arial"/>
          <w:color w:val="1C1C1C"/>
          <w:sz w:val="22"/>
          <w:szCs w:val="22"/>
        </w:rPr>
        <w:t xml:space="preserve">Engages in conduct that significantly damages the other Party's reputation, mission, or operational capacity, including public statements materially misrepresenting the other Party, or association with activities contrary to the other Party's core values (fraud, corruption, discrimination, abuse).</w:t>
      </w:r>
    </w:p>
    <w:p>
      <w:pPr>
        <w:pStyle w:val="ListParagraph"/>
        <w:numPr>
          <w:ilvl w:val="0"/>
          <w:numId w:val="2"/>
        </w:numPr>
        <w:spacing w:before="60" w:after="60"/>
      </w:pPr>
      <w:r>
        <w:rPr>
          <w:rFonts w:ascii="Arial" w:cs="Arial" w:eastAsia="Arial" w:hAnsi="Arial"/>
          <w:b/>
          <w:bCs/>
          <w:color w:val="1C1C1C"/>
          <w:sz w:val="22"/>
          <w:szCs w:val="22"/>
        </w:rPr>
        <w:t xml:space="preserve">Legal or Operational Changes: </w:t>
      </w:r>
      <w:r>
        <w:rPr>
          <w:rFonts w:ascii="Arial" w:cs="Arial" w:eastAsia="Arial" w:hAnsi="Arial"/>
          <w:color w:val="1C1C1C"/>
          <w:sz w:val="22"/>
          <w:szCs w:val="22"/>
        </w:rPr>
        <w:t xml:space="preserve">Ceases operations, dissolves, enters bankruptcy, or becomes subject to legal prohibitions preventing performance of MoU obligations.</w:t>
      </w:r>
    </w:p>
    <w:p>
      <w:pPr>
        <w:pStyle w:val="Heading2"/>
        <w:pBdr>
          <w:bottom w:val="single" w:color="1A6E3C" w:sz="4"/>
        </w:pBdr>
        <w:spacing w:before="240" w:after="120"/>
      </w:pPr>
      <w:r>
        <w:rPr>
          <w:rFonts w:ascii="Arial" w:cs="Arial" w:eastAsia="Arial" w:hAnsi="Arial"/>
          <w:b/>
          <w:bCs/>
          <w:color w:val="1A6E3C"/>
          <w:sz w:val="28"/>
          <w:szCs w:val="28"/>
        </w:rPr>
        <w:t xml:space="preserve">15.5 Post-Termination Obligations</w:t>
      </w:r>
    </w:p>
    <w:p>
      <w:pPr>
        <w:spacing w:before="80" w:after="80"/>
      </w:pPr>
      <w:r>
        <w:rPr>
          <w:rFonts w:ascii="Arial" w:cs="Arial" w:eastAsia="Arial" w:hAnsi="Arial"/>
          <w:color w:val="1C1C1C"/>
          <w:sz w:val="22"/>
          <w:szCs w:val="22"/>
        </w:rPr>
        <w:t xml:space="preserve">Upon termination or expiration, both Parties shall:</w:t>
      </w:r>
    </w:p>
    <w:p>
      <w:pPr>
        <w:pStyle w:val="ListParagraph"/>
        <w:numPr>
          <w:ilvl w:val="0"/>
          <w:numId w:val="3"/>
        </w:numPr>
        <w:spacing w:before="60" w:after="60"/>
      </w:pPr>
      <w:r>
        <w:rPr>
          <w:rFonts w:ascii="Arial" w:cs="Arial" w:eastAsia="Arial" w:hAnsi="Arial"/>
          <w:color w:val="1C1C1C"/>
          <w:sz w:val="22"/>
          <w:szCs w:val="22"/>
        </w:rPr>
        <w:t xml:space="preserve">Cease active collaboration, completing in-progress activities only as mutually agreed (e.g. scheduled programme appearances within 14 days of termination, already-promoted digital forums).</w:t>
      </w:r>
    </w:p>
    <w:p>
      <w:pPr>
        <w:pStyle w:val="ListParagraph"/>
        <w:numPr>
          <w:ilvl w:val="0"/>
          <w:numId w:val="3"/>
        </w:numPr>
        <w:spacing w:before="60" w:after="60"/>
      </w:pPr>
      <w:r>
        <w:rPr>
          <w:rFonts w:ascii="Arial" w:cs="Arial" w:eastAsia="Arial" w:hAnsi="Arial"/>
          <w:color w:val="1C1C1C"/>
          <w:sz w:val="22"/>
          <w:szCs w:val="22"/>
        </w:rPr>
        <w:t xml:space="preserve">Cease use of the other Party's intellectual property, branding, and Confidential Information within </w:t>
      </w:r>
      <w:r>
        <w:rPr>
          <w:rFonts w:ascii="Arial" w:cs="Arial" w:eastAsia="Arial" w:hAnsi="Arial"/>
          <w:b/>
          <w:bCs/>
          <w:color w:val="1C1C1C"/>
          <w:sz w:val="22"/>
          <w:szCs w:val="22"/>
        </w:rPr>
        <w:t xml:space="preserve">sixty (60) days</w:t>
      </w:r>
      <w:r>
        <w:rPr>
          <w:rFonts w:ascii="Arial" w:cs="Arial" w:eastAsia="Arial" w:hAnsi="Arial"/>
          <w:color w:val="1C1C1C"/>
          <w:sz w:val="22"/>
          <w:szCs w:val="22"/>
        </w:rPr>
        <w:t xml:space="preserve"> of termination.</w:t>
      </w:r>
    </w:p>
    <w:p>
      <w:pPr>
        <w:pStyle w:val="ListParagraph"/>
        <w:numPr>
          <w:ilvl w:val="0"/>
          <w:numId w:val="3"/>
        </w:numPr>
        <w:spacing w:before="60" w:after="60"/>
      </w:pPr>
      <w:r>
        <w:rPr>
          <w:rFonts w:ascii="Arial" w:cs="Arial" w:eastAsia="Arial" w:hAnsi="Arial"/>
          <w:color w:val="1C1C1C"/>
          <w:sz w:val="22"/>
          <w:szCs w:val="22"/>
        </w:rPr>
        <w:t xml:space="preserve">Return or destroy Confidential Information per Section 10 within </w:t>
      </w:r>
      <w:r>
        <w:rPr>
          <w:rFonts w:ascii="Arial" w:cs="Arial" w:eastAsia="Arial" w:hAnsi="Arial"/>
          <w:b/>
          <w:bCs/>
          <w:color w:val="1C1C1C"/>
          <w:sz w:val="22"/>
          <w:szCs w:val="22"/>
        </w:rPr>
        <w:t xml:space="preserve">fourteen (14) calendar days</w:t>
      </w:r>
      <w:r>
        <w:rPr>
          <w:rFonts w:ascii="Arial" w:cs="Arial" w:eastAsia="Arial" w:hAnsi="Arial"/>
          <w:color w:val="1C1C1C"/>
          <w:sz w:val="22"/>
          <w:szCs w:val="22"/>
        </w:rPr>
        <w:t xml:space="preserve"> and provide written certification within 21 days.</w:t>
      </w:r>
    </w:p>
    <w:p>
      <w:pPr>
        <w:pStyle w:val="ListParagraph"/>
        <w:numPr>
          <w:ilvl w:val="0"/>
          <w:numId w:val="3"/>
        </w:numPr>
        <w:spacing w:before="60" w:after="60"/>
      </w:pPr>
      <w:r>
        <w:rPr>
          <w:rFonts w:ascii="Arial" w:cs="Arial" w:eastAsia="Arial" w:hAnsi="Arial"/>
          <w:color w:val="1C1C1C"/>
          <w:sz w:val="22"/>
          <w:szCs w:val="22"/>
        </w:rPr>
        <w:t xml:space="preserve">Settle any outstanding financial obligations from cost-shared activities within </w:t>
      </w:r>
      <w:r>
        <w:rPr>
          <w:rFonts w:ascii="Arial" w:cs="Arial" w:eastAsia="Arial" w:hAnsi="Arial"/>
          <w:b/>
          <w:bCs/>
          <w:color w:val="1C1C1C"/>
          <w:sz w:val="22"/>
          <w:szCs w:val="22"/>
        </w:rPr>
        <w:t xml:space="preserve">thirty (30) calendar days</w:t>
      </w:r>
      <w:r>
        <w:rPr>
          <w:rFonts w:ascii="Arial" w:cs="Arial" w:eastAsia="Arial" w:hAnsi="Arial"/>
          <w:color w:val="1C1C1C"/>
          <w:sz w:val="22"/>
          <w:szCs w:val="22"/>
        </w:rPr>
        <w:t xml:space="preserve"> of termination.</w:t>
      </w:r>
    </w:p>
    <w:p>
      <w:pPr>
        <w:pStyle w:val="ListParagraph"/>
        <w:numPr>
          <w:ilvl w:val="0"/>
          <w:numId w:val="3"/>
        </w:numPr>
        <w:spacing w:before="60" w:after="60"/>
      </w:pPr>
      <w:r>
        <w:rPr>
          <w:rFonts w:ascii="Arial" w:cs="Arial" w:eastAsia="Arial" w:hAnsi="Arial"/>
          <w:color w:val="1C1C1C"/>
          <w:sz w:val="22"/>
          <w:szCs w:val="22"/>
        </w:rPr>
        <w:t xml:space="preserve">Prepare a close-out report summarizing collaboration achievements, deliverables completed, challenges, and lessons learned within </w:t>
      </w:r>
      <w:r>
        <w:rPr>
          <w:rFonts w:ascii="Arial" w:cs="Arial" w:eastAsia="Arial" w:hAnsi="Arial"/>
          <w:b/>
          <w:bCs/>
          <w:color w:val="1C1C1C"/>
          <w:sz w:val="22"/>
          <w:szCs w:val="22"/>
        </w:rPr>
        <w:t xml:space="preserve">thirty (30) days</w:t>
      </w:r>
      <w:r>
        <w:rPr>
          <w:rFonts w:ascii="Arial" w:cs="Arial" w:eastAsia="Arial" w:hAnsi="Arial"/>
          <w:color w:val="1C1C1C"/>
          <w:sz w:val="22"/>
          <w:szCs w:val="22"/>
        </w:rPr>
        <w:t xml:space="preserve"> of termination.</w:t>
      </w:r>
    </w:p>
    <w:p>
      <w:pPr>
        <w:pStyle w:val="ListParagraph"/>
        <w:numPr>
          <w:ilvl w:val="0"/>
          <w:numId w:val="3"/>
        </w:numPr>
        <w:spacing w:before="60" w:after="60"/>
      </w:pPr>
      <w:r>
        <w:rPr>
          <w:rFonts w:ascii="Arial" w:cs="Arial" w:eastAsia="Arial" w:hAnsi="Arial"/>
          <w:color w:val="1C1C1C"/>
          <w:sz w:val="22"/>
          <w:szCs w:val="22"/>
        </w:rPr>
        <w:t xml:space="preserve">Maintain professional respect and avoid public disparagement post-termination.</w:t>
      </w:r>
    </w:p>
    <w:p>
      <w:pPr>
        <w:pStyle w:val="Heading2"/>
        <w:pBdr>
          <w:bottom w:val="single" w:color="1A6E3C" w:sz="4"/>
        </w:pBdr>
        <w:spacing w:before="240" w:after="120"/>
      </w:pPr>
      <w:r>
        <w:rPr>
          <w:rFonts w:ascii="Arial" w:cs="Arial" w:eastAsia="Arial" w:hAnsi="Arial"/>
          <w:b/>
          <w:bCs/>
          <w:color w:val="1A6E3C"/>
          <w:sz w:val="28"/>
          <w:szCs w:val="28"/>
        </w:rPr>
        <w:t xml:space="preserve">15.6 Survival of Provisions</w:t>
      </w:r>
    </w:p>
    <w:p>
      <w:pPr>
        <w:spacing w:before="80" w:after="80"/>
      </w:pPr>
      <w:r>
        <w:rPr>
          <w:rFonts w:ascii="Arial" w:cs="Arial" w:eastAsia="Arial" w:hAnsi="Arial"/>
          <w:color w:val="1C1C1C"/>
          <w:sz w:val="22"/>
          <w:szCs w:val="22"/>
        </w:rPr>
        <w:t xml:space="preserve">The following provisions shall survive termination or expiration of this MoU: Sections 2 (Definitions), 7 (Data Protection), 8 (Intellectual Property — ownership provisions), 10 (Confidentiality — for 2 years), 13 (Liability, Indemnity), 15.5 (Post-Termination Obligations), 16 (Dispute Resolution), and 17 (Governing Law).</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16. DISPUTE RESOLUTION</w:t>
      </w:r>
    </w:p>
    <w:p>
      <w:pPr>
        <w:pStyle w:val="Heading2"/>
        <w:pBdr>
          <w:bottom w:val="single" w:color="1A6E3C" w:sz="4"/>
        </w:pBdr>
        <w:spacing w:before="240" w:after="120"/>
      </w:pPr>
      <w:r>
        <w:rPr>
          <w:rFonts w:ascii="Arial" w:cs="Arial" w:eastAsia="Arial" w:hAnsi="Arial"/>
          <w:b/>
          <w:bCs/>
          <w:color w:val="1A6E3C"/>
          <w:sz w:val="28"/>
          <w:szCs w:val="28"/>
        </w:rPr>
        <w:t xml:space="preserve">16.1 Good Faith Negotiation</w:t>
      </w:r>
    </w:p>
    <w:p>
      <w:pPr>
        <w:spacing w:before="80" w:after="80"/>
      </w:pPr>
      <w:r>
        <w:rPr>
          <w:rFonts w:ascii="Arial" w:cs="Arial" w:eastAsia="Arial" w:hAnsi="Arial"/>
          <w:color w:val="1C1C1C"/>
          <w:sz w:val="22"/>
          <w:szCs w:val="22"/>
        </w:rPr>
        <w:t xml:space="preserve">In the event of any dispute, controversy, or disagreement arising from or related to this MoU, the Parties shall first attempt to resolve the matter through good faith negotiation between designated focal points. The focal points shall schedule a meeting within </w:t>
      </w:r>
      <w:r>
        <w:rPr>
          <w:rFonts w:ascii="Arial" w:cs="Arial" w:eastAsia="Arial" w:hAnsi="Arial"/>
          <w:b/>
          <w:bCs/>
          <w:color w:val="1C1C1C"/>
          <w:sz w:val="22"/>
          <w:szCs w:val="22"/>
        </w:rPr>
        <w:t xml:space="preserve">ten (10) working days</w:t>
      </w:r>
      <w:r>
        <w:rPr>
          <w:rFonts w:ascii="Arial" w:cs="Arial" w:eastAsia="Arial" w:hAnsi="Arial"/>
          <w:color w:val="1C1C1C"/>
          <w:sz w:val="22"/>
          <w:szCs w:val="22"/>
        </w:rPr>
        <w:t xml:space="preserve"> of the dispute notice. If focal points cannot reach resolution, the dispute is escalated to senior leadership within an additional ten (10) working days.</w:t>
      </w:r>
    </w:p>
    <w:p>
      <w:pPr>
        <w:pStyle w:val="Heading2"/>
        <w:pBdr>
          <w:bottom w:val="single" w:color="1A6E3C" w:sz="4"/>
        </w:pBdr>
        <w:spacing w:before="240" w:after="120"/>
      </w:pPr>
      <w:r>
        <w:rPr>
          <w:rFonts w:ascii="Arial" w:cs="Arial" w:eastAsia="Arial" w:hAnsi="Arial"/>
          <w:b/>
          <w:bCs/>
          <w:color w:val="1A6E3C"/>
          <w:sz w:val="28"/>
          <w:szCs w:val="28"/>
        </w:rPr>
        <w:t xml:space="preserve">16.2 Mediation</w:t>
      </w:r>
    </w:p>
    <w:p>
      <w:pPr>
        <w:spacing w:before="80" w:after="80"/>
      </w:pPr>
      <w:r>
        <w:rPr>
          <w:rFonts w:ascii="Arial" w:cs="Arial" w:eastAsia="Arial" w:hAnsi="Arial"/>
          <w:color w:val="1C1C1C"/>
          <w:sz w:val="22"/>
          <w:szCs w:val="22"/>
        </w:rPr>
        <w:t xml:space="preserve">If good faith negotiation fails to resolve the dispute within </w:t>
      </w:r>
      <w:r>
        <w:rPr>
          <w:rFonts w:ascii="Arial" w:cs="Arial" w:eastAsia="Arial" w:hAnsi="Arial"/>
          <w:b/>
          <w:bCs/>
          <w:color w:val="1C1C1C"/>
          <w:sz w:val="22"/>
          <w:szCs w:val="22"/>
        </w:rPr>
        <w:t xml:space="preserve">twenty (20) working days</w:t>
      </w:r>
      <w:r>
        <w:rPr>
          <w:rFonts w:ascii="Arial" w:cs="Arial" w:eastAsia="Arial" w:hAnsi="Arial"/>
          <w:color w:val="1C1C1C"/>
          <w:sz w:val="22"/>
          <w:szCs w:val="22"/>
        </w:rPr>
        <w:t xml:space="preserve"> total from initial dispute notice, either Party may invoke mediation. The Parties shall jointly select a neutral mediator with experience in civic sector partnerships. Mediation shall be conducted in Nairobi, Kenya or virtually, and shall be confidential. Costs shall be shared equally. Mediation should commence within fifteen (15) working days of mediator selection.</w:t>
      </w:r>
    </w:p>
    <w:p>
      <w:pPr>
        <w:pStyle w:val="Heading2"/>
        <w:pBdr>
          <w:bottom w:val="single" w:color="1A6E3C" w:sz="4"/>
        </w:pBdr>
        <w:spacing w:before="240" w:after="120"/>
      </w:pPr>
      <w:r>
        <w:rPr>
          <w:rFonts w:ascii="Arial" w:cs="Arial" w:eastAsia="Arial" w:hAnsi="Arial"/>
          <w:b/>
          <w:bCs/>
          <w:color w:val="1A6E3C"/>
          <w:sz w:val="28"/>
          <w:szCs w:val="28"/>
        </w:rPr>
        <w:t xml:space="preserve">16.3 Arbitration</w:t>
      </w:r>
    </w:p>
    <w:p>
      <w:pPr>
        <w:spacing w:before="80" w:after="80"/>
      </w:pPr>
      <w:r>
        <w:rPr>
          <w:rFonts w:ascii="Arial" w:cs="Arial" w:eastAsia="Arial" w:hAnsi="Arial"/>
          <w:color w:val="1C1C1C"/>
          <w:sz w:val="22"/>
          <w:szCs w:val="22"/>
        </w:rPr>
        <w:t xml:space="preserve">If mediation fails to resolve the dispute within </w:t>
      </w:r>
      <w:r>
        <w:rPr>
          <w:rFonts w:ascii="Arial" w:cs="Arial" w:eastAsia="Arial" w:hAnsi="Arial"/>
          <w:b/>
          <w:bCs/>
          <w:color w:val="1C1C1C"/>
          <w:sz w:val="22"/>
          <w:szCs w:val="22"/>
        </w:rPr>
        <w:t xml:space="preserve">forty-five (45) calendar days</w:t>
      </w:r>
      <w:r>
        <w:rPr>
          <w:rFonts w:ascii="Arial" w:cs="Arial" w:eastAsia="Arial" w:hAnsi="Arial"/>
          <w:color w:val="1C1C1C"/>
          <w:sz w:val="22"/>
          <w:szCs w:val="22"/>
        </w:rPr>
        <w:t xml:space="preserve"> of invocation, either Party may submit the dispute to binding arbitration under the Arbitration Rules of the Nairobi Centre for International Arbitration (NCIA) or the Chartered Institute of Arbitrators (Kenya Branch), as mutually agreed. The dispute shall be resolved by a single arbitrator. Seat of arbitration: Nairobi, Kenya. Language: English. The arbitrator's decision shall be </w:t>
      </w:r>
      <w:r>
        <w:rPr>
          <w:rFonts w:ascii="Arial" w:cs="Arial" w:eastAsia="Arial" w:hAnsi="Arial"/>
          <w:b/>
          <w:bCs/>
          <w:color w:val="1C1C1C"/>
          <w:sz w:val="22"/>
          <w:szCs w:val="22"/>
        </w:rPr>
        <w:t xml:space="preserve">final and binding</w:t>
      </w:r>
      <w:r>
        <w:rPr>
          <w:rFonts w:ascii="Arial" w:cs="Arial" w:eastAsia="Arial" w:hAnsi="Arial"/>
          <w:color w:val="1C1C1C"/>
          <w:sz w:val="22"/>
          <w:szCs w:val="22"/>
        </w:rPr>
        <w:t xml:space="preserve">.</w:t>
      </w:r>
    </w:p>
    <w:p>
      <w:pPr>
        <w:pStyle w:val="Heading2"/>
        <w:pBdr>
          <w:bottom w:val="single" w:color="1A6E3C" w:sz="4"/>
        </w:pBdr>
        <w:spacing w:before="240" w:after="120"/>
      </w:pPr>
      <w:r>
        <w:rPr>
          <w:rFonts w:ascii="Arial" w:cs="Arial" w:eastAsia="Arial" w:hAnsi="Arial"/>
          <w:b/>
          <w:bCs/>
          <w:color w:val="1A6E3C"/>
          <w:sz w:val="28"/>
          <w:szCs w:val="28"/>
        </w:rPr>
        <w:t xml:space="preserve">16.4 Continued Performance Pending Resolution</w:t>
      </w:r>
    </w:p>
    <w:p>
      <w:pPr>
        <w:spacing w:before="80" w:after="80"/>
      </w:pPr>
      <w:r>
        <w:rPr>
          <w:rFonts w:ascii="Arial" w:cs="Arial" w:eastAsia="Arial" w:hAnsi="Arial"/>
          <w:color w:val="1C1C1C"/>
          <w:sz w:val="22"/>
          <w:szCs w:val="22"/>
        </w:rPr>
        <w:t xml:space="preserve">Except where performance would be impossible or illegal, both Parties shall continue performing their respective obligations during dispute resolution proceedings.</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17. GENERAL PROVISIONS</w:t>
      </w:r>
    </w:p>
    <w:p>
      <w:pPr>
        <w:pStyle w:val="Heading2"/>
        <w:pBdr>
          <w:bottom w:val="single" w:color="1A6E3C" w:sz="4"/>
        </w:pBdr>
        <w:spacing w:before="240" w:after="120"/>
      </w:pPr>
      <w:r>
        <w:rPr>
          <w:rFonts w:ascii="Arial" w:cs="Arial" w:eastAsia="Arial" w:hAnsi="Arial"/>
          <w:b/>
          <w:bCs/>
          <w:color w:val="1A6E3C"/>
          <w:sz w:val="28"/>
          <w:szCs w:val="28"/>
        </w:rPr>
        <w:t xml:space="preserve">17.1 Entire Agreement</w:t>
      </w:r>
    </w:p>
    <w:p>
      <w:pPr>
        <w:spacing w:before="80" w:after="80"/>
      </w:pPr>
      <w:r>
        <w:rPr>
          <w:rFonts w:ascii="Arial" w:cs="Arial" w:eastAsia="Arial" w:hAnsi="Arial"/>
          <w:color w:val="1C1C1C"/>
          <w:sz w:val="22"/>
          <w:szCs w:val="22"/>
        </w:rPr>
        <w:t xml:space="preserve">This MoU, including all Annexures attached hereto, constitutes the entire understanding and agreement between CEKA and the Partner regarding the collaboration described herein, and supersedes all prior discussions, proposals, agreements, or understandings (whether written or oral) relating to this subject matter.</w:t>
      </w:r>
    </w:p>
    <w:p>
      <w:pPr>
        <w:pStyle w:val="Heading2"/>
        <w:pBdr>
          <w:bottom w:val="single" w:color="1A6E3C" w:sz="4"/>
        </w:pBdr>
        <w:spacing w:before="240" w:after="120"/>
      </w:pPr>
      <w:r>
        <w:rPr>
          <w:rFonts w:ascii="Arial" w:cs="Arial" w:eastAsia="Arial" w:hAnsi="Arial"/>
          <w:b/>
          <w:bCs/>
          <w:color w:val="1A6E3C"/>
          <w:sz w:val="28"/>
          <w:szCs w:val="28"/>
        </w:rPr>
        <w:t xml:space="preserve">17.2 Amendments</w:t>
      </w:r>
    </w:p>
    <w:p>
      <w:pPr>
        <w:spacing w:before="80" w:after="80"/>
      </w:pPr>
      <w:r>
        <w:rPr>
          <w:rFonts w:ascii="Arial" w:cs="Arial" w:eastAsia="Arial" w:hAnsi="Arial"/>
          <w:color w:val="1C1C1C"/>
          <w:sz w:val="22"/>
          <w:szCs w:val="22"/>
        </w:rPr>
        <w:t xml:space="preserve">This MoU may be amended or modified only by written agreement signed by authorized representatives of both Parties. Minor operational adjustments to Annexures (e.g. updating contact information, revising KPI targets) may be approved via email exchange between focal points without formal amendment signatures, provided such changes do not materially alter the Parties' obligations or rights.</w:t>
      </w:r>
    </w:p>
    <w:p>
      <w:pPr>
        <w:pStyle w:val="Heading2"/>
        <w:pBdr>
          <w:bottom w:val="single" w:color="1A6E3C" w:sz="4"/>
        </w:pBdr>
        <w:spacing w:before="240" w:after="120"/>
      </w:pPr>
      <w:r>
        <w:rPr>
          <w:rFonts w:ascii="Arial" w:cs="Arial" w:eastAsia="Arial" w:hAnsi="Arial"/>
          <w:b/>
          <w:bCs/>
          <w:color w:val="1A6E3C"/>
          <w:sz w:val="28"/>
          <w:szCs w:val="28"/>
        </w:rPr>
        <w:t xml:space="preserve">17.3 Severability</w:t>
      </w:r>
    </w:p>
    <w:p>
      <w:pPr>
        <w:spacing w:before="80" w:after="80"/>
      </w:pPr>
      <w:r>
        <w:rPr>
          <w:rFonts w:ascii="Arial" w:cs="Arial" w:eastAsia="Arial" w:hAnsi="Arial"/>
          <w:color w:val="1C1C1C"/>
          <w:sz w:val="22"/>
          <w:szCs w:val="22"/>
        </w:rPr>
        <w:t xml:space="preserve">If any provision of this MoU is held to be invalid, illegal, or unenforceable, such provision shall be deemed severed, and the remaining provisions shall continue in full force and effect. The Parties shall negotiate in good faith to replace the severed provision with a valid and enforceable provision that achieves the original intent.</w:t>
      </w:r>
    </w:p>
    <w:p>
      <w:pPr>
        <w:pStyle w:val="Heading2"/>
        <w:pBdr>
          <w:bottom w:val="single" w:color="1A6E3C" w:sz="4"/>
        </w:pBdr>
        <w:spacing w:before="240" w:after="120"/>
      </w:pPr>
      <w:r>
        <w:rPr>
          <w:rFonts w:ascii="Arial" w:cs="Arial" w:eastAsia="Arial" w:hAnsi="Arial"/>
          <w:b/>
          <w:bCs/>
          <w:color w:val="1A6E3C"/>
          <w:sz w:val="28"/>
          <w:szCs w:val="28"/>
        </w:rPr>
        <w:t xml:space="preserve">17.4 Waiver</w:t>
      </w:r>
    </w:p>
    <w:p>
      <w:pPr>
        <w:spacing w:before="80" w:after="80"/>
      </w:pPr>
      <w:r>
        <w:rPr>
          <w:rFonts w:ascii="Arial" w:cs="Arial" w:eastAsia="Arial" w:hAnsi="Arial"/>
          <w:color w:val="1C1C1C"/>
          <w:sz w:val="22"/>
          <w:szCs w:val="22"/>
        </w:rPr>
        <w:t xml:space="preserve">No waiver of any breach or default under this MoU shall be deemed a waiver of any subsequent breach or default. Any waiver must be in writing and signed by the Party granting the waiver to be effective.</w:t>
      </w:r>
    </w:p>
    <w:p>
      <w:pPr>
        <w:pStyle w:val="Heading2"/>
        <w:pBdr>
          <w:bottom w:val="single" w:color="1A6E3C" w:sz="4"/>
        </w:pBdr>
        <w:spacing w:before="240" w:after="120"/>
      </w:pPr>
      <w:r>
        <w:rPr>
          <w:rFonts w:ascii="Arial" w:cs="Arial" w:eastAsia="Arial" w:hAnsi="Arial"/>
          <w:b/>
          <w:bCs/>
          <w:color w:val="1A6E3C"/>
          <w:sz w:val="28"/>
          <w:szCs w:val="28"/>
        </w:rPr>
        <w:t xml:space="preserve">17.5 Notices</w:t>
      </w:r>
    </w:p>
    <w:p>
      <w:pPr>
        <w:spacing w:before="80" w:after="80"/>
      </w:pPr>
      <w:r>
        <w:rPr>
          <w:rFonts w:ascii="Arial" w:cs="Arial" w:eastAsia="Arial" w:hAnsi="Arial"/>
          <w:color w:val="1C1C1C"/>
          <w:sz w:val="22"/>
          <w:szCs w:val="22"/>
        </w:rPr>
        <w:t xml:space="preserve">All notices required or permitted under this MoU shall be in writing and deemed duly given when delivered personally, sent via email with confirmation of receipt, or sent via registered mail or courier with proof of delivery.</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CEKA Notices</w:t>
            </w:r>
          </w:p>
        </w:tc>
        <w:tc>
          <w:tcPr>
            <w:tcW w:type="dxa" w:w="474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Partner Notices</w:t>
            </w:r>
          </w:p>
        </w:tc>
      </w:tr>
      <w:tr>
        <w:tc>
          <w:tcPr>
            <w:tcW w:type="dxa" w:w="46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before="80" w:after="80"/>
            </w:pPr>
            <w:r>
              <w:rPr>
                <w:rFonts w:ascii="Arial" w:cs="Arial" w:eastAsia="Arial" w:hAnsi="Arial"/>
                <w:b/>
                <w:bCs/>
                <w:color w:val="1C1C1C"/>
                <w:sz w:val="22"/>
                <w:szCs w:val="22"/>
              </w:rPr>
              <w:t xml:space="preserve">Focal Point: </w:t>
            </w:r>
            <w:r>
              <w:rPr>
                <w:rFonts w:ascii="Arial" w:cs="Arial" w:eastAsia="Arial" w:hAnsi="Arial"/>
                <w:color w:val="1C1C1C"/>
                <w:sz w:val="22"/>
                <w:szCs w:val="22"/>
              </w:rPr>
              <w:t xml:space="preserve">SG — Founder</w:t>
            </w:r>
          </w:p>
          <w:p>
            <w:pPr>
              <w:spacing w:before="80" w:after="80"/>
            </w:pPr>
            <w:r>
              <w:rPr>
                <w:rFonts w:ascii="Arial" w:cs="Arial" w:eastAsia="Arial" w:hAnsi="Arial"/>
                <w:b/>
                <w:bCs/>
                <w:color w:val="1C1C1C"/>
                <w:sz w:val="22"/>
                <w:szCs w:val="22"/>
              </w:rPr>
              <w:t xml:space="preserve">Email: </w:t>
            </w:r>
            <w:r>
              <w:rPr>
                <w:rFonts w:ascii="Arial" w:cs="Arial" w:eastAsia="Arial" w:hAnsi="Arial"/>
                <w:color w:val="1C1C1C"/>
                <w:sz w:val="22"/>
                <w:szCs w:val="22"/>
              </w:rPr>
              <w:t xml:space="preserve">civiceducationkenya@gmail.com</w:t>
            </w:r>
          </w:p>
          <w:p>
            <w:pPr>
              <w:spacing w:before="80" w:after="80"/>
            </w:pPr>
            <w:r>
              <w:rPr>
                <w:rFonts w:ascii="Arial" w:cs="Arial" w:eastAsia="Arial" w:hAnsi="Arial"/>
                <w:b/>
                <w:bCs/>
                <w:color w:val="1C1C1C"/>
                <w:sz w:val="22"/>
                <w:szCs w:val="22"/>
              </w:rPr>
              <w:t xml:space="preserve">Website: </w:t>
            </w:r>
            <w:r>
              <w:rPr>
                <w:rFonts w:ascii="Arial" w:cs="Arial" w:eastAsia="Arial" w:hAnsi="Arial"/>
                <w:color w:val="1A6E3C"/>
                <w:sz w:val="22"/>
                <w:szCs w:val="22"/>
                <w:u w:val="single"/>
              </w:rPr>
              <w:t xml:space="preserve">civiceducationkenya.com</w:t>
            </w:r>
          </w:p>
          <w:p>
            <w:pPr>
              <w:spacing w:before="80" w:after="80"/>
            </w:pPr>
            <w:r>
              <w:rPr>
                <w:rFonts w:ascii="Arial" w:cs="Arial" w:eastAsia="Arial" w:hAnsi="Arial"/>
                <w:b/>
                <w:bCs/>
                <w:color w:val="1C1C1C"/>
                <w:sz w:val="22"/>
                <w:szCs w:val="22"/>
              </w:rPr>
              <w:t xml:space="preserve">Physical Address: </w:t>
            </w:r>
            <w:r>
              <w:rPr>
                <w:rFonts w:ascii="Arial" w:cs="Arial" w:eastAsia="Arial" w:hAnsi="Arial"/>
                <w:color w:val="1C1C1C"/>
                <w:sz w:val="22"/>
                <w:szCs w:val="22"/>
              </w:rPr>
              <w:t xml:space="preserve">[To be provided upon signature]</w:t>
            </w:r>
          </w:p>
        </w:tc>
        <w:tc>
          <w:tcPr>
            <w:tcW w:type="dxa" w:w="47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pPr>
              <w:spacing w:before="80" w:after="80"/>
            </w:pPr>
            <w:r>
              <w:rPr>
                <w:rFonts w:ascii="Arial" w:cs="Arial" w:eastAsia="Arial" w:hAnsi="Arial"/>
                <w:b/>
                <w:bCs/>
                <w:color w:val="1C1C1C"/>
                <w:sz w:val="22"/>
                <w:szCs w:val="22"/>
              </w:rPr>
              <w:t xml:space="preserve">Focal Point: </w:t>
            </w:r>
            <w:r>
              <w:rPr>
                <w:rFonts w:ascii="Arial" w:cs="Arial" w:eastAsia="Arial" w:hAnsi="Arial"/>
                <w:b/>
                <w:bCs/>
                <w:color w:val="8B0000"/>
                <w:sz w:val="22"/>
                <w:szCs w:val="22"/>
                <w:highlight w:val="yellow"/>
                <w:highlightCs w:val="yellow"/>
              </w:rPr>
              <w:t xml:space="preserve">[Name — Title]</w:t>
            </w:r>
          </w:p>
          <w:p>
            <w:pPr>
              <w:spacing w:before="80" w:after="80"/>
            </w:pPr>
            <w:r>
              <w:rPr>
                <w:rFonts w:ascii="Arial" w:cs="Arial" w:eastAsia="Arial" w:hAnsi="Arial"/>
                <w:b/>
                <w:bCs/>
                <w:color w:val="1C1C1C"/>
                <w:sz w:val="22"/>
                <w:szCs w:val="22"/>
              </w:rPr>
              <w:t xml:space="preserve">Email: </w:t>
            </w:r>
            <w:r>
              <w:rPr>
                <w:rFonts w:ascii="Arial" w:cs="Arial" w:eastAsia="Arial" w:hAnsi="Arial"/>
                <w:b/>
                <w:bCs/>
                <w:color w:val="8B0000"/>
                <w:sz w:val="22"/>
                <w:szCs w:val="22"/>
                <w:highlight w:val="yellow"/>
                <w:highlightCs w:val="yellow"/>
              </w:rPr>
              <w:t xml:space="preserve">[Partner email]</w:t>
            </w:r>
          </w:p>
          <w:p>
            <w:pPr>
              <w:spacing w:before="80" w:after="80"/>
            </w:pPr>
            <w:r>
              <w:rPr>
                <w:rFonts w:ascii="Arial" w:cs="Arial" w:eastAsia="Arial" w:hAnsi="Arial"/>
                <w:b/>
                <w:bCs/>
                <w:color w:val="1C1C1C"/>
                <w:sz w:val="22"/>
                <w:szCs w:val="22"/>
              </w:rPr>
              <w:t xml:space="preserve">Website: </w:t>
            </w:r>
            <w:r>
              <w:rPr>
                <w:rFonts w:ascii="Arial" w:cs="Arial" w:eastAsia="Arial" w:hAnsi="Arial"/>
                <w:b/>
                <w:bCs/>
                <w:color w:val="8B0000"/>
                <w:sz w:val="22"/>
                <w:szCs w:val="22"/>
                <w:highlight w:val="yellow"/>
                <w:highlightCs w:val="yellow"/>
              </w:rPr>
              <w:t xml:space="preserve">[Partner website]</w:t>
            </w:r>
          </w:p>
          <w:p>
            <w:pPr>
              <w:spacing w:before="80" w:after="80"/>
            </w:pPr>
            <w:r>
              <w:rPr>
                <w:rFonts w:ascii="Arial" w:cs="Arial" w:eastAsia="Arial" w:hAnsi="Arial"/>
                <w:b/>
                <w:bCs/>
                <w:color w:val="1C1C1C"/>
                <w:sz w:val="22"/>
                <w:szCs w:val="22"/>
              </w:rPr>
              <w:t xml:space="preserve">Physical Address: </w:t>
            </w:r>
            <w:r>
              <w:rPr>
                <w:rFonts w:ascii="Arial" w:cs="Arial" w:eastAsia="Arial" w:hAnsi="Arial"/>
                <w:b/>
                <w:bCs/>
                <w:color w:val="8B0000"/>
                <w:sz w:val="22"/>
                <w:szCs w:val="22"/>
                <w:highlight w:val="yellow"/>
                <w:highlightCs w:val="yellow"/>
              </w:rPr>
              <w:t xml:space="preserve">[Partner address]</w:t>
            </w:r>
          </w:p>
        </w:tc>
      </w:tr>
    </w:tbl>
    <w:p>
      <w:pPr>
        <w:pStyle w:val="Heading2"/>
        <w:pBdr>
          <w:bottom w:val="single" w:color="1A6E3C" w:sz="4"/>
        </w:pBdr>
        <w:spacing w:before="240" w:after="120"/>
      </w:pPr>
      <w:r>
        <w:rPr>
          <w:rFonts w:ascii="Arial" w:cs="Arial" w:eastAsia="Arial" w:hAnsi="Arial"/>
          <w:b/>
          <w:bCs/>
          <w:color w:val="1A6E3C"/>
          <w:sz w:val="28"/>
          <w:szCs w:val="28"/>
        </w:rPr>
        <w:t xml:space="preserve">17.6 Relationship of the Parties</w:t>
      </w:r>
    </w:p>
    <w:p>
      <w:pPr>
        <w:spacing w:before="80" w:after="80"/>
      </w:pPr>
      <w:r>
        <w:rPr>
          <w:rFonts w:ascii="Arial" w:cs="Arial" w:eastAsia="Arial" w:hAnsi="Arial"/>
          <w:color w:val="1C1C1C"/>
          <w:sz w:val="22"/>
          <w:szCs w:val="22"/>
        </w:rPr>
        <w:t xml:space="preserve">This MoU does not create an employment relationship, agency, partnership, joint venture, or legal entity with separate legal status. Each Party remains independently operated with separate governance, decision-making, legal liability, and strategic autonomy. Neither Party is an agent or representative of the other Party for any purpose.</w:t>
      </w:r>
    </w:p>
    <w:p>
      <w:pPr>
        <w:pStyle w:val="Heading2"/>
        <w:pBdr>
          <w:bottom w:val="single" w:color="1A6E3C" w:sz="4"/>
        </w:pBdr>
        <w:spacing w:before="240" w:after="120"/>
      </w:pPr>
      <w:r>
        <w:rPr>
          <w:rFonts w:ascii="Arial" w:cs="Arial" w:eastAsia="Arial" w:hAnsi="Arial"/>
          <w:b/>
          <w:bCs/>
          <w:color w:val="1A6E3C"/>
          <w:sz w:val="28"/>
          <w:szCs w:val="28"/>
        </w:rPr>
        <w:t xml:space="preserve">17.7 Assignment and Succession</w:t>
      </w:r>
    </w:p>
    <w:p>
      <w:pPr>
        <w:spacing w:before="80" w:after="80"/>
      </w:pPr>
      <w:r>
        <w:rPr>
          <w:rFonts w:ascii="Arial" w:cs="Arial" w:eastAsia="Arial" w:hAnsi="Arial"/>
          <w:color w:val="1C1C1C"/>
          <w:sz w:val="22"/>
          <w:szCs w:val="22"/>
        </w:rPr>
        <w:t xml:space="preserve">Neither Party may assign, transfer, or delegate its rights or obligations under this MoU to any third party without the prior written consent of the other Party, except for assignment to a successor organization resulting from merger, acquisition, or legal restructuring, provided the successor assumes all obligations and provides written notice within 30 days.</w:t>
      </w:r>
    </w:p>
    <w:p>
      <w:pPr>
        <w:pStyle w:val="Heading2"/>
        <w:pBdr>
          <w:bottom w:val="single" w:color="1A6E3C" w:sz="4"/>
        </w:pBdr>
        <w:spacing w:before="240" w:after="120"/>
      </w:pPr>
      <w:r>
        <w:rPr>
          <w:rFonts w:ascii="Arial" w:cs="Arial" w:eastAsia="Arial" w:hAnsi="Arial"/>
          <w:b/>
          <w:bCs/>
          <w:color w:val="1A6E3C"/>
          <w:sz w:val="28"/>
          <w:szCs w:val="28"/>
        </w:rPr>
        <w:t xml:space="preserve">17.8 Governing Law</w:t>
      </w:r>
    </w:p>
    <w:p>
      <w:pPr>
        <w:spacing w:before="80" w:after="80"/>
      </w:pPr>
      <w:r>
        <w:rPr>
          <w:rFonts w:ascii="Arial" w:cs="Arial" w:eastAsia="Arial" w:hAnsi="Arial"/>
          <w:color w:val="1C1C1C"/>
          <w:sz w:val="22"/>
          <w:szCs w:val="22"/>
        </w:rPr>
        <w:t xml:space="preserve">This MoU shall be governed by, construed, and enforced in accordance with the laws of the </w:t>
      </w:r>
      <w:r>
        <w:rPr>
          <w:rFonts w:ascii="Arial" w:cs="Arial" w:eastAsia="Arial" w:hAnsi="Arial"/>
          <w:b/>
          <w:bCs/>
          <w:color w:val="1C1C1C"/>
          <w:sz w:val="22"/>
          <w:szCs w:val="22"/>
        </w:rPr>
        <w:t xml:space="preserve">Republic of Kenya</w:t>
      </w:r>
      <w:r>
        <w:rPr>
          <w:rFonts w:ascii="Arial" w:cs="Arial" w:eastAsia="Arial" w:hAnsi="Arial"/>
          <w:color w:val="1C1C1C"/>
          <w:sz w:val="22"/>
          <w:szCs w:val="22"/>
        </w:rPr>
        <w:t xml:space="preserve">, without regard to its conflict of laws principles. The Parties submit to the jurisdiction of the courts of Kenya for any disputes not resolved through the dispute resolution procedures in Section 16.</w:t>
      </w:r>
    </w:p>
    <w:p>
      <w:pPr>
        <w:pStyle w:val="Heading2"/>
        <w:pBdr>
          <w:bottom w:val="single" w:color="1A6E3C" w:sz="4"/>
        </w:pBdr>
        <w:spacing w:before="240" w:after="120"/>
      </w:pPr>
      <w:r>
        <w:rPr>
          <w:rFonts w:ascii="Arial" w:cs="Arial" w:eastAsia="Arial" w:hAnsi="Arial"/>
          <w:b/>
          <w:bCs/>
          <w:color w:val="1A6E3C"/>
          <w:sz w:val="28"/>
          <w:szCs w:val="28"/>
        </w:rPr>
        <w:t xml:space="preserve">17.9 Counterparts and Electronic Signatures</w:t>
      </w:r>
    </w:p>
    <w:p>
      <w:pPr>
        <w:spacing w:before="80" w:after="80"/>
      </w:pPr>
      <w:r>
        <w:rPr>
          <w:rFonts w:ascii="Arial" w:cs="Arial" w:eastAsia="Arial" w:hAnsi="Arial"/>
          <w:color w:val="1C1C1C"/>
          <w:sz w:val="22"/>
          <w:szCs w:val="22"/>
        </w:rPr>
        <w:t xml:space="preserve">This MoU may be executed in multiple counterparts, each of which shall be deemed an original. Electronic signatures (including scanned signatures transmitted via email) shall have the same legal effect as original ink signatures, in accordance with Kenya's electronic transactions legislation.</w:t>
      </w:r>
    </w:p>
    <w:p>
      <w:pPr>
        <w:pStyle w:val="Heading2"/>
        <w:pBdr>
          <w:bottom w:val="single" w:color="1A6E3C" w:sz="4"/>
        </w:pBdr>
        <w:spacing w:before="240" w:after="120"/>
      </w:pPr>
      <w:r>
        <w:rPr>
          <w:rFonts w:ascii="Arial" w:cs="Arial" w:eastAsia="Arial" w:hAnsi="Arial"/>
          <w:b/>
          <w:bCs/>
          <w:color w:val="1A6E3C"/>
          <w:sz w:val="28"/>
          <w:szCs w:val="28"/>
        </w:rPr>
        <w:t xml:space="preserve">17.10 Public Policy and Compliance</w:t>
      </w:r>
    </w:p>
    <w:p>
      <w:pPr>
        <w:spacing w:before="80" w:after="80"/>
      </w:pPr>
      <w:r>
        <w:rPr>
          <w:rFonts w:ascii="Arial" w:cs="Arial" w:eastAsia="Arial" w:hAnsi="Arial"/>
          <w:color w:val="1C1C1C"/>
          <w:sz w:val="22"/>
          <w:szCs w:val="22"/>
        </w:rPr>
        <w:t xml:space="preserve">Both Parties commit to:</w:t>
      </w:r>
    </w:p>
    <w:p>
      <w:pPr>
        <w:pStyle w:val="ListParagraph"/>
        <w:numPr>
          <w:ilvl w:val="0"/>
          <w:numId w:val="2"/>
        </w:numPr>
        <w:spacing w:before="60" w:after="60"/>
      </w:pPr>
      <w:r>
        <w:rPr>
          <w:rFonts w:ascii="Arial" w:cs="Arial" w:eastAsia="Arial" w:hAnsi="Arial"/>
          <w:b/>
          <w:bCs/>
          <w:color w:val="1C1C1C"/>
          <w:sz w:val="22"/>
          <w:szCs w:val="22"/>
        </w:rPr>
        <w:t xml:space="preserve">Legal Compliance: </w:t>
      </w:r>
      <w:r>
        <w:rPr>
          <w:rFonts w:ascii="Arial" w:cs="Arial" w:eastAsia="Arial" w:hAnsi="Arial"/>
          <w:color w:val="1C1C1C"/>
          <w:sz w:val="22"/>
          <w:szCs w:val="22"/>
        </w:rPr>
        <w:t xml:space="preserve">Conducting all activities in full compliance with applicable Kenyan laws, regulations, and governmental directives, and maintaining good standing with regulatory authorities.</w:t>
      </w:r>
    </w:p>
    <w:p>
      <w:pPr>
        <w:pStyle w:val="ListParagraph"/>
        <w:numPr>
          <w:ilvl w:val="0"/>
          <w:numId w:val="2"/>
        </w:numPr>
        <w:spacing w:before="60" w:after="60"/>
      </w:pPr>
      <w:r>
        <w:rPr>
          <w:rFonts w:ascii="Arial" w:cs="Arial" w:eastAsia="Arial" w:hAnsi="Arial"/>
          <w:b/>
          <w:bCs/>
          <w:color w:val="1C1C1C"/>
          <w:sz w:val="22"/>
          <w:szCs w:val="22"/>
        </w:rPr>
        <w:t xml:space="preserve">Ethical Standards: </w:t>
      </w:r>
      <w:r>
        <w:rPr>
          <w:rFonts w:ascii="Arial" w:cs="Arial" w:eastAsia="Arial" w:hAnsi="Arial"/>
          <w:color w:val="1C1C1C"/>
          <w:sz w:val="22"/>
          <w:szCs w:val="22"/>
        </w:rPr>
        <w:t xml:space="preserve">Upholding highest ethical standards in civic work, including honesty, transparency, accountability, and respect for human rights. Zero tolerance for fraud, corruption, bribery, embezzlement, or misuse of resources.</w:t>
      </w:r>
    </w:p>
    <w:p>
      <w:pPr>
        <w:pStyle w:val="ListParagraph"/>
        <w:numPr>
          <w:ilvl w:val="0"/>
          <w:numId w:val="2"/>
        </w:numPr>
        <w:spacing w:before="60" w:after="60"/>
      </w:pPr>
      <w:r>
        <w:rPr>
          <w:rFonts w:ascii="Arial" w:cs="Arial" w:eastAsia="Arial" w:hAnsi="Arial"/>
          <w:b/>
          <w:bCs/>
          <w:color w:val="1C1C1C"/>
          <w:sz w:val="22"/>
          <w:szCs w:val="22"/>
        </w:rPr>
        <w:t xml:space="preserve">Non-discrimination: </w:t>
      </w:r>
      <w:r>
        <w:rPr>
          <w:rFonts w:ascii="Arial" w:cs="Arial" w:eastAsia="Arial" w:hAnsi="Arial"/>
          <w:color w:val="1C1C1C"/>
          <w:sz w:val="22"/>
          <w:szCs w:val="22"/>
        </w:rPr>
        <w:t xml:space="preserve">Ensuring equitable access and treatment regardless of ethnicity, gender, religion, political affiliation (in non-partisan context), disability, socioeconomic status, or other protected characteristics.</w:t>
      </w:r>
    </w:p>
    <w:p>
      <w:pPr>
        <w:pStyle w:val="ListParagraph"/>
        <w:numPr>
          <w:ilvl w:val="0"/>
          <w:numId w:val="2"/>
        </w:numPr>
        <w:spacing w:before="60" w:after="60"/>
      </w:pPr>
      <w:r>
        <w:rPr>
          <w:rFonts w:ascii="Arial" w:cs="Arial" w:eastAsia="Arial" w:hAnsi="Arial"/>
          <w:b/>
          <w:bCs/>
          <w:color w:val="1C1C1C"/>
          <w:sz w:val="22"/>
          <w:szCs w:val="22"/>
        </w:rPr>
        <w:t xml:space="preserve">Safeguarding: </w:t>
      </w:r>
      <w:r>
        <w:rPr>
          <w:rFonts w:ascii="Arial" w:cs="Arial" w:eastAsia="Arial" w:hAnsi="Arial"/>
          <w:color w:val="1C1C1C"/>
          <w:sz w:val="22"/>
          <w:szCs w:val="22"/>
        </w:rPr>
        <w:t xml:space="preserve">Implementing safeguarding policies protecting vulnerable populations, particularly youth and persons with disabilities, from exploitation, abuse, or harm during collaboration activities.</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18. ACKNOWLEDGMENTS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6"/>
              <w:left w:val="single" w:color="1A6E3C" w:sz="6"/>
              <w:bottom w:val="single" w:color="1A6E3C" w:sz="6"/>
              <w:right w:val="single" w:color="1A6E3C" w:sz="6"/>
            </w:tcBorders>
            <w:shd w:fill="E8F5EE" w:val="clear"/>
            <w:tcMar>
              <w:top w:type="dxa" w:w="120"/>
              <w:left w:type="dxa" w:w="180"/>
              <w:bottom w:type="dxa" w:w="120"/>
              <w:right w:type="dxa" w:w="180"/>
            </w:tcMar>
          </w:tcPr>
          <w:p>
            <w:pPr>
              <w:spacing w:before="80" w:after="80"/>
            </w:pPr>
            <w:r>
              <w:rPr>
                <w:rFonts w:ascii="Arial" w:cs="Arial" w:eastAsia="Arial" w:hAnsi="Arial"/>
                <w:b/>
                <w:bCs/>
                <w:color w:val="1C1C1C"/>
                <w:sz w:val="22"/>
                <w:szCs w:val="22"/>
              </w:rPr>
              <w:t xml:space="preserve">By entering into this MoU, both Parties acknowledge and affirm:</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Volunteer-Driven Nature: </w:t>
            </w:r>
            <w:r>
              <w:rPr>
                <w:rFonts w:ascii="Arial" w:cs="Arial" w:eastAsia="Arial" w:hAnsi="Arial"/>
                <w:color w:val="1C1C1C"/>
                <w:sz w:val="22"/>
                <w:szCs w:val="22"/>
              </w:rPr>
              <w:t xml:space="preserve">CEKA operates substantially through volunteer contributions, community efforts, and limited-resource models. The Partner's </w:t>
            </w:r>
            <w:r>
              <w:rPr>
                <w:rFonts w:ascii="Arial" w:cs="Arial" w:eastAsia="Arial" w:hAnsi="Arial"/>
                <w:b/>
                <w:bCs/>
                <w:color w:val="8B0000"/>
                <w:sz w:val="22"/>
                <w:szCs w:val="22"/>
                <w:highlight w:val="yellow"/>
                <w:highlightCs w:val="yellow"/>
              </w:rPr>
              <w:t xml:space="preserve">[characterization of Partner's operational model — e.g. civic mobilization work / community organizing / research activities]</w:t>
            </w:r>
            <w:r>
              <w:rPr>
                <w:rFonts w:ascii="Arial" w:cs="Arial" w:eastAsia="Arial" w:hAnsi="Arial"/>
                <w:color w:val="1C1C1C"/>
                <w:sz w:val="22"/>
                <w:szCs w:val="22"/>
              </w:rPr>
              <w:t xml:space="preserve"> similarly depends on dedicated individuals balancing multiple commitments. Both require flexibility and understanding in collaboration expectations.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Mission Alignment: </w:t>
            </w:r>
            <w:r>
              <w:rPr>
                <w:rFonts w:ascii="Arial" w:cs="Arial" w:eastAsia="Arial" w:hAnsi="Arial"/>
                <w:color w:val="1C1C1C"/>
                <w:sz w:val="22"/>
                <w:szCs w:val="22"/>
              </w:rPr>
              <w:t xml:space="preserve">Both organizations share commitment to non-partisan civic education serving all Kenyans regardless of political affiliation. Evidence-based advocacy, factual information dissemination, and rejection of misinformation are non-negotiable principles.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Resource Constraints Reality: </w:t>
            </w:r>
            <w:r>
              <w:rPr>
                <w:rFonts w:ascii="Arial" w:cs="Arial" w:eastAsia="Arial" w:hAnsi="Arial"/>
                <w:color w:val="1C1C1C"/>
                <w:sz w:val="22"/>
                <w:szCs w:val="22"/>
              </w:rPr>
              <w:t xml:space="preserve">Civic organizations operate with perpetual resource constraints, making perfect execution impossible but commitment to impact non-negotiable. Flexibility, creative problem-solving, and mutual support are essential.</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Platform Ownership and Responsibility: </w:t>
            </w:r>
            <w:r>
              <w:rPr>
                <w:rFonts w:ascii="Arial" w:cs="Arial" w:eastAsia="Arial" w:hAnsi="Arial"/>
                <w:color w:val="1C1C1C"/>
                <w:sz w:val="22"/>
                <w:szCs w:val="22"/>
              </w:rPr>
              <w:t xml:space="preserve">CEKA maintains full ownership and operational responsibility for Nasaka IEBC, including technical development, data governance, and strategic direction. The Partner acts as an amplification partner and field deployment facilitator, not a co-developer or co-owner of the platform.</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Community-Centered Approach: </w:t>
            </w:r>
            <w:r>
              <w:rPr>
                <w:rFonts w:ascii="Arial" w:cs="Arial" w:eastAsia="Arial" w:hAnsi="Arial"/>
                <w:color w:val="1C1C1C"/>
                <w:sz w:val="22"/>
                <w:szCs w:val="22"/>
              </w:rPr>
              <w:t xml:space="preserve">Both organizations prioritize community needs, voices, and feedback over organizational ego or credit-claiming. Collaboration success is measured by civic outcomes — citizens empowered, voters registered, information accessed — rather than organizational branding victories.</w:t>
            </w:r>
          </w:p>
        </w:tc>
      </w:tr>
    </w:tbl>
    <w:p>
      <w:pPr>
        <w:spacing w:before="0" w:after="120"/>
      </w:pPr>
      <w:r>
        <w:rPr>
          <w:rFonts w:ascii="Arial" w:cs="Arial" w:eastAsia="Arial" w:hAnsi="Arial"/>
          <w:sz w:val="22"/>
          <w:szCs w:val="22"/>
        </w:rPr>
        <w:t xml:space="preserve"/>
      </w:r>
    </w:p>
    <w:p>
      <w:pPr>
        <w:spacing w:before="80" w:after="80"/>
      </w:pPr>
      <w:r>
        <w:rPr>
          <w:rFonts w:ascii="Arial" w:cs="Arial" w:eastAsia="Arial" w:hAnsi="Arial"/>
          <w:color w:val="1C1C1C"/>
          <w:sz w:val="22"/>
          <w:szCs w:val="22"/>
        </w:rPr>
        <w:t xml:space="preserve">The Parties enter this MoU in a spirit of </w:t>
      </w:r>
      <w:r>
        <w:rPr>
          <w:rFonts w:ascii="Arial" w:cs="Arial" w:eastAsia="Arial" w:hAnsi="Arial"/>
          <w:b/>
          <w:bCs/>
          <w:color w:val="1C1C1C"/>
          <w:sz w:val="22"/>
          <w:szCs w:val="22"/>
        </w:rPr>
        <w:t xml:space="preserve">mutual respect, good faith, and genuine partnership</w:t>
      </w:r>
      <w:r>
        <w:rPr>
          <w:rFonts w:ascii="Arial" w:cs="Arial" w:eastAsia="Arial" w:hAnsi="Arial"/>
          <w:color w:val="1C1C1C"/>
          <w:sz w:val="22"/>
          <w:szCs w:val="22"/>
        </w:rPr>
        <w:t xml:space="preserve">, committed to transparent communication, constructive problem-solving, celebration of shared successes, graceful navigation of setbacks, and long-term relationship building beyond the formal MoU term.</w:t>
      </w:r>
    </w:p>
    <w:p>
      <w:pPr>
        <w:pBdr>
          <w:bottom w:val="single" w:color="D4A017" w:sz="4"/>
        </w:pBdr>
        <w:spacing w:before="120" w:after="120"/>
      </w:pPr>
      <w:r>
        <w:rPr>
          <w:rFonts w:ascii="Arial" w:cs="Arial" w:eastAsia="Arial" w:hAnsi="Arial"/>
        </w:rPr>
        <w:t xml:space="preserv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19. SIGNATURES</w:t>
      </w:r>
    </w:p>
    <w:p>
      <w:pPr>
        <w:spacing w:before="80" w:after="80"/>
      </w:pPr>
      <w:r>
        <w:rPr>
          <w:rFonts w:ascii="Arial" w:cs="Arial" w:eastAsia="Arial" w:hAnsi="Arial"/>
          <w:color w:val="1C1C1C"/>
          <w:sz w:val="22"/>
          <w:szCs w:val="22"/>
        </w:rPr>
        <w:t xml:space="preserve">By signing below, the authorized representatives of both Parties confirm their understanding of, agreement to, and commitment to fulfill the terms set forth in this Memorandum of Understanding.</w:t>
      </w:r>
    </w:p>
    <w:p>
      <w:pPr>
        <w:spacing w:before="0" w:after="2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none" w:color="FFFFFF" w:sz="0"/>
              <w:left w:val="none" w:color="FFFFFF" w:sz="0"/>
              <w:bottom w:val="none" w:color="FFFFFF" w:sz="0"/>
              <w:right w:val="none" w:color="FFFFFF" w:sz="0"/>
            </w:tcBorders>
            <w:shd w:fill="E8F5EE" w:val="clear"/>
            <w:tcMar>
              <w:top w:type="dxa" w:w="120"/>
              <w:left w:type="dxa" w:w="180"/>
              <w:bottom w:type="dxa" w:w="120"/>
              <w:right w:type="dxa" w:w="180"/>
            </w:tcMar>
          </w:tcPr>
          <w:p>
            <w:pPr>
              <w:spacing w:before="80" w:after="80"/>
            </w:pPr>
            <w:r>
              <w:rPr>
                <w:rFonts w:ascii="Arial" w:cs="Arial" w:eastAsia="Arial" w:hAnsi="Arial"/>
                <w:b/>
                <w:bCs/>
                <w:color w:val="1A6E3C"/>
                <w:sz w:val="22"/>
                <w:szCs w:val="22"/>
              </w:rPr>
              <w:t xml:space="preserve">FOR CIVIC EDUCATION KENYA (CEKA):</w:t>
            </w:r>
          </w:p>
          <w:p>
            <w:pPr>
              <w:spacing w:before="0" w:after="240"/>
            </w:pPr>
            <w:r>
              <w:rPr>
                <w:rFonts w:ascii="Arial" w:cs="Arial" w:eastAsia="Arial" w:hAnsi="Arial"/>
                <w:sz w:val="22"/>
                <w:szCs w:val="22"/>
              </w:rPr>
              <w:t xml:space="preserve"/>
            </w:r>
          </w:p>
          <w:p>
            <w:pPr>
              <w:spacing w:before="200" w:after="80"/>
            </w:pPr>
            <w:r>
              <w:rPr>
                <w:rFonts w:ascii="Arial" w:cs="Arial" w:eastAsia="Arial" w:hAnsi="Arial"/>
                <w:color w:val="1C1C1C"/>
                <w:sz w:val="22"/>
                <w:szCs w:val="22"/>
              </w:rPr>
              <w:t xml:space="preserve">Signature: </w:t>
            </w:r>
            <w:r>
              <w:rPr>
                <w:rFonts w:ascii="Arial" w:cs="Arial" w:eastAsia="Arial" w:hAnsi="Arial"/>
                <w:color w:val="5A5A5A"/>
                <w:sz w:val="22"/>
                <w:szCs w:val="22"/>
              </w:rPr>
              <w:t xml:space="preserve">__________________________________________________</w:t>
            </w:r>
          </w:p>
          <w:p>
            <w:pPr>
              <w:spacing w:before="200" w:after="80"/>
            </w:pPr>
            <w:r>
              <w:rPr>
                <w:rFonts w:ascii="Arial" w:cs="Arial" w:eastAsia="Arial" w:hAnsi="Arial"/>
                <w:color w:val="1C1C1C"/>
                <w:sz w:val="22"/>
                <w:szCs w:val="22"/>
              </w:rPr>
              <w:t xml:space="preserve">Name: </w:t>
            </w:r>
            <w:r>
              <w:rPr>
                <w:rFonts w:ascii="Arial" w:cs="Arial" w:eastAsia="Arial" w:hAnsi="Arial"/>
                <w:color w:val="5A5A5A"/>
                <w:sz w:val="22"/>
                <w:szCs w:val="22"/>
              </w:rPr>
              <w:t xml:space="preserve">__________________________________________________</w:t>
            </w:r>
          </w:p>
          <w:p>
            <w:pPr>
              <w:spacing w:before="200" w:after="80"/>
            </w:pPr>
            <w:r>
              <w:rPr>
                <w:rFonts w:ascii="Arial" w:cs="Arial" w:eastAsia="Arial" w:hAnsi="Arial"/>
                <w:color w:val="1C1C1C"/>
                <w:sz w:val="22"/>
                <w:szCs w:val="22"/>
              </w:rPr>
              <w:t xml:space="preserve">Title: </w:t>
            </w:r>
            <w:r>
              <w:rPr>
                <w:rFonts w:ascii="Arial" w:cs="Arial" w:eastAsia="Arial" w:hAnsi="Arial"/>
                <w:color w:val="5A5A5A"/>
                <w:sz w:val="22"/>
                <w:szCs w:val="22"/>
              </w:rPr>
              <w:t xml:space="preserve">__________________________________________________</w:t>
            </w:r>
          </w:p>
          <w:p>
            <w:pPr>
              <w:spacing w:before="200" w:after="80"/>
            </w:pPr>
            <w:r>
              <w:rPr>
                <w:rFonts w:ascii="Arial" w:cs="Arial" w:eastAsia="Arial" w:hAnsi="Arial"/>
                <w:color w:val="1C1C1C"/>
                <w:sz w:val="22"/>
                <w:szCs w:val="22"/>
              </w:rPr>
              <w:t xml:space="preserve">Date: </w:t>
            </w:r>
            <w:r>
              <w:rPr>
                <w:rFonts w:ascii="Arial" w:cs="Arial" w:eastAsia="Arial" w:hAnsi="Arial"/>
                <w:color w:val="5A5A5A"/>
                <w:sz w:val="22"/>
                <w:szCs w:val="22"/>
              </w:rPr>
              <w:t xml:space="preserve">__________________________________________________</w:t>
            </w:r>
          </w:p>
          <w:p>
            <w:pPr>
              <w:spacing w:before="80" w:after="80"/>
            </w:pPr>
            <w:r>
              <w:rPr>
                <w:rFonts w:ascii="Arial" w:cs="Arial" w:eastAsia="Arial" w:hAnsi="Arial"/>
                <w:b/>
                <w:bCs/>
                <w:color w:val="1C1C1C"/>
                <w:sz w:val="22"/>
                <w:szCs w:val="22"/>
              </w:rPr>
              <w:t xml:space="preserve">Email: </w:t>
            </w:r>
            <w:r>
              <w:rPr>
                <w:rFonts w:ascii="Arial" w:cs="Arial" w:eastAsia="Arial" w:hAnsi="Arial"/>
                <w:color w:val="1C1C1C"/>
                <w:sz w:val="22"/>
                <w:szCs w:val="22"/>
              </w:rPr>
              <w:t xml:space="preserve">civiceducationkenya@gmail.com</w:t>
            </w:r>
          </w:p>
          <w:p>
            <w:pPr>
              <w:spacing w:before="0" w:after="120"/>
            </w:pPr>
            <w:r>
              <w:rPr>
                <w:rFonts w:ascii="Arial" w:cs="Arial" w:eastAsia="Arial" w:hAnsi="Arial"/>
                <w:sz w:val="22"/>
                <w:szCs w:val="22"/>
              </w:rPr>
              <w:t xml:space="preserve"/>
            </w:r>
          </w:p>
          <w:p>
            <w:pPr>
              <w:spacing w:before="200" w:after="80"/>
            </w:pPr>
            <w:r>
              <w:rPr>
                <w:rFonts w:ascii="Arial" w:cs="Arial" w:eastAsia="Arial" w:hAnsi="Arial"/>
                <w:color w:val="1C1C1C"/>
                <w:sz w:val="22"/>
                <w:szCs w:val="22"/>
              </w:rPr>
              <w:t xml:space="preserve">Official Stamp (if applicable): </w:t>
            </w:r>
            <w:r>
              <w:rPr>
                <w:rFonts w:ascii="Arial" w:cs="Arial" w:eastAsia="Arial" w:hAnsi="Arial"/>
                <w:color w:val="5A5A5A"/>
                <w:sz w:val="22"/>
                <w:szCs w:val="22"/>
              </w:rPr>
              <w:t xml:space="preserve">__________________________________________________</w:t>
            </w:r>
          </w:p>
        </w:tc>
        <w:tc>
          <w:tcPr>
            <w:tcW w:type="dxa" w:w="4740"/>
            <w:tcBorders>
              <w:top w:val="none" w:color="FFFFFF" w:sz="0"/>
              <w:left w:val="none" w:color="FFFFFF" w:sz="0"/>
              <w:bottom w:val="none" w:color="FFFFFF" w:sz="0"/>
              <w:right w:val="none" w:color="FFFFFF" w:sz="0"/>
            </w:tcBorders>
            <w:shd w:fill="F0F7F4" w:val="clear"/>
            <w:tcMar>
              <w:top w:type="dxa" w:w="120"/>
              <w:left w:type="dxa" w:w="180"/>
              <w:bottom w:type="dxa" w:w="120"/>
              <w:right w:type="dxa" w:w="180"/>
            </w:tcMar>
          </w:tcPr>
          <w:p>
            <w:pPr>
              <w:spacing w:before="80" w:after="80"/>
            </w:pPr>
            <w:r>
              <w:rPr>
                <w:rFonts w:ascii="Arial" w:cs="Arial" w:eastAsia="Arial" w:hAnsi="Arial"/>
                <w:b/>
                <w:bCs/>
                <w:color w:val="1C1C1C"/>
                <w:sz w:val="22"/>
                <w:szCs w:val="22"/>
              </w:rPr>
              <w:t xml:space="preserve">FOR </w:t>
            </w:r>
            <w:r>
              <w:rPr>
                <w:rFonts w:ascii="Arial" w:cs="Arial" w:eastAsia="Arial" w:hAnsi="Arial"/>
                <w:b/>
                <w:bCs/>
                <w:color w:val="8B0000"/>
                <w:sz w:val="22"/>
                <w:szCs w:val="22"/>
                <w:highlight w:val="yellow"/>
                <w:highlightCs w:val="yellow"/>
              </w:rPr>
              <w:t xml:space="preserve">[PARTNER ORGANIZATION FULL NAME]</w:t>
            </w:r>
            <w:r>
              <w:rPr>
                <w:rFonts w:ascii="Arial" w:cs="Arial" w:eastAsia="Arial" w:hAnsi="Arial"/>
                <w:b/>
                <w:bCs/>
                <w:color w:val="1A6E3C"/>
                <w:sz w:val="22"/>
                <w:szCs w:val="22"/>
              </w:rPr>
              <w:t xml:space="preserve">:</w:t>
            </w:r>
          </w:p>
          <w:p>
            <w:pPr>
              <w:spacing w:before="0" w:after="240"/>
            </w:pPr>
            <w:r>
              <w:rPr>
                <w:rFonts w:ascii="Arial" w:cs="Arial" w:eastAsia="Arial" w:hAnsi="Arial"/>
                <w:sz w:val="22"/>
                <w:szCs w:val="22"/>
              </w:rPr>
              <w:t xml:space="preserve"/>
            </w:r>
          </w:p>
          <w:p>
            <w:pPr>
              <w:spacing w:before="200" w:after="80"/>
            </w:pPr>
            <w:r>
              <w:rPr>
                <w:rFonts w:ascii="Arial" w:cs="Arial" w:eastAsia="Arial" w:hAnsi="Arial"/>
                <w:color w:val="1C1C1C"/>
                <w:sz w:val="22"/>
                <w:szCs w:val="22"/>
              </w:rPr>
              <w:t xml:space="preserve">Signature: </w:t>
            </w:r>
            <w:r>
              <w:rPr>
                <w:rFonts w:ascii="Arial" w:cs="Arial" w:eastAsia="Arial" w:hAnsi="Arial"/>
                <w:color w:val="5A5A5A"/>
                <w:sz w:val="22"/>
                <w:szCs w:val="22"/>
              </w:rPr>
              <w:t xml:space="preserve">__________________________________________________</w:t>
            </w:r>
          </w:p>
          <w:p>
            <w:pPr>
              <w:spacing w:before="200" w:after="80"/>
            </w:pPr>
            <w:r>
              <w:rPr>
                <w:rFonts w:ascii="Arial" w:cs="Arial" w:eastAsia="Arial" w:hAnsi="Arial"/>
                <w:color w:val="1C1C1C"/>
                <w:sz w:val="22"/>
                <w:szCs w:val="22"/>
              </w:rPr>
              <w:t xml:space="preserve">Name: </w:t>
            </w:r>
            <w:r>
              <w:rPr>
                <w:rFonts w:ascii="Arial" w:cs="Arial" w:eastAsia="Arial" w:hAnsi="Arial"/>
                <w:color w:val="5A5A5A"/>
                <w:sz w:val="22"/>
                <w:szCs w:val="22"/>
              </w:rPr>
              <w:t xml:space="preserve">__________________________________________________</w:t>
            </w:r>
          </w:p>
          <w:p>
            <w:pPr>
              <w:spacing w:before="200" w:after="80"/>
            </w:pPr>
            <w:r>
              <w:rPr>
                <w:rFonts w:ascii="Arial" w:cs="Arial" w:eastAsia="Arial" w:hAnsi="Arial"/>
                <w:color w:val="1C1C1C"/>
                <w:sz w:val="22"/>
                <w:szCs w:val="22"/>
              </w:rPr>
              <w:t xml:space="preserve">Title: </w:t>
            </w:r>
            <w:r>
              <w:rPr>
                <w:rFonts w:ascii="Arial" w:cs="Arial" w:eastAsia="Arial" w:hAnsi="Arial"/>
                <w:color w:val="5A5A5A"/>
                <w:sz w:val="22"/>
                <w:szCs w:val="22"/>
              </w:rPr>
              <w:t xml:space="preserve">__________________________________________________</w:t>
            </w:r>
          </w:p>
          <w:p>
            <w:pPr>
              <w:spacing w:before="200" w:after="80"/>
            </w:pPr>
            <w:r>
              <w:rPr>
                <w:rFonts w:ascii="Arial" w:cs="Arial" w:eastAsia="Arial" w:hAnsi="Arial"/>
                <w:color w:val="1C1C1C"/>
                <w:sz w:val="22"/>
                <w:szCs w:val="22"/>
              </w:rPr>
              <w:t xml:space="preserve">Date: </w:t>
            </w:r>
            <w:r>
              <w:rPr>
                <w:rFonts w:ascii="Arial" w:cs="Arial" w:eastAsia="Arial" w:hAnsi="Arial"/>
                <w:color w:val="5A5A5A"/>
                <w:sz w:val="22"/>
                <w:szCs w:val="22"/>
              </w:rPr>
              <w:t xml:space="preserve">__________________________________________________</w:t>
            </w:r>
          </w:p>
          <w:p>
            <w:pPr>
              <w:spacing w:before="80" w:after="80"/>
            </w:pPr>
            <w:r>
              <w:rPr>
                <w:rFonts w:ascii="Arial" w:cs="Arial" w:eastAsia="Arial" w:hAnsi="Arial"/>
                <w:b/>
                <w:bCs/>
                <w:color w:val="1C1C1C"/>
                <w:sz w:val="22"/>
                <w:szCs w:val="22"/>
              </w:rPr>
              <w:t xml:space="preserve">Email: </w:t>
            </w:r>
            <w:r>
              <w:rPr>
                <w:rFonts w:ascii="Arial" w:cs="Arial" w:eastAsia="Arial" w:hAnsi="Arial"/>
                <w:b/>
                <w:bCs/>
                <w:color w:val="8B0000"/>
                <w:sz w:val="22"/>
                <w:szCs w:val="22"/>
                <w:highlight w:val="yellow"/>
                <w:highlightCs w:val="yellow"/>
              </w:rPr>
              <w:t xml:space="preserve">[Partner email]</w:t>
            </w:r>
          </w:p>
          <w:p>
            <w:pPr>
              <w:spacing w:before="0" w:after="120"/>
            </w:pPr>
            <w:r>
              <w:rPr>
                <w:rFonts w:ascii="Arial" w:cs="Arial" w:eastAsia="Arial" w:hAnsi="Arial"/>
                <w:sz w:val="22"/>
                <w:szCs w:val="22"/>
              </w:rPr>
              <w:t xml:space="preserve"/>
            </w:r>
          </w:p>
          <w:p>
            <w:pPr>
              <w:spacing w:before="200" w:after="80"/>
            </w:pPr>
            <w:r>
              <w:rPr>
                <w:rFonts w:ascii="Arial" w:cs="Arial" w:eastAsia="Arial" w:hAnsi="Arial"/>
                <w:color w:val="1C1C1C"/>
                <w:sz w:val="22"/>
                <w:szCs w:val="22"/>
              </w:rPr>
              <w:t xml:space="preserve">Official Stamp (if applicable): </w:t>
            </w:r>
            <w:r>
              <w:rPr>
                <w:rFonts w:ascii="Arial" w:cs="Arial" w:eastAsia="Arial" w:hAnsi="Arial"/>
                <w:color w:val="5A5A5A"/>
                <w:sz w:val="22"/>
                <w:szCs w:val="22"/>
              </w:rPr>
              <w:t xml:space="preserve">__________________________________________________</w:t>
            </w:r>
          </w:p>
        </w:tc>
      </w:tr>
    </w:tbl>
    <w:p>
      <w:pPr>
        <w:spacing w:before="0" w:after="0"/>
      </w:pPr>
      <w:r>
        <w:br w:type="page"/>
      </w:r>
    </w:p>
    <w:p>
      <w:pPr>
        <w:pStyle w:val="Heading1"/>
        <w:pBdr>
          <w:bottom w:val="single" w:color="D4A017" w:sz="6"/>
        </w:pBdr>
        <w:shd w:fill="1A6E3C" w:val="clear"/>
        <w:spacing w:before="320" w:after="160"/>
      </w:pPr>
      <w:r>
        <w:rPr>
          <w:rFonts w:ascii="Arial" w:cs="Arial" w:eastAsia="Arial" w:hAnsi="Arial"/>
          <w:b/>
          <w:bCs/>
          <w:color w:val="FFFFFF"/>
          <w:sz w:val="36"/>
          <w:szCs w:val="36"/>
        </w:rPr>
        <w:t xml:space="preserve">ANNEXURES</w:t>
      </w:r>
    </w:p>
    <w:p>
      <w:pPr>
        <w:spacing w:before="80" w:after="80"/>
      </w:pPr>
      <w:r>
        <w:rPr>
          <w:rFonts w:ascii="Arial" w:cs="Arial" w:eastAsia="Arial" w:hAnsi="Arial"/>
          <w:i/>
          <w:iCs/>
          <w:color w:val="1C1C1C"/>
          <w:sz w:val="22"/>
          <w:szCs w:val="22"/>
        </w:rPr>
        <w:t xml:space="preserve">The following Annexures are integral parts of this MoU and must be read in conjunction with the main provisions. All fields highlighted in yellow must be completed prior to execution.</w:t>
      </w:r>
    </w:p>
    <w:p>
      <w:pPr>
        <w:pBdr>
          <w:bottom w:val="single" w:color="D4A017" w:sz="4"/>
        </w:pBdr>
        <w:spacing w:before="120" w:after="120"/>
      </w:pPr>
      <w:r>
        <w:rPr>
          <w:rFonts w:ascii="Arial" w:cs="Arial" w:eastAsia="Arial" w:hAnsi="Arial"/>
        </w:rPr>
        <w:t xml:space="preserve"/>
      </w:r>
    </w:p>
    <w:p>
      <w:pPr>
        <w:pStyle w:val="Heading2"/>
        <w:pBdr>
          <w:bottom w:val="single" w:color="1A6E3C" w:sz="4"/>
        </w:pBdr>
        <w:spacing w:before="240" w:after="120"/>
      </w:pPr>
      <w:r>
        <w:rPr>
          <w:rFonts w:ascii="Arial" w:cs="Arial" w:eastAsia="Arial" w:hAnsi="Arial"/>
          <w:b/>
          <w:bCs/>
          <w:color w:val="1A6E3C"/>
          <w:sz w:val="28"/>
          <w:szCs w:val="28"/>
        </w:rPr>
        <w:t xml:space="preserve">ANNEXURE A: PLATFORM &amp; ORGANIZATIONAL OVERVIEW</w:t>
      </w:r>
    </w:p>
    <w:p>
      <w:pPr>
        <w:spacing w:before="0" w:after="12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A1. Nasaka IEBC — CEKA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Platform Name</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Platform Name]</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Purpose</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Purpose]</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Key Features</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Key Features]</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Current Capacity</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Current Capacity]</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Technology Stack (Public)</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Technology Stack (Public)]</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Privacy Architecture</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Privacy Architecture]</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Language Support</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Language Support]</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Geographic Reach</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Geographic Reach]</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Known Limitations</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Known Limitations]</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Planned Improvements</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Planned Improvements]</w:t>
            </w:r>
          </w:p>
        </w:tc>
      </w:tr>
    </w:tbl>
    <w:p>
      <w:pPr>
        <w:spacing w:before="0" w:after="24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A2. Partner Organization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Organization Name</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Organization Name]</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Full Legal Name / Registration</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Full Legal Name / Registration]</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Mission Statement</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Mission Statement]</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Core Programmes</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Core Programmes]</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Key Platforms / Channels</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Key Platforms / Channels]</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Geographic Areas of Operation</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Geographic Areas of Operation]</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Primary Beneficiaries</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Primary Beneficiaries]</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Team Size</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Team Size]</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Organizational Website</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Organizational Website]</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Social Media Handles</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Social Media Handles]</w:t>
            </w:r>
          </w:p>
        </w:tc>
      </w:tr>
    </w:tbl>
    <w:p>
      <w:pPr>
        <w:pBdr>
          <w:bottom w:val="single" w:color="D4A017" w:sz="4"/>
        </w:pBdr>
        <w:spacing w:before="120" w:after="120"/>
      </w:pPr>
      <w:r>
        <w:rPr>
          <w:rFonts w:ascii="Arial" w:cs="Arial" w:eastAsia="Arial" w:hAnsi="Arial"/>
        </w:rPr>
        <w:t xml:space="preserve"/>
      </w:r>
    </w:p>
    <w:p>
      <w:pPr>
        <w:pStyle w:val="Heading2"/>
        <w:pBdr>
          <w:bottom w:val="single" w:color="1A6E3C" w:sz="4"/>
        </w:pBdr>
        <w:spacing w:before="240" w:after="120"/>
      </w:pPr>
      <w:r>
        <w:rPr>
          <w:rFonts w:ascii="Arial" w:cs="Arial" w:eastAsia="Arial" w:hAnsi="Arial"/>
          <w:b/>
          <w:bCs/>
          <w:color w:val="1A6E3C"/>
          <w:sz w:val="28"/>
          <w:szCs w:val="28"/>
        </w:rPr>
        <w:t xml:space="preserve">ANNEXURE B: PLANNED ACTIVITIES &amp; DELIVERABLES</w:t>
      </w:r>
    </w:p>
    <w:p>
      <w:pPr>
        <w:spacing w:before="0" w:after="120"/>
      </w:pPr>
      <w:r>
        <w:rPr>
          <w:rFonts w:ascii="Arial" w:cs="Arial" w:eastAsia="Arial" w:hAnsi="Arial"/>
          <w:sz w:val="22"/>
          <w:szCs w:val="22"/>
        </w:rPr>
        <w:t xml:space="preserve"/>
      </w:r>
    </w:p>
    <w:p>
      <w:pPr>
        <w:spacing w:before="60" w:after="60"/>
        <w:ind w:left="720"/>
      </w:pPr>
      <w:r>
        <w:rPr>
          <w:rFonts w:ascii="Arial" w:cs="Arial" w:eastAsia="Arial" w:hAnsi="Arial"/>
          <w:i/>
          <w:iCs/>
          <w:color w:val="5A5A5A"/>
          <w:sz w:val="20"/>
          <w:szCs w:val="20"/>
        </w:rPr>
        <w:t xml:space="preserve">Complete this Annexure jointly during the first Steering Group meeting. Add or remove rows as needed.</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2520"/>
        <w:gridCol w:w="1440"/>
        <w:gridCol w:w="1440"/>
        <w:gridCol w:w="1260"/>
      </w:tblGrid>
      <w:tr>
        <w:tc>
          <w:tcPr>
            <w:tcW w:type="dxa" w:w="54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w:t>
            </w:r>
          </w:p>
        </w:tc>
        <w:tc>
          <w:tcPr>
            <w:tcW w:type="dxa" w:w="216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Activity / Deliverable</w:t>
            </w:r>
          </w:p>
        </w:tc>
        <w:tc>
          <w:tcPr>
            <w:tcW w:type="dxa" w:w="252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Description &amp; Success Criteria</w:t>
            </w:r>
          </w:p>
        </w:tc>
        <w:tc>
          <w:tcPr>
            <w:tcW w:type="dxa" w:w="144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Responsible Party</w:t>
            </w:r>
          </w:p>
        </w:tc>
        <w:tc>
          <w:tcPr>
            <w:tcW w:type="dxa" w:w="144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Timeline / Frequency</w:t>
            </w:r>
          </w:p>
        </w:tc>
        <w:tc>
          <w:tcPr>
            <w:tcW w:type="dxa" w:w="126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Status</w:t>
            </w:r>
          </w:p>
        </w:tc>
      </w:tr>
      <w:tr>
        <w:tc>
          <w:tcPr>
            <w:tcW w:type="dxa" w:w="5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1</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[Activity]</w:t>
            </w:r>
          </w:p>
        </w:tc>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[Description]</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 Partner / Joint]</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[Month / Ongoing]</w:t>
            </w:r>
          </w:p>
        </w:tc>
        <w:tc>
          <w:tcPr>
            <w:tcW w:type="dxa" w:w="12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[Planned]</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2</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[Activity]</w:t>
            </w:r>
          </w:p>
        </w:tc>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[Description]</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 Partner / Joint]</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[Month / Ongoing]</w:t>
            </w:r>
          </w:p>
        </w:tc>
        <w:tc>
          <w:tcPr>
            <w:tcW w:type="dxa" w:w="12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[Planned]</w:t>
            </w:r>
          </w:p>
        </w:tc>
      </w:tr>
      <w:tr>
        <w:tc>
          <w:tcPr>
            <w:tcW w:type="dxa" w:w="5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3</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[Activity]</w:t>
            </w:r>
          </w:p>
        </w:tc>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[Description]</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 Partner / Joint]</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[Month / Ongoing]</w:t>
            </w:r>
          </w:p>
        </w:tc>
        <w:tc>
          <w:tcPr>
            <w:tcW w:type="dxa" w:w="12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[Planned]</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4</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[Activity]</w:t>
            </w:r>
          </w:p>
        </w:tc>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[Description]</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 Partner / Joint]</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[Month / Ongoing]</w:t>
            </w:r>
          </w:p>
        </w:tc>
        <w:tc>
          <w:tcPr>
            <w:tcW w:type="dxa" w:w="12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[Planned]</w:t>
            </w:r>
          </w:p>
        </w:tc>
      </w:tr>
      <w:tr>
        <w:tc>
          <w:tcPr>
            <w:tcW w:type="dxa" w:w="5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5</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[Activity]</w:t>
            </w:r>
          </w:p>
        </w:tc>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[Description]</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 Partner / Joint]</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[Month / Ongoing]</w:t>
            </w:r>
          </w:p>
        </w:tc>
        <w:tc>
          <w:tcPr>
            <w:tcW w:type="dxa" w:w="12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[Planned]</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6</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[Activity]</w:t>
            </w:r>
          </w:p>
        </w:tc>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[Description]</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 Partner / Joint]</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[Month / Ongoing]</w:t>
            </w:r>
          </w:p>
        </w:tc>
        <w:tc>
          <w:tcPr>
            <w:tcW w:type="dxa" w:w="12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[Planned]</w:t>
            </w:r>
          </w:p>
        </w:tc>
      </w:tr>
      <w:tr>
        <w:tc>
          <w:tcPr>
            <w:tcW w:type="dxa" w:w="5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7</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[Activity]</w:t>
            </w:r>
          </w:p>
        </w:tc>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[Description]</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 Partner / Joint]</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[Month / Ongoing]</w:t>
            </w:r>
          </w:p>
        </w:tc>
        <w:tc>
          <w:tcPr>
            <w:tcW w:type="dxa" w:w="12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[Planned]</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8</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[Activity]</w:t>
            </w:r>
          </w:p>
        </w:tc>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[Description]</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 Partner / Joint]</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[Month / Ongoing]</w:t>
            </w:r>
          </w:p>
        </w:tc>
        <w:tc>
          <w:tcPr>
            <w:tcW w:type="dxa" w:w="12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[Planned]</w:t>
            </w:r>
          </w:p>
        </w:tc>
      </w:tr>
      <w:tr>
        <w:tc>
          <w:tcPr>
            <w:tcW w:type="dxa" w:w="54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9</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[Activity]</w:t>
            </w:r>
          </w:p>
        </w:tc>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[Description]</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 Partner / Joint]</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[Month / Ongoing]</w:t>
            </w:r>
          </w:p>
        </w:tc>
        <w:tc>
          <w:tcPr>
            <w:tcW w:type="dxa" w:w="12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[Planned]</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10</w:t>
            </w:r>
          </w:p>
        </w:tc>
        <w:tc>
          <w:tcPr>
            <w:tcW w:type="dxa" w:w="2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[Activity]</w:t>
            </w:r>
          </w:p>
        </w:tc>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[Description]</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 Partner / Joint]</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[Month / Ongoing]</w:t>
            </w:r>
          </w:p>
        </w:tc>
        <w:tc>
          <w:tcPr>
            <w:tcW w:type="dxa" w:w="12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[Planned]</w:t>
            </w:r>
          </w:p>
        </w:tc>
      </w:tr>
    </w:tbl>
    <w:p>
      <w:pPr>
        <w:pBdr>
          <w:bottom w:val="single" w:color="D4A017" w:sz="4"/>
        </w:pBdr>
        <w:spacing w:before="120" w:after="120"/>
      </w:pPr>
      <w:r>
        <w:rPr>
          <w:rFonts w:ascii="Arial" w:cs="Arial" w:eastAsia="Arial" w:hAnsi="Arial"/>
        </w:rPr>
        <w:t xml:space="preserve"/>
      </w:r>
    </w:p>
    <w:p>
      <w:pPr>
        <w:pStyle w:val="Heading2"/>
        <w:pBdr>
          <w:bottom w:val="single" w:color="1A6E3C" w:sz="4"/>
        </w:pBdr>
        <w:spacing w:before="240" w:after="120"/>
      </w:pPr>
      <w:r>
        <w:rPr>
          <w:rFonts w:ascii="Arial" w:cs="Arial" w:eastAsia="Arial" w:hAnsi="Arial"/>
          <w:b/>
          <w:bCs/>
          <w:color w:val="1A6E3C"/>
          <w:sz w:val="28"/>
          <w:szCs w:val="28"/>
        </w:rPr>
        <w:t xml:space="preserve">ANNEXURE C: ANALYTICS &amp; DATA EXCHANGE FORMAT</w:t>
      </w:r>
    </w:p>
    <w:p>
      <w:pPr>
        <w:spacing w:before="0" w:after="12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C1. UTM Parameter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Parameter</w:t>
            </w:r>
          </w:p>
        </w:tc>
        <w:tc>
          <w:tcPr>
            <w:tcW w:type="dxa" w:w="360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Convention / Format</w:t>
            </w:r>
          </w:p>
        </w:tc>
        <w:tc>
          <w:tcPr>
            <w:tcW w:type="dxa" w:w="360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Example</w:t>
            </w:r>
          </w:p>
        </w:tc>
      </w:tr>
      <w:tr>
        <w:tc>
          <w:tcPr>
            <w:tcW w:type="dxa" w:w="2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utm_source</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[Convention]</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[Example value]</w:t>
            </w:r>
          </w:p>
        </w:tc>
      </w:tr>
      <w:tr>
        <w:tc>
          <w:tcPr>
            <w:tcW w:type="dxa" w:w="216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utm_medium</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[Convention]</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[Example value]</w:t>
            </w:r>
          </w:p>
        </w:tc>
      </w:tr>
      <w:tr>
        <w:tc>
          <w:tcPr>
            <w:tcW w:type="dxa" w:w="2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utm_campaign</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[Convention]</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[Example value]</w:t>
            </w:r>
          </w:p>
        </w:tc>
      </w:tr>
      <w:tr>
        <w:tc>
          <w:tcPr>
            <w:tcW w:type="dxa" w:w="216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utm_content</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[Convention]</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[Example value]</w:t>
            </w:r>
          </w:p>
        </w:tc>
      </w:tr>
      <w:tr>
        <w:tc>
          <w:tcPr>
            <w:tcW w:type="dxa" w:w="2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utm_term</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[Convention]</w:t>
            </w:r>
          </w:p>
        </w:tc>
        <w:tc>
          <w:tcPr>
            <w:tcW w:type="dxa" w:w="36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[Example value]</w:t>
            </w:r>
          </w:p>
        </w:tc>
      </w:tr>
    </w:tbl>
    <w:p>
      <w:pPr>
        <w:spacing w:before="0" w:after="12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C2. Data File Formats and Delivery</w:t>
      </w:r>
    </w:p>
    <w:p>
      <w:pPr>
        <w:spacing w:before="80" w:after="80"/>
      </w:pPr>
      <w:r>
        <w:rPr>
          <w:rFonts w:ascii="Arial" w:cs="Arial" w:eastAsia="Arial" w:hAnsi="Arial"/>
          <w:b/>
          <w:bCs/>
          <w:color w:val="1C1C1C"/>
          <w:sz w:val="22"/>
          <w:szCs w:val="22"/>
        </w:rPr>
        <w:t xml:space="preserve">File Formats: </w:t>
      </w:r>
      <w:r>
        <w:rPr>
          <w:rFonts w:ascii="Arial" w:cs="Arial" w:eastAsia="Arial" w:hAnsi="Arial"/>
          <w:b/>
          <w:bCs/>
          <w:color w:val="8B0000"/>
          <w:sz w:val="22"/>
          <w:szCs w:val="22"/>
          <w:highlight w:val="yellow"/>
          <w:highlightCs w:val="yellow"/>
        </w:rPr>
        <w:t xml:space="preserve">[e.g. CSV with headers, JSON with agreed schema]</w:t>
      </w:r>
    </w:p>
    <w:p>
      <w:pPr>
        <w:spacing w:before="80" w:after="80"/>
      </w:pPr>
      <w:r>
        <w:rPr>
          <w:rFonts w:ascii="Arial" w:cs="Arial" w:eastAsia="Arial" w:hAnsi="Arial"/>
          <w:b/>
          <w:bCs/>
          <w:color w:val="1C1C1C"/>
          <w:sz w:val="22"/>
          <w:szCs w:val="22"/>
        </w:rPr>
        <w:t xml:space="preserve">Delivery Mechanism: </w:t>
      </w:r>
      <w:r>
        <w:rPr>
          <w:rFonts w:ascii="Arial" w:cs="Arial" w:eastAsia="Arial" w:hAnsi="Arial"/>
          <w:b/>
          <w:bCs/>
          <w:color w:val="8B0000"/>
          <w:sz w:val="22"/>
          <w:szCs w:val="22"/>
          <w:highlight w:val="yellow"/>
          <w:highlightCs w:val="yellow"/>
        </w:rPr>
        <w:t xml:space="preserve">[e.g. Shared Google Drive folder / Secure email / API endpoint]</w:t>
      </w:r>
    </w:p>
    <w:p>
      <w:pPr>
        <w:spacing w:before="80" w:after="80"/>
      </w:pPr>
      <w:r>
        <w:rPr>
          <w:rFonts w:ascii="Arial" w:cs="Arial" w:eastAsia="Arial" w:hAnsi="Arial"/>
          <w:b/>
          <w:bCs/>
          <w:color w:val="1C1C1C"/>
          <w:sz w:val="22"/>
          <w:szCs w:val="22"/>
        </w:rPr>
        <w:t xml:space="preserve">Aggregation Threshold: </w:t>
      </w:r>
      <w:r>
        <w:rPr>
          <w:rFonts w:ascii="Arial" w:cs="Arial" w:eastAsia="Arial" w:hAnsi="Arial"/>
          <w:color w:val="1C1C1C"/>
          <w:sz w:val="22"/>
          <w:szCs w:val="22"/>
        </w:rPr>
        <w:t xml:space="preserve">No cohorts smaller than 10 individuals shall be reported to prevent re-identification.</w:t>
      </w:r>
    </w:p>
    <w:p>
      <w:pPr>
        <w:spacing w:before="80" w:after="80"/>
      </w:pPr>
      <w:r>
        <w:rPr>
          <w:rFonts w:ascii="Arial" w:cs="Arial" w:eastAsia="Arial" w:hAnsi="Arial"/>
          <w:b/>
          <w:bCs/>
          <w:color w:val="1C1C1C"/>
          <w:sz w:val="22"/>
          <w:szCs w:val="22"/>
        </w:rPr>
        <w:t xml:space="preserve">Update Frequency: </w:t>
      </w:r>
      <w:r>
        <w:rPr>
          <w:rFonts w:ascii="Arial" w:cs="Arial" w:eastAsia="Arial" w:hAnsi="Arial"/>
          <w:b/>
          <w:bCs/>
          <w:color w:val="8B0000"/>
          <w:sz w:val="22"/>
          <w:szCs w:val="22"/>
          <w:highlight w:val="yellow"/>
          <w:highlightCs w:val="yellow"/>
        </w:rPr>
        <w:t xml:space="preserve">[e.g. Monthly by 10th working day of following month]</w:t>
      </w:r>
    </w:p>
    <w:p>
      <w:pPr>
        <w:spacing w:before="80" w:after="80"/>
      </w:pPr>
      <w:r>
        <w:rPr>
          <w:rFonts w:ascii="Arial" w:cs="Arial" w:eastAsia="Arial" w:hAnsi="Arial"/>
          <w:b/>
          <w:bCs/>
          <w:color w:val="1C1C1C"/>
          <w:sz w:val="22"/>
          <w:szCs w:val="22"/>
        </w:rPr>
        <w:t xml:space="preserve">Data Quality Assurance: </w:t>
      </w:r>
      <w:r>
        <w:rPr>
          <w:rFonts w:ascii="Arial" w:cs="Arial" w:eastAsia="Arial" w:hAnsi="Arial"/>
          <w:b/>
          <w:bCs/>
          <w:color w:val="8B0000"/>
          <w:sz w:val="22"/>
          <w:szCs w:val="22"/>
          <w:highlight w:val="yellow"/>
          <w:highlightCs w:val="yellow"/>
        </w:rPr>
        <w:t xml:space="preserve">[Describe verification steps before data is shared]</w:t>
      </w:r>
    </w:p>
    <w:p>
      <w:pPr>
        <w:pBdr>
          <w:bottom w:val="single" w:color="D4A017" w:sz="4"/>
        </w:pBdr>
        <w:spacing w:before="120" w:after="120"/>
      </w:pPr>
      <w:r>
        <w:rPr>
          <w:rFonts w:ascii="Arial" w:cs="Arial" w:eastAsia="Arial" w:hAnsi="Arial"/>
        </w:rPr>
        <w:t xml:space="preserve"/>
      </w:r>
    </w:p>
    <w:p>
      <w:pPr>
        <w:pStyle w:val="Heading2"/>
        <w:pBdr>
          <w:bottom w:val="single" w:color="1A6E3C" w:sz="4"/>
        </w:pBdr>
        <w:spacing w:before="240" w:after="120"/>
      </w:pPr>
      <w:r>
        <w:rPr>
          <w:rFonts w:ascii="Arial" w:cs="Arial" w:eastAsia="Arial" w:hAnsi="Arial"/>
          <w:b/>
          <w:bCs/>
          <w:color w:val="1A6E3C"/>
          <w:sz w:val="28"/>
          <w:szCs w:val="28"/>
        </w:rPr>
        <w:t xml:space="preserve">ANNEXURE D: BRANDING &amp; ASSET USAGE GUIDELINES</w:t>
      </w:r>
    </w:p>
    <w:p>
      <w:pPr>
        <w:spacing w:before="0" w:after="12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D1. CEKA Brand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Logo Files (PNG, SVG, EPS, AI)</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Logo Files (PNG, SVG, EPS, AI)]</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Primary Color (HEX)</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Primary Color (HEX)]</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Secondary Color (HEX)</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Secondary Color (HEX)]</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Font (Primary)</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Font (Primary)]</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Font (Secondary)</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Font (Secondary)]</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Tagline (Short)</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Tagline (Short)]</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Tagline (Long)</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Tagline (Long)]</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50-word Description</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50-word Description]</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100-word Description</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100-word Description]</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250-word Description</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250-word Description]</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Prohibited Modifications</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Prohibited Modifications]</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Minimum Logo Size</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Minimum Logo Size]</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Clear Space Requirement</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Clear Space Requirement]</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Social Media Handle — X/Twitter</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Social Media Handle — X/Twitter]</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Social Media Handle — Instagram</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Social Media Handle — Instagram]</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Social Media Handle — Facebook</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[CEKA to complete — Social Media Handle — Facebook]</w:t>
            </w:r>
          </w:p>
        </w:tc>
      </w:tr>
    </w:tbl>
    <w:p>
      <w:pPr>
        <w:spacing w:before="0" w:after="24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D2. Partner Brand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Logo Files (PNG, SVG, EPS, AI)</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Logo Files (PNG, SVG, EPS, AI)]</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Primary Color (HEX)</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Primary Color (HEX)]</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Secondary Color (HEX)</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Secondary Color (HEX)]</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Font (Primary)</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Font (Primary)]</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Tagline</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Tagline]</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50-word Description</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50-word Description]</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100-word Description</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100-word Description]</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Prohibited Modifications</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Prohibited Modifications]</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Minimum Logo Size</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Minimum Logo Size]</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Social Media Handles</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[Partner to complete — Social Media Handles]</w:t>
            </w:r>
          </w:p>
        </w:tc>
      </w:tr>
    </w:tbl>
    <w:p>
      <w:pPr>
        <w:spacing w:before="0" w:after="24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D3. Co-branding Usage Guidelines</w:t>
      </w:r>
    </w:p>
    <w:p>
      <w:pPr>
        <w:pStyle w:val="ListParagraph"/>
        <w:numPr>
          <w:ilvl w:val="0"/>
          <w:numId w:val="2"/>
        </w:numPr>
        <w:spacing w:before="60" w:after="60"/>
      </w:pPr>
      <w:r>
        <w:rPr>
          <w:rFonts w:ascii="Arial" w:cs="Arial" w:eastAsia="Arial" w:hAnsi="Arial"/>
          <w:color w:val="1C1C1C"/>
          <w:sz w:val="22"/>
          <w:szCs w:val="22"/>
        </w:rPr>
        <w:t xml:space="preserve">Both logos must appear on all co-branded materials.</w:t>
      </w:r>
    </w:p>
    <w:p>
      <w:pPr>
        <w:pStyle w:val="ListParagraph"/>
        <w:numPr>
          <w:ilvl w:val="0"/>
          <w:numId w:val="2"/>
        </w:numPr>
        <w:spacing w:before="60" w:after="60"/>
      </w:pPr>
      <w:r>
        <w:rPr>
          <w:rFonts w:ascii="Arial" w:cs="Arial" w:eastAsia="Arial" w:hAnsi="Arial"/>
          <w:color w:val="1C1C1C"/>
          <w:sz w:val="22"/>
          <w:szCs w:val="22"/>
        </w:rPr>
        <w:t xml:space="preserve">Logo sizes must be within 20% of each other unless tactically agreed.</w:t>
      </w:r>
    </w:p>
    <w:p>
      <w:pPr>
        <w:pStyle w:val="ListParagraph"/>
        <w:numPr>
          <w:ilvl w:val="0"/>
          <w:numId w:val="2"/>
        </w:numPr>
        <w:spacing w:before="60" w:after="60"/>
      </w:pPr>
      <w:r>
        <w:rPr>
          <w:rFonts w:ascii="Arial" w:cs="Arial" w:eastAsia="Arial" w:hAnsi="Arial"/>
          <w:color w:val="1C1C1C"/>
          <w:sz w:val="22"/>
          <w:szCs w:val="22"/>
        </w:rPr>
        <w:t xml:space="preserve">Use CEKA logo version: </w:t>
      </w:r>
      <w:r>
        <w:rPr>
          <w:rFonts w:ascii="Arial" w:cs="Arial" w:eastAsia="Arial" w:hAnsi="Arial"/>
          <w:b/>
          <w:bCs/>
          <w:color w:val="8B0000"/>
          <w:sz w:val="22"/>
          <w:szCs w:val="22"/>
          <w:highlight w:val="yellow"/>
          <w:highlightCs w:val="yellow"/>
        </w:rPr>
        <w:t xml:space="preserve">[e.g. horizontal full-color / horizontal white / vertical]</w:t>
      </w:r>
    </w:p>
    <w:p>
      <w:pPr>
        <w:pStyle w:val="ListParagraph"/>
        <w:numPr>
          <w:ilvl w:val="0"/>
          <w:numId w:val="2"/>
        </w:numPr>
        <w:spacing w:before="60" w:after="60"/>
      </w:pPr>
      <w:r>
        <w:rPr>
          <w:rFonts w:ascii="Arial" w:cs="Arial" w:eastAsia="Arial" w:hAnsi="Arial"/>
          <w:color w:val="1C1C1C"/>
          <w:sz w:val="22"/>
          <w:szCs w:val="22"/>
        </w:rPr>
        <w:t xml:space="preserve">Use Partner logo version: </w:t>
      </w:r>
      <w:r>
        <w:rPr>
          <w:rFonts w:ascii="Arial" w:cs="Arial" w:eastAsia="Arial" w:hAnsi="Arial"/>
          <w:b/>
          <w:bCs/>
          <w:color w:val="8B0000"/>
          <w:sz w:val="22"/>
          <w:szCs w:val="22"/>
          <w:highlight w:val="yellow"/>
          <w:highlightCs w:val="yellow"/>
        </w:rPr>
        <w:t xml:space="preserve">[e.g. horizontal full-color / monochrome]</w:t>
      </w:r>
    </w:p>
    <w:p>
      <w:pPr>
        <w:pStyle w:val="ListParagraph"/>
        <w:numPr>
          <w:ilvl w:val="0"/>
          <w:numId w:val="2"/>
        </w:numPr>
        <w:spacing w:before="60" w:after="60"/>
      </w:pPr>
      <w:r>
        <w:rPr>
          <w:rFonts w:ascii="Arial" w:cs="Arial" w:eastAsia="Arial" w:hAnsi="Arial"/>
          <w:color w:val="1C1C1C"/>
          <w:sz w:val="22"/>
          <w:szCs w:val="22"/>
        </w:rPr>
        <w:t xml:space="preserve">Agreed hashtags for joint campaigns: </w:t>
      </w:r>
      <w:r>
        <w:rPr>
          <w:rFonts w:ascii="Arial" w:cs="Arial" w:eastAsia="Arial" w:hAnsi="Arial"/>
          <w:b/>
          <w:bCs/>
          <w:color w:val="8B0000"/>
          <w:sz w:val="22"/>
          <w:szCs w:val="22"/>
          <w:highlight w:val="yellow"/>
          <w:highlightCs w:val="yellow"/>
        </w:rPr>
        <w:t xml:space="preserve">[#NasakaIEBC, #[PartnerHashtag], #CivicEdKE — list all]</w:t>
      </w:r>
    </w:p>
    <w:p>
      <w:pPr>
        <w:pStyle w:val="ListParagraph"/>
        <w:numPr>
          <w:ilvl w:val="0"/>
          <w:numId w:val="2"/>
        </w:numPr>
        <w:spacing w:before="60" w:after="60"/>
      </w:pPr>
      <w:r>
        <w:rPr>
          <w:rFonts w:ascii="Arial" w:cs="Arial" w:eastAsia="Arial" w:hAnsi="Arial"/>
          <w:color w:val="1C1C1C"/>
          <w:sz w:val="22"/>
          <w:szCs w:val="22"/>
        </w:rPr>
        <w:t xml:space="preserve">Approved joint tagline (if any): </w:t>
      </w:r>
      <w:r>
        <w:rPr>
          <w:rFonts w:ascii="Arial" w:cs="Arial" w:eastAsia="Arial" w:hAnsi="Arial"/>
          <w:b/>
          <w:bCs/>
          <w:color w:val="8B0000"/>
          <w:sz w:val="22"/>
          <w:szCs w:val="22"/>
          <w:highlight w:val="yellow"/>
          <w:highlightCs w:val="yellow"/>
        </w:rPr>
        <w:t xml:space="preserve">[e.g. 'Empowering Civic Kenya — Together']</w:t>
      </w:r>
    </w:p>
    <w:p>
      <w:pPr>
        <w:pBdr>
          <w:bottom w:val="single" w:color="D4A017" w:sz="4"/>
        </w:pBdr>
        <w:spacing w:before="120" w:after="120"/>
      </w:pPr>
      <w:r>
        <w:rPr>
          <w:rFonts w:ascii="Arial" w:cs="Arial" w:eastAsia="Arial" w:hAnsi="Arial"/>
        </w:rPr>
        <w:t xml:space="preserve"/>
      </w:r>
    </w:p>
    <w:p>
      <w:pPr>
        <w:pStyle w:val="Heading2"/>
        <w:pBdr>
          <w:bottom w:val="single" w:color="1A6E3C" w:sz="4"/>
        </w:pBdr>
        <w:spacing w:before="240" w:after="120"/>
      </w:pPr>
      <w:r>
        <w:rPr>
          <w:rFonts w:ascii="Arial" w:cs="Arial" w:eastAsia="Arial" w:hAnsi="Arial"/>
          <w:b/>
          <w:bCs/>
          <w:color w:val="1A6E3C"/>
          <w:sz w:val="28"/>
          <w:szCs w:val="28"/>
        </w:rPr>
        <w:t xml:space="preserve">ANNEXURE E: KPI DASHBOARD &amp; REPORTING TEMPLATE</w:t>
      </w:r>
    </w:p>
    <w:p>
      <w:pPr>
        <w:spacing w:before="0" w:after="12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E1. Monthly Report Template — CEKA to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6"/>
              <w:left w:val="single" w:color="1A6E3C" w:sz="6"/>
              <w:bottom w:val="single" w:color="1A6E3C" w:sz="6"/>
              <w:right w:val="single" w:color="1A6E3C" w:sz="6"/>
            </w:tcBorders>
            <w:shd w:fill="E8F5EE" w:val="clear"/>
            <w:tcMar>
              <w:top w:type="dxa" w:w="120"/>
              <w:left w:type="dxa" w:w="180"/>
              <w:bottom w:type="dxa" w:w="120"/>
              <w:right w:type="dxa" w:w="180"/>
            </w:tcMar>
          </w:tcPr>
          <w:p>
            <w:pPr>
              <w:spacing w:before="80" w:after="80"/>
            </w:pPr>
            <w:r>
              <w:rPr>
                <w:rFonts w:ascii="Arial" w:cs="Arial" w:eastAsia="Arial" w:hAnsi="Arial"/>
                <w:b/>
                <w:bCs/>
                <w:color w:val="1C1C1C"/>
                <w:sz w:val="22"/>
                <w:szCs w:val="22"/>
              </w:rPr>
              <w:t xml:space="preserve">Report Period: </w:t>
            </w:r>
            <w:r>
              <w:rPr>
                <w:rFonts w:ascii="Arial" w:cs="Arial" w:eastAsia="Arial" w:hAnsi="Arial"/>
                <w:b/>
                <w:bCs/>
                <w:color w:val="8B0000"/>
                <w:sz w:val="22"/>
                <w:szCs w:val="22"/>
                <w:highlight w:val="yellow"/>
                <w:highlightCs w:val="yellow"/>
              </w:rPr>
              <w:t xml:space="preserve">[Month YYYY]</w:t>
            </w:r>
          </w:p>
          <w:p>
            <w:pPr>
              <w:spacing w:before="80" w:after="80"/>
            </w:pPr>
            <w:r>
              <w:rPr>
                <w:rFonts w:ascii="Arial" w:cs="Arial" w:eastAsia="Arial" w:hAnsi="Arial"/>
                <w:b/>
                <w:bCs/>
                <w:color w:val="1C1C1C"/>
                <w:sz w:val="22"/>
                <w:szCs w:val="22"/>
              </w:rPr>
              <w:t xml:space="preserve">Report Date: </w:t>
            </w:r>
            <w:r>
              <w:rPr>
                <w:rFonts w:ascii="Arial" w:cs="Arial" w:eastAsia="Arial" w:hAnsi="Arial"/>
                <w:b/>
                <w:bCs/>
                <w:color w:val="8B0000"/>
                <w:sz w:val="22"/>
                <w:szCs w:val="22"/>
                <w:highlight w:val="yellow"/>
                <w:highlightCs w:val="yellow"/>
              </w:rPr>
              <w:t xml:space="preserve">[DD Month YYYY]</w:t>
            </w:r>
          </w:p>
          <w:p>
            <w:pPr>
              <w:spacing w:before="80" w:after="80"/>
            </w:pPr>
            <w:r>
              <w:rPr>
                <w:rFonts w:ascii="Arial" w:cs="Arial" w:eastAsia="Arial" w:hAnsi="Arial"/>
                <w:b/>
                <w:bCs/>
                <w:color w:val="1C1C1C"/>
                <w:sz w:val="22"/>
                <w:szCs w:val="22"/>
              </w:rPr>
              <w:t xml:space="preserve">Prepared by: </w:t>
            </w:r>
            <w:r>
              <w:rPr>
                <w:rFonts w:ascii="Arial" w:cs="Arial" w:eastAsia="Arial" w:hAnsi="Arial"/>
                <w:color w:val="1C1C1C"/>
                <w:sz w:val="22"/>
                <w:szCs w:val="22"/>
              </w:rPr>
              <w:t xml:space="preserve">CEKA</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1. Platform Usage Summary</w:t>
            </w:r>
          </w:p>
          <w:p>
            <w:pPr>
              <w:spacing w:before="80" w:after="80"/>
            </w:pPr>
            <w:r>
              <w:rPr>
                <w:rFonts w:ascii="Arial" w:cs="Arial" w:eastAsia="Arial" w:hAnsi="Arial"/>
                <w:color w:val="1C1C1C"/>
                <w:sz w:val="22"/>
                <w:szCs w:val="22"/>
              </w:rPr>
              <w:t xml:space="preserve">Total Monthly Unique Users: </w:t>
            </w:r>
            <w:r>
              <w:rPr>
                <w:rFonts w:ascii="Arial" w:cs="Arial" w:eastAsia="Arial" w:hAnsi="Arial"/>
                <w:b/>
                <w:bCs/>
                <w:color w:val="8B0000"/>
                <w:sz w:val="22"/>
                <w:szCs w:val="22"/>
                <w:highlight w:val="yellow"/>
                <w:highlightCs w:val="yellow"/>
              </w:rPr>
              <w:t xml:space="preserve">[Number]</w:t>
            </w:r>
          </w:p>
          <w:p>
            <w:pPr>
              <w:spacing w:before="80" w:after="80"/>
            </w:pPr>
            <w:r>
              <w:rPr>
                <w:rFonts w:ascii="Arial" w:cs="Arial" w:eastAsia="Arial" w:hAnsi="Arial"/>
                <w:color w:val="1C1C1C"/>
                <w:sz w:val="22"/>
                <w:szCs w:val="22"/>
              </w:rPr>
              <w:t xml:space="preserve">Month-on-Month Change (%): </w:t>
            </w:r>
            <w:r>
              <w:rPr>
                <w:rFonts w:ascii="Arial" w:cs="Arial" w:eastAsia="Arial" w:hAnsi="Arial"/>
                <w:b/>
                <w:bCs/>
                <w:color w:val="8B0000"/>
                <w:sz w:val="22"/>
                <w:szCs w:val="22"/>
                <w:highlight w:val="yellow"/>
                <w:highlightCs w:val="yellow"/>
              </w:rPr>
              <w:t xml:space="preserve">[% up/down]</w:t>
            </w:r>
          </w:p>
          <w:p>
            <w:pPr>
              <w:spacing w:before="80" w:after="80"/>
            </w:pPr>
            <w:r>
              <w:rPr>
                <w:rFonts w:ascii="Arial" w:cs="Arial" w:eastAsia="Arial" w:hAnsi="Arial"/>
                <w:color w:val="1C1C1C"/>
                <w:sz w:val="22"/>
                <w:szCs w:val="22"/>
              </w:rPr>
              <w:t xml:space="preserve">Referral Traffic from Partner Channels: </w:t>
            </w:r>
            <w:r>
              <w:rPr>
                <w:rFonts w:ascii="Arial" w:cs="Arial" w:eastAsia="Arial" w:hAnsi="Arial"/>
                <w:b/>
                <w:bCs/>
                <w:color w:val="8B0000"/>
                <w:sz w:val="22"/>
                <w:szCs w:val="22"/>
                <w:highlight w:val="yellow"/>
                <w:highlightCs w:val="yellow"/>
              </w:rPr>
              <w:t xml:space="preserve">[Number | % of total]</w:t>
            </w:r>
          </w:p>
          <w:p>
            <w:pPr>
              <w:spacing w:before="80" w:after="80"/>
            </w:pPr>
            <w:r>
              <w:rPr>
                <w:rFonts w:ascii="Arial" w:cs="Arial" w:eastAsia="Arial" w:hAnsi="Arial"/>
                <w:color w:val="1C1C1C"/>
                <w:sz w:val="22"/>
                <w:szCs w:val="22"/>
              </w:rPr>
              <w:t xml:space="preserve">Top 5 Counties by Usage: </w:t>
            </w:r>
            <w:r>
              <w:rPr>
                <w:rFonts w:ascii="Arial" w:cs="Arial" w:eastAsia="Arial" w:hAnsi="Arial"/>
                <w:b/>
                <w:bCs/>
                <w:color w:val="8B0000"/>
                <w:sz w:val="22"/>
                <w:szCs w:val="22"/>
                <w:highlight w:val="yellow"/>
                <w:highlightCs w:val="yellow"/>
              </w:rPr>
              <w:t xml:space="preserve">[List counties]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2. Technical Issues &amp; Resolutions</w:t>
            </w:r>
          </w:p>
          <w:p>
            <w:pPr>
              <w:spacing w:before="80" w:after="80"/>
            </w:pPr>
            <w:r>
              <w:rPr>
                <w:rFonts w:ascii="Arial" w:cs="Arial" w:eastAsia="Arial" w:hAnsi="Arial"/>
                <w:b/>
                <w:bCs/>
                <w:color w:val="8B0000"/>
                <w:sz w:val="22"/>
                <w:szCs w:val="22"/>
                <w:highlight w:val="yellow"/>
                <w:highlightCs w:val="yellow"/>
              </w:rPr>
              <w:t xml:space="preserve">[List any technical issues encountered and how they were resolved]</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3. Upcoming Developments / Actions Needed from Partner</w:t>
            </w:r>
          </w:p>
          <w:p>
            <w:pPr>
              <w:spacing w:before="80" w:after="80"/>
            </w:pPr>
            <w:r>
              <w:rPr>
                <w:rFonts w:ascii="Arial" w:cs="Arial" w:eastAsia="Arial" w:hAnsi="Arial"/>
                <w:b/>
                <w:bCs/>
                <w:color w:val="8B0000"/>
                <w:sz w:val="22"/>
                <w:szCs w:val="22"/>
                <w:highlight w:val="yellow"/>
                <w:highlightCs w:val="yellow"/>
              </w:rPr>
              <w:t xml:space="preserve">[List upcoming platform updates, campaign timelines, and any information or actions required from Partner]</w:t>
            </w:r>
          </w:p>
        </w:tc>
      </w:tr>
    </w:tbl>
    <w:p>
      <w:pPr>
        <w:spacing w:before="0" w:after="12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E2. Monthly Report Template — Partner to CEKA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6"/>
              <w:left w:val="single" w:color="1A6E3C" w:sz="6"/>
              <w:bottom w:val="single" w:color="1A6E3C" w:sz="6"/>
              <w:right w:val="single" w:color="1A6E3C" w:sz="6"/>
            </w:tcBorders>
            <w:shd w:fill="E8F5EE" w:val="clear"/>
            <w:tcMar>
              <w:top w:type="dxa" w:w="120"/>
              <w:left w:type="dxa" w:w="180"/>
              <w:bottom w:type="dxa" w:w="120"/>
              <w:right w:type="dxa" w:w="180"/>
            </w:tcMar>
          </w:tcPr>
          <w:p>
            <w:pPr>
              <w:spacing w:before="80" w:after="80"/>
            </w:pPr>
            <w:r>
              <w:rPr>
                <w:rFonts w:ascii="Arial" w:cs="Arial" w:eastAsia="Arial" w:hAnsi="Arial"/>
                <w:b/>
                <w:bCs/>
                <w:color w:val="1C1C1C"/>
                <w:sz w:val="22"/>
                <w:szCs w:val="22"/>
              </w:rPr>
              <w:t xml:space="preserve">Report Period: </w:t>
            </w:r>
            <w:r>
              <w:rPr>
                <w:rFonts w:ascii="Arial" w:cs="Arial" w:eastAsia="Arial" w:hAnsi="Arial"/>
                <w:b/>
                <w:bCs/>
                <w:color w:val="8B0000"/>
                <w:sz w:val="22"/>
                <w:szCs w:val="22"/>
                <w:highlight w:val="yellow"/>
                <w:highlightCs w:val="yellow"/>
              </w:rPr>
              <w:t xml:space="preserve">[Month YYYY]</w:t>
            </w:r>
          </w:p>
          <w:p>
            <w:pPr>
              <w:spacing w:before="80" w:after="80"/>
            </w:pPr>
            <w:r>
              <w:rPr>
                <w:rFonts w:ascii="Arial" w:cs="Arial" w:eastAsia="Arial" w:hAnsi="Arial"/>
                <w:b/>
                <w:bCs/>
                <w:color w:val="1C1C1C"/>
                <w:sz w:val="22"/>
                <w:szCs w:val="22"/>
              </w:rPr>
              <w:t xml:space="preserve">Report Date: </w:t>
            </w:r>
            <w:r>
              <w:rPr>
                <w:rFonts w:ascii="Arial" w:cs="Arial" w:eastAsia="Arial" w:hAnsi="Arial"/>
                <w:b/>
                <w:bCs/>
                <w:color w:val="8B0000"/>
                <w:sz w:val="22"/>
                <w:szCs w:val="22"/>
                <w:highlight w:val="yellow"/>
                <w:highlightCs w:val="yellow"/>
              </w:rPr>
              <w:t xml:space="preserve">[DD Month YYYY]</w:t>
            </w:r>
          </w:p>
          <w:p>
            <w:pPr>
              <w:spacing w:before="80" w:after="80"/>
            </w:pPr>
            <w:r>
              <w:rPr>
                <w:rFonts w:ascii="Arial" w:cs="Arial" w:eastAsia="Arial" w:hAnsi="Arial"/>
                <w:b/>
                <w:bCs/>
                <w:color w:val="1C1C1C"/>
                <w:sz w:val="22"/>
                <w:szCs w:val="22"/>
              </w:rPr>
              <w:t xml:space="preserve">Prepared by: </w:t>
            </w:r>
            <w:r>
              <w:rPr>
                <w:rFonts w:ascii="Arial" w:cs="Arial" w:eastAsia="Arial" w:hAnsi="Arial"/>
                <w:b/>
                <w:bCs/>
                <w:color w:val="8B0000"/>
                <w:sz w:val="22"/>
                <w:szCs w:val="22"/>
                <w:highlight w:val="yellow"/>
                <w:highlightCs w:val="yellow"/>
              </w:rPr>
              <w:t xml:space="preserve">[Partner Organization Name]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1. Campaign &amp; Programme Activities</w:t>
            </w:r>
          </w:p>
          <w:p>
            <w:pPr>
              <w:spacing w:before="80" w:after="80"/>
            </w:pPr>
            <w:r>
              <w:rPr>
                <w:rFonts w:ascii="Arial" w:cs="Arial" w:eastAsia="Arial" w:hAnsi="Arial"/>
                <w:color w:val="1C1C1C"/>
                <w:sz w:val="22"/>
                <w:szCs w:val="22"/>
              </w:rPr>
              <w:t xml:space="preserve">Number of programme segments / events featuring CEKA / Nasaka IEBC: </w:t>
            </w:r>
            <w:r>
              <w:rPr>
                <w:rFonts w:ascii="Arial" w:cs="Arial" w:eastAsia="Arial" w:hAnsi="Arial"/>
                <w:b/>
                <w:bCs/>
                <w:color w:val="8B0000"/>
                <w:sz w:val="22"/>
                <w:szCs w:val="22"/>
                <w:highlight w:val="yellow"/>
                <w:highlightCs w:val="yellow"/>
              </w:rPr>
              <w:t xml:space="preserve">[Number]</w:t>
            </w:r>
          </w:p>
          <w:p>
            <w:pPr>
              <w:spacing w:before="80" w:after="80"/>
            </w:pPr>
            <w:r>
              <w:rPr>
                <w:rFonts w:ascii="Arial" w:cs="Arial" w:eastAsia="Arial" w:hAnsi="Arial"/>
                <w:color w:val="1C1C1C"/>
                <w:sz w:val="22"/>
                <w:szCs w:val="22"/>
              </w:rPr>
              <w:t xml:space="preserve">Estimated combined audience / reach: </w:t>
            </w:r>
            <w:r>
              <w:rPr>
                <w:rFonts w:ascii="Arial" w:cs="Arial" w:eastAsia="Arial" w:hAnsi="Arial"/>
                <w:b/>
                <w:bCs/>
                <w:color w:val="8B0000"/>
                <w:sz w:val="22"/>
                <w:szCs w:val="22"/>
                <w:highlight w:val="yellow"/>
                <w:highlightCs w:val="yellow"/>
              </w:rPr>
              <w:t xml:space="preserve">[Number]</w:t>
            </w:r>
          </w:p>
          <w:p>
            <w:pPr>
              <w:spacing w:before="80" w:after="80"/>
            </w:pPr>
            <w:r>
              <w:rPr>
                <w:rFonts w:ascii="Arial" w:cs="Arial" w:eastAsia="Arial" w:hAnsi="Arial"/>
                <w:color w:val="1C1C1C"/>
                <w:sz w:val="22"/>
                <w:szCs w:val="22"/>
              </w:rPr>
              <w:t xml:space="preserve">Social media posts featuring Nasaka IEBC: </w:t>
            </w:r>
            <w:r>
              <w:rPr>
                <w:rFonts w:ascii="Arial" w:cs="Arial" w:eastAsia="Arial" w:hAnsi="Arial"/>
                <w:b/>
                <w:bCs/>
                <w:color w:val="8B0000"/>
                <w:sz w:val="22"/>
                <w:szCs w:val="22"/>
                <w:highlight w:val="yellow"/>
                <w:highlightCs w:val="yellow"/>
              </w:rPr>
              <w:t xml:space="preserve">[Number]</w:t>
            </w:r>
          </w:p>
          <w:p>
            <w:pPr>
              <w:spacing w:before="80" w:after="80"/>
            </w:pPr>
            <w:r>
              <w:rPr>
                <w:rFonts w:ascii="Arial" w:cs="Arial" w:eastAsia="Arial" w:hAnsi="Arial"/>
                <w:color w:val="1C1C1C"/>
                <w:sz w:val="22"/>
                <w:szCs w:val="22"/>
              </w:rPr>
              <w:t xml:space="preserve">Total social media impressions from collaboration content: </w:t>
            </w:r>
            <w:r>
              <w:rPr>
                <w:rFonts w:ascii="Arial" w:cs="Arial" w:eastAsia="Arial" w:hAnsi="Arial"/>
                <w:b/>
                <w:bCs/>
                <w:color w:val="8B0000"/>
                <w:sz w:val="22"/>
                <w:szCs w:val="22"/>
                <w:highlight w:val="yellow"/>
                <w:highlightCs w:val="yellow"/>
              </w:rPr>
              <w:t xml:space="preserve">[Number]</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2. Ground Activations (if any)</w:t>
            </w:r>
          </w:p>
          <w:p>
            <w:pPr>
              <w:spacing w:before="80" w:after="80"/>
            </w:pPr>
            <w:r>
              <w:rPr>
                <w:rFonts w:ascii="Arial" w:cs="Arial" w:eastAsia="Arial" w:hAnsi="Arial"/>
                <w:color w:val="1C1C1C"/>
                <w:sz w:val="22"/>
                <w:szCs w:val="22"/>
              </w:rPr>
              <w:t xml:space="preserve">Activations held: </w:t>
            </w:r>
            <w:r>
              <w:rPr>
                <w:rFonts w:ascii="Arial" w:cs="Arial" w:eastAsia="Arial" w:hAnsi="Arial"/>
                <w:b/>
                <w:bCs/>
                <w:color w:val="8B0000"/>
                <w:sz w:val="22"/>
                <w:szCs w:val="22"/>
                <w:highlight w:val="yellow"/>
                <w:highlightCs w:val="yellow"/>
              </w:rPr>
              <w:t xml:space="preserve">[Number]</w:t>
            </w:r>
          </w:p>
          <w:p>
            <w:pPr>
              <w:spacing w:before="80" w:after="80"/>
            </w:pPr>
            <w:r>
              <w:rPr>
                <w:rFonts w:ascii="Arial" w:cs="Arial" w:eastAsia="Arial" w:hAnsi="Arial"/>
                <w:color w:val="1C1C1C"/>
                <w:sz w:val="22"/>
                <w:szCs w:val="22"/>
              </w:rPr>
              <w:t xml:space="preserve">Counties covered: </w:t>
            </w:r>
            <w:r>
              <w:rPr>
                <w:rFonts w:ascii="Arial" w:cs="Arial" w:eastAsia="Arial" w:hAnsi="Arial"/>
                <w:b/>
                <w:bCs/>
                <w:color w:val="8B0000"/>
                <w:sz w:val="22"/>
                <w:szCs w:val="22"/>
                <w:highlight w:val="yellow"/>
                <w:highlightCs w:val="yellow"/>
              </w:rPr>
              <w:t xml:space="preserve">[List]</w:t>
            </w:r>
          </w:p>
          <w:p>
            <w:pPr>
              <w:spacing w:before="80" w:after="80"/>
            </w:pPr>
            <w:r>
              <w:rPr>
                <w:rFonts w:ascii="Arial" w:cs="Arial" w:eastAsia="Arial" w:hAnsi="Arial"/>
                <w:color w:val="1C1C1C"/>
                <w:sz w:val="22"/>
                <w:szCs w:val="22"/>
              </w:rPr>
              <w:t xml:space="preserve">Total participants reached: </w:t>
            </w:r>
            <w:r>
              <w:rPr>
                <w:rFonts w:ascii="Arial" w:cs="Arial" w:eastAsia="Arial" w:hAnsi="Arial"/>
                <w:b/>
                <w:bCs/>
                <w:color w:val="8B0000"/>
                <w:sz w:val="22"/>
                <w:szCs w:val="22"/>
                <w:highlight w:val="yellow"/>
                <w:highlightCs w:val="yellow"/>
              </w:rPr>
              <w:t xml:space="preserve">[Number]</w:t>
            </w:r>
          </w:p>
          <w:p>
            <w:pPr>
              <w:spacing w:before="80" w:after="80"/>
            </w:pPr>
            <w:r>
              <w:rPr>
                <w:rFonts w:ascii="Arial" w:cs="Arial" w:eastAsia="Arial" w:hAnsi="Arial"/>
                <w:color w:val="1C1C1C"/>
                <w:sz w:val="22"/>
                <w:szCs w:val="22"/>
              </w:rPr>
              <w:t xml:space="preserve">Nasaka IEBC demonstrations conducted: </w:t>
            </w:r>
            <w:r>
              <w:rPr>
                <w:rFonts w:ascii="Arial" w:cs="Arial" w:eastAsia="Arial" w:hAnsi="Arial"/>
                <w:b/>
                <w:bCs/>
                <w:color w:val="8B0000"/>
                <w:sz w:val="22"/>
                <w:szCs w:val="22"/>
                <w:highlight w:val="yellow"/>
                <w:highlightCs w:val="yellow"/>
              </w:rPr>
              <w:t xml:space="preserve">[Number]</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3. Community Feedback Highlights</w:t>
            </w:r>
          </w:p>
          <w:p>
            <w:pPr>
              <w:spacing w:before="80" w:after="80"/>
            </w:pPr>
            <w:r>
              <w:rPr>
                <w:rFonts w:ascii="Arial" w:cs="Arial" w:eastAsia="Arial" w:hAnsi="Arial"/>
                <w:b/>
                <w:bCs/>
                <w:color w:val="8B0000"/>
                <w:sz w:val="22"/>
                <w:szCs w:val="22"/>
                <w:highlight w:val="yellow"/>
                <w:highlightCs w:val="yellow"/>
              </w:rPr>
              <w:t xml:space="preserve">[Summarize key themes from community feedback — usability issues, feature requests, positive experiences]</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4. Upcoming Activities Requiring CEKA Coordination</w:t>
            </w:r>
          </w:p>
          <w:p>
            <w:pPr>
              <w:spacing w:before="80" w:after="80"/>
            </w:pPr>
            <w:r>
              <w:rPr>
                <w:rFonts w:ascii="Arial" w:cs="Arial" w:eastAsia="Arial" w:hAnsi="Arial"/>
                <w:b/>
                <w:bCs/>
                <w:color w:val="8B0000"/>
                <w:sz w:val="22"/>
                <w:szCs w:val="22"/>
                <w:highlight w:val="yellow"/>
                <w:highlightCs w:val="yellow"/>
              </w:rPr>
              <w:t xml:space="preserve">[List upcoming activities, dates, and what is needed from CEKA]</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5. Challenges &amp; Resource Constraints</w:t>
            </w:r>
          </w:p>
          <w:p>
            <w:pPr>
              <w:spacing w:before="80" w:after="80"/>
            </w:pPr>
            <w:r>
              <w:rPr>
                <w:rFonts w:ascii="Arial" w:cs="Arial" w:eastAsia="Arial" w:hAnsi="Arial"/>
                <w:b/>
                <w:bCs/>
                <w:color w:val="8B0000"/>
                <w:sz w:val="22"/>
                <w:szCs w:val="22"/>
                <w:highlight w:val="yellow"/>
                <w:highlightCs w:val="yellow"/>
              </w:rPr>
              <w:t xml:space="preserve">[Any challenges affecting delivery and proposed mitigations]</w:t>
            </w:r>
          </w:p>
        </w:tc>
      </w:tr>
    </w:tbl>
    <w:p>
      <w:pPr>
        <w:pBdr>
          <w:bottom w:val="single" w:color="D4A017" w:sz="4"/>
        </w:pBdr>
        <w:spacing w:before="120" w:after="120"/>
      </w:pPr>
      <w:r>
        <w:rPr>
          <w:rFonts w:ascii="Arial" w:cs="Arial" w:eastAsia="Arial" w:hAnsi="Arial"/>
        </w:rPr>
        <w:t xml:space="preserve"/>
      </w:r>
    </w:p>
    <w:p>
      <w:pPr>
        <w:pStyle w:val="Heading2"/>
        <w:pBdr>
          <w:bottom w:val="single" w:color="1A6E3C" w:sz="4"/>
        </w:pBdr>
        <w:spacing w:before="240" w:after="120"/>
      </w:pPr>
      <w:r>
        <w:rPr>
          <w:rFonts w:ascii="Arial" w:cs="Arial" w:eastAsia="Arial" w:hAnsi="Arial"/>
          <w:b/>
          <w:bCs/>
          <w:color w:val="1A6E3C"/>
          <w:sz w:val="28"/>
          <w:szCs w:val="28"/>
        </w:rPr>
        <w:t xml:space="preserve">ANNEXURE F: COST-SHARING TEMPLATE &amp; PROJECT BUDGET</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Activity Name: </w:t>
      </w:r>
      <w:r>
        <w:rPr>
          <w:rFonts w:ascii="Arial" w:cs="Arial" w:eastAsia="Arial" w:hAnsi="Arial"/>
          <w:b/>
          <w:bCs/>
          <w:color w:val="8B0000"/>
          <w:sz w:val="22"/>
          <w:szCs w:val="22"/>
          <w:highlight w:val="yellow"/>
          <w:highlightCs w:val="yellow"/>
        </w:rPr>
        <w:t xml:space="preserve">[Name of joint activity]</w:t>
      </w:r>
    </w:p>
    <w:p>
      <w:pPr>
        <w:spacing w:before="80" w:after="80"/>
      </w:pPr>
      <w:r>
        <w:rPr>
          <w:rFonts w:ascii="Arial" w:cs="Arial" w:eastAsia="Arial" w:hAnsi="Arial"/>
          <w:b/>
          <w:bCs/>
          <w:color w:val="1C1C1C"/>
          <w:sz w:val="22"/>
          <w:szCs w:val="22"/>
        </w:rPr>
        <w:t xml:space="preserve">Activity Date(s): </w:t>
      </w:r>
      <w:r>
        <w:rPr>
          <w:rFonts w:ascii="Arial" w:cs="Arial" w:eastAsia="Arial" w:hAnsi="Arial"/>
          <w:b/>
          <w:bCs/>
          <w:color w:val="8B0000"/>
          <w:sz w:val="22"/>
          <w:szCs w:val="22"/>
          <w:highlight w:val="yellow"/>
          <w:highlightCs w:val="yellow"/>
        </w:rPr>
        <w:t xml:space="preserve">[Date or date range]</w:t>
      </w:r>
    </w:p>
    <w:p>
      <w:pPr>
        <w:spacing w:before="80" w:after="80"/>
      </w:pPr>
      <w:r>
        <w:rPr>
          <w:rFonts w:ascii="Arial" w:cs="Arial" w:eastAsia="Arial" w:hAnsi="Arial"/>
          <w:b/>
          <w:bCs/>
          <w:color w:val="1C1C1C"/>
          <w:sz w:val="22"/>
          <w:szCs w:val="22"/>
        </w:rPr>
        <w:t xml:space="preserve">Activity Location: </w:t>
      </w:r>
      <w:r>
        <w:rPr>
          <w:rFonts w:ascii="Arial" w:cs="Arial" w:eastAsia="Arial" w:hAnsi="Arial"/>
          <w:b/>
          <w:bCs/>
          <w:color w:val="8B0000"/>
          <w:sz w:val="22"/>
          <w:szCs w:val="22"/>
          <w:highlight w:val="yellow"/>
          <w:highlightCs w:val="yellow"/>
        </w:rPr>
        <w:t xml:space="preserve">[County / virtual / hybrid]</w:t>
      </w:r>
    </w:p>
    <w:p>
      <w:pPr>
        <w:spacing w:before="80" w:after="80"/>
      </w:pPr>
      <w:r>
        <w:rPr>
          <w:rFonts w:ascii="Arial" w:cs="Arial" w:eastAsia="Arial" w:hAnsi="Arial"/>
          <w:b/>
          <w:bCs/>
          <w:color w:val="1C1C1C"/>
          <w:sz w:val="22"/>
          <w:szCs w:val="22"/>
        </w:rPr>
        <w:t xml:space="preserve">Lead Organization: </w:t>
      </w:r>
      <w:r>
        <w:rPr>
          <w:rFonts w:ascii="Arial" w:cs="Arial" w:eastAsia="Arial" w:hAnsi="Arial"/>
          <w:b/>
          <w:bCs/>
          <w:color w:val="8B0000"/>
          <w:sz w:val="22"/>
          <w:szCs w:val="22"/>
          <w:highlight w:val="yellow"/>
          <w:highlightCs w:val="yellow"/>
        </w:rPr>
        <w:t xml:space="preserve">[CEKA / Partner / Joint]</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080"/>
        <w:gridCol w:w="1080"/>
        <w:gridCol w:w="1800"/>
        <w:gridCol w:w="1440"/>
      </w:tblGrid>
      <w:tr>
        <w:tc>
          <w:tcPr>
            <w:tcW w:type="dxa" w:w="252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Activity / Line Item</w:t>
            </w:r>
          </w:p>
        </w:tc>
        <w:tc>
          <w:tcPr>
            <w:tcW w:type="dxa" w:w="144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Estimated Cost (KES)</w:t>
            </w:r>
          </w:p>
        </w:tc>
        <w:tc>
          <w:tcPr>
            <w:tcW w:type="dxa" w:w="108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CEKA Share</w:t>
            </w:r>
          </w:p>
        </w:tc>
        <w:tc>
          <w:tcPr>
            <w:tcW w:type="dxa" w:w="108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Partner Share</w:t>
            </w:r>
          </w:p>
        </w:tc>
        <w:tc>
          <w:tcPr>
            <w:tcW w:type="dxa" w:w="180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Payment By</w:t>
            </w:r>
          </w:p>
        </w:tc>
        <w:tc>
          <w:tcPr>
            <w:tcW w:type="dxa" w:w="144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18"/>
                <w:szCs w:val="18"/>
              </w:rPr>
              <w:t xml:space="preserve">Due Date</w:t>
            </w:r>
          </w:p>
        </w:tc>
      </w:tr>
      <w:tr>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1]</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1]</w:t>
            </w:r>
          </w:p>
        </w:tc>
        <w:tc>
          <w:tcPr>
            <w:tcW w:type="dxa" w:w="10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1]</w:t>
            </w:r>
          </w:p>
        </w:tc>
        <w:tc>
          <w:tcPr>
            <w:tcW w:type="dxa" w:w="10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1]</w:t>
            </w:r>
          </w:p>
        </w:tc>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1]</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1]</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2]</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2]</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2]</w:t>
            </w:r>
          </w:p>
        </w:tc>
      </w:tr>
      <w:tr>
        <w:tc>
          <w:tcPr>
            <w:tcW w:type="dxa" w:w="25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3]</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3]</w:t>
            </w:r>
          </w:p>
        </w:tc>
        <w:tc>
          <w:tcPr>
            <w:tcW w:type="dxa" w:w="10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3]</w:t>
            </w:r>
          </w:p>
        </w:tc>
        <w:tc>
          <w:tcPr>
            <w:tcW w:type="dxa" w:w="10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3]</w:t>
            </w:r>
          </w:p>
        </w:tc>
        <w:tc>
          <w:tcPr>
            <w:tcW w:type="dxa" w:w="18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3]</w:t>
            </w:r>
          </w:p>
        </w:tc>
        <w:tc>
          <w:tcPr>
            <w:tcW w:type="dxa" w:w="14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[Line 3]</w:t>
            </w:r>
          </w:p>
        </w:tc>
      </w:tr>
      <w:tr>
        <w:tc>
          <w:tcPr>
            <w:tcW w:type="dxa" w:w="25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before="80" w:after="80"/>
            </w:pPr>
            <w:r>
              <w:rPr>
                <w:rFonts w:ascii="Arial" w:cs="Arial" w:eastAsia="Arial" w:hAnsi="Arial"/>
                <w:b/>
                <w:bCs/>
                <w:color w:val="1C1C1C"/>
                <w:sz w:val="22"/>
                <w:szCs w:val="22"/>
              </w:rPr>
              <w:t xml:space="preserve">TOTAL</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pPr>
              <w:spacing w:before="80" w:after="80"/>
            </w:pPr>
            <w:r>
              <w:rPr>
                <w:rFonts w:ascii="Arial" w:cs="Arial" w:eastAsia="Arial" w:hAnsi="Arial"/>
                <w:b/>
                <w:bCs/>
                <w:color w:val="8B0000"/>
                <w:sz w:val="22"/>
                <w:szCs w:val="22"/>
                <w:highlight w:val="yellow"/>
                <w:highlightCs w:val="yellow"/>
              </w:rPr>
              <w:t xml:space="preserve">[Total]</w:t>
            </w:r>
          </w:p>
        </w:tc>
        <w:tc>
          <w:tcPr>
            <w:tcW w:type="dxa" w:w="10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pPr>
              <w:spacing w:before="80" w:after="80"/>
            </w:pPr>
            <w:r>
              <w:rPr>
                <w:rFonts w:ascii="Arial" w:cs="Arial" w:eastAsia="Arial" w:hAnsi="Arial"/>
                <w:b/>
                <w:bCs/>
                <w:color w:val="8B0000"/>
                <w:sz w:val="22"/>
                <w:szCs w:val="22"/>
                <w:highlight w:val="yellow"/>
                <w:highlightCs w:val="yellow"/>
              </w:rPr>
              <w:t xml:space="preserve">[CEKA]</w:t>
            </w:r>
          </w:p>
        </w:tc>
        <w:tc>
          <w:tcPr>
            <w:tcW w:type="dxa" w:w="10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pPr>
              <w:spacing w:before="80" w:after="80"/>
            </w:pPr>
            <w:r>
              <w:rPr>
                <w:rFonts w:ascii="Arial" w:cs="Arial" w:eastAsia="Arial" w:hAnsi="Arial"/>
                <w:b/>
                <w:bCs/>
                <w:color w:val="8B0000"/>
                <w:sz w:val="22"/>
                <w:szCs w:val="22"/>
                <w:highlight w:val="yellow"/>
                <w:highlightCs w:val="yellow"/>
              </w:rPr>
              <w:t xml:space="preserve">[Partner]</w:t>
            </w:r>
          </w:p>
        </w:tc>
        <w:tc>
          <w:tcPr>
            <w:tcW w:type="dxa" w:w="1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pPr>
              <w:spacing w:before="80" w:after="80"/>
            </w:pPr>
            <w:r>
              <w:rPr>
                <w:rFonts w:ascii="Arial" w:cs="Arial" w:eastAsia="Arial" w:hAnsi="Arial"/>
                <w:color w:val="1C1C1C"/>
                <w:sz w:val="22"/>
                <w:szCs w:val="22"/>
              </w:rPr>
              <w:t xml:space="preserve">—</w:t>
            </w:r>
          </w:p>
        </w:tc>
        <w:tc>
          <w:tcPr>
            <w:tcW w:type="dxa" w:w="144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pPr>
              <w:spacing w:before="80" w:after="80"/>
            </w:pPr>
            <w:r>
              <w:rPr>
                <w:rFonts w:ascii="Arial" w:cs="Arial" w:eastAsia="Arial" w:hAnsi="Arial"/>
                <w:color w:val="1C1C1C"/>
                <w:sz w:val="22"/>
                <w:szCs w:val="22"/>
              </w:rPr>
              <w:t xml:space="preserve">—</w:t>
            </w:r>
          </w:p>
        </w:tc>
      </w:tr>
    </w:tbl>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Payment Method: </w:t>
      </w:r>
      <w:r>
        <w:rPr>
          <w:rFonts w:ascii="Arial" w:cs="Arial" w:eastAsia="Arial" w:hAnsi="Arial"/>
          <w:b/>
          <w:bCs/>
          <w:color w:val="8B0000"/>
          <w:sz w:val="22"/>
          <w:szCs w:val="22"/>
          <w:highlight w:val="yellow"/>
          <w:highlightCs w:val="yellow"/>
        </w:rPr>
        <w:t xml:space="preserve">[e.g. M-Pesa / Bank Transfer / Cheque]</w:t>
      </w:r>
    </w:p>
    <w:p>
      <w:pPr>
        <w:spacing w:before="80" w:after="80"/>
      </w:pPr>
      <w:r>
        <w:rPr>
          <w:rFonts w:ascii="Arial" w:cs="Arial" w:eastAsia="Arial" w:hAnsi="Arial"/>
          <w:b/>
          <w:bCs/>
          <w:color w:val="1C1C1C"/>
          <w:sz w:val="22"/>
          <w:szCs w:val="22"/>
        </w:rPr>
        <w:t xml:space="preserve">Reimbursement Timeline: </w:t>
      </w:r>
      <w:r>
        <w:rPr>
          <w:rFonts w:ascii="Arial" w:cs="Arial" w:eastAsia="Arial" w:hAnsi="Arial"/>
          <w:color w:val="1C1C1C"/>
          <w:sz w:val="22"/>
          <w:szCs w:val="22"/>
        </w:rPr>
        <w:t xml:space="preserve">Within 30 calendar days of receipt of itemized documentation.</w:t>
      </w:r>
    </w:p>
    <w:p>
      <w:pPr>
        <w:spacing w:before="80" w:after="80"/>
      </w:pPr>
      <w:r>
        <w:rPr>
          <w:rFonts w:ascii="Arial" w:cs="Arial" w:eastAsia="Arial" w:hAnsi="Arial"/>
          <w:b/>
          <w:bCs/>
          <w:color w:val="1C1C1C"/>
          <w:sz w:val="22"/>
          <w:szCs w:val="22"/>
        </w:rPr>
        <w:t xml:space="preserve">Approval Signatures:</w:t>
      </w:r>
    </w:p>
    <w:p>
      <w:pPr>
        <w:spacing w:before="0" w:after="120"/>
      </w:pPr>
      <w:r>
        <w:rPr>
          <w:rFonts w:ascii="Arial" w:cs="Arial" w:eastAsia="Arial" w:hAnsi="Arial"/>
          <w:sz w:val="22"/>
          <w:szCs w:val="22"/>
        </w:rPr>
        <w:t xml:space="preserve"/>
      </w:r>
    </w:p>
    <w:p>
      <w:pPr>
        <w:spacing w:before="200" w:after="80"/>
      </w:pPr>
      <w:r>
        <w:rPr>
          <w:rFonts w:ascii="Arial" w:cs="Arial" w:eastAsia="Arial" w:hAnsi="Arial"/>
          <w:color w:val="1C1C1C"/>
          <w:sz w:val="22"/>
          <w:szCs w:val="22"/>
        </w:rPr>
        <w:t xml:space="preserve">CEKA Focal Point Approval: </w:t>
      </w:r>
      <w:r>
        <w:rPr>
          <w:rFonts w:ascii="Arial" w:cs="Arial" w:eastAsia="Arial" w:hAnsi="Arial"/>
          <w:color w:val="5A5A5A"/>
          <w:sz w:val="22"/>
          <w:szCs w:val="22"/>
        </w:rPr>
        <w:t xml:space="preserve">__________________________________________________</w:t>
      </w:r>
    </w:p>
    <w:p>
      <w:pPr>
        <w:spacing w:before="200" w:after="80"/>
      </w:pPr>
      <w:r>
        <w:rPr>
          <w:rFonts w:ascii="Arial" w:cs="Arial" w:eastAsia="Arial" w:hAnsi="Arial"/>
          <w:color w:val="1C1C1C"/>
          <w:sz w:val="22"/>
          <w:szCs w:val="22"/>
        </w:rPr>
        <w:t xml:space="preserve">Partner Focal Point Approval: </w:t>
      </w:r>
      <w:r>
        <w:rPr>
          <w:rFonts w:ascii="Arial" w:cs="Arial" w:eastAsia="Arial" w:hAnsi="Arial"/>
          <w:color w:val="5A5A5A"/>
          <w:sz w:val="22"/>
          <w:szCs w:val="22"/>
        </w:rPr>
        <w:t xml:space="preserve">__________________________________________________</w:t>
      </w:r>
    </w:p>
    <w:p>
      <w:pPr>
        <w:spacing w:before="200" w:after="80"/>
      </w:pPr>
      <w:r>
        <w:rPr>
          <w:rFonts w:ascii="Arial" w:cs="Arial" w:eastAsia="Arial" w:hAnsi="Arial"/>
          <w:color w:val="1C1C1C"/>
          <w:sz w:val="22"/>
          <w:szCs w:val="22"/>
        </w:rPr>
        <w:t xml:space="preserve">Date of Approval: </w:t>
      </w:r>
      <w:r>
        <w:rPr>
          <w:rFonts w:ascii="Arial" w:cs="Arial" w:eastAsia="Arial" w:hAnsi="Arial"/>
          <w:color w:val="5A5A5A"/>
          <w:sz w:val="22"/>
          <w:szCs w:val="22"/>
        </w:rPr>
        <w:t xml:space="preserve">__________________________________________________</w:t>
      </w:r>
    </w:p>
    <w:p>
      <w:pPr>
        <w:pBdr>
          <w:bottom w:val="single" w:color="D4A017" w:sz="4"/>
        </w:pBdr>
        <w:spacing w:before="120" w:after="120"/>
      </w:pPr>
      <w:r>
        <w:rPr>
          <w:rFonts w:ascii="Arial" w:cs="Arial" w:eastAsia="Arial" w:hAnsi="Arial"/>
        </w:rPr>
        <w:t xml:space="preserve"/>
      </w:r>
    </w:p>
    <w:p>
      <w:pPr>
        <w:pStyle w:val="Heading2"/>
        <w:pBdr>
          <w:bottom w:val="single" w:color="1A6E3C" w:sz="4"/>
        </w:pBdr>
        <w:spacing w:before="240" w:after="120"/>
      </w:pPr>
      <w:r>
        <w:rPr>
          <w:rFonts w:ascii="Arial" w:cs="Arial" w:eastAsia="Arial" w:hAnsi="Arial"/>
          <w:b/>
          <w:bCs/>
          <w:color w:val="1A6E3C"/>
          <w:sz w:val="28"/>
          <w:szCs w:val="28"/>
        </w:rPr>
        <w:t xml:space="preserve">ANNEXURE G: COMMUNITY FEEDBACK FORM TEMPLATE</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6"/>
              <w:left w:val="single" w:color="1A6E3C" w:sz="6"/>
              <w:bottom w:val="single" w:color="1A6E3C" w:sz="6"/>
              <w:right w:val="single" w:color="1A6E3C" w:sz="6"/>
            </w:tcBorders>
            <w:shd w:fill="E8F5EE" w:val="clear"/>
            <w:tcMar>
              <w:top w:type="dxa" w:w="120"/>
              <w:left w:type="dxa" w:w="180"/>
              <w:bottom w:type="dxa" w:w="120"/>
              <w:right w:type="dxa" w:w="180"/>
            </w:tcMar>
          </w:tcPr>
          <w:p>
            <w:pPr>
              <w:spacing w:before="80" w:after="80"/>
            </w:pPr>
            <w:r>
              <w:rPr>
                <w:rFonts w:ascii="Arial" w:cs="Arial" w:eastAsia="Arial" w:hAnsi="Arial"/>
                <w:b/>
                <w:bCs/>
                <w:color w:val="1C1C1C"/>
                <w:sz w:val="22"/>
                <w:szCs w:val="22"/>
              </w:rPr>
              <w:t xml:space="preserve">INSTRUCTIONS: </w:t>
            </w:r>
            <w:r>
              <w:rPr>
                <w:rFonts w:ascii="Arial" w:cs="Arial" w:eastAsia="Arial" w:hAnsi="Arial"/>
                <w:i/>
                <w:iCs/>
                <w:color w:val="1C1C1C"/>
                <w:sz w:val="22"/>
                <w:szCs w:val="22"/>
              </w:rPr>
              <w:t xml:space="preserve">Complete this form within 7 working days of each community forum or ground activation. Submit via email to civiceducationkenya@gmail.com and to the designated Partner focal point. This form is available in English and Kiswahili.</w:t>
            </w:r>
          </w:p>
        </w:tc>
      </w:tr>
    </w:tbl>
    <w:p>
      <w:pPr>
        <w:spacing w:before="0" w:after="12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Section 1 — Event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Date of Activation</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[Complete]</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Location (County / Sub-County / Ward)</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[Complete]</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Venue Name</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[Complete]</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Type of Event</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[Complete]</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Organizing Party (CEKA / Partner / Joint)</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[Complete]</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Name of Report Submitter</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[Complete]</w:t>
            </w:r>
          </w:p>
        </w:tc>
      </w:tr>
    </w:tbl>
    <w:p>
      <w:pPr>
        <w:spacing w:before="0" w:after="12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Section 2 — Quantitative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20"/>
        <w:gridCol w:w="1620"/>
        <w:gridCol w:w="3240"/>
      </w:tblGrid>
      <w:tr>
        <w:tc>
          <w:tcPr>
            <w:tcW w:type="dxa" w:w="288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Metric</w:t>
            </w:r>
          </w:p>
        </w:tc>
        <w:tc>
          <w:tcPr>
            <w:tcW w:type="dxa" w:w="162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Male</w:t>
            </w:r>
          </w:p>
        </w:tc>
        <w:tc>
          <w:tcPr>
            <w:tcW w:type="dxa" w:w="162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Female</w:t>
            </w:r>
          </w:p>
        </w:tc>
        <w:tc>
          <w:tcPr>
            <w:tcW w:type="dxa" w:w="324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Total / Notes</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Total participants attended</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[F]</w:t>
            </w:r>
          </w:p>
        </w:tc>
        <w:tc>
          <w:tcPr>
            <w:tcW w:type="dxa" w:w="32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[Total]</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Youth participants (18–35 years)</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[F]</w:t>
            </w:r>
          </w:p>
        </w:tc>
        <w:tc>
          <w:tcPr>
            <w:tcW w:type="dxa" w:w="32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[Total]</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Nasaka IEBC demonstrated to participants</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[F]</w:t>
            </w:r>
          </w:p>
        </w:tc>
        <w:tc>
          <w:tcPr>
            <w:tcW w:type="dxa" w:w="32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[Total]</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Participants who accessed Nasaka IEBC independently</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[F]</w:t>
            </w:r>
          </w:p>
        </w:tc>
        <w:tc>
          <w:tcPr>
            <w:tcW w:type="dxa" w:w="32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[Total]</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Feedback forms collected</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[F]</w:t>
            </w:r>
          </w:p>
        </w:tc>
        <w:tc>
          <w:tcPr>
            <w:tcW w:type="dxa" w:w="32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[Total]</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Participants expressing interest in follow-up</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[M]</w:t>
            </w:r>
          </w:p>
        </w:tc>
        <w:tc>
          <w:tcPr>
            <w:tcW w:type="dxa" w:w="162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[F]</w:t>
            </w:r>
          </w:p>
        </w:tc>
        <w:tc>
          <w:tcPr>
            <w:tcW w:type="dxa" w:w="324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b/>
                <w:bCs/>
                <w:color w:val="8B0000"/>
                <w:sz w:val="22"/>
                <w:szCs w:val="22"/>
                <w:highlight w:val="yellow"/>
                <w:highlightCs w:val="yellow"/>
              </w:rPr>
              <w:t xml:space="preserve">[Total]</w:t>
            </w:r>
          </w:p>
        </w:tc>
      </w:tr>
    </w:tbl>
    <w:p>
      <w:pPr>
        <w:spacing w:before="0" w:after="12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Section 3 — Qualitative Feedback</w:t>
      </w:r>
    </w:p>
    <w:p>
      <w:pPr>
        <w:spacing w:before="80" w:after="80"/>
      </w:pPr>
      <w:r>
        <w:rPr>
          <w:rFonts w:ascii="Arial" w:cs="Arial" w:eastAsia="Arial" w:hAnsi="Arial"/>
          <w:b/>
          <w:bCs/>
          <w:color w:val="1C1C1C"/>
          <w:sz w:val="22"/>
          <w:szCs w:val="22"/>
        </w:rPr>
        <w:t xml:space="preserve">What were the most common questions or points of confusion participants had about Nasaka IEBC or voter registration?</w:t>
      </w:r>
    </w:p>
    <w:p>
      <w:pPr>
        <w:spacing w:before="80" w:after="80"/>
      </w:pPr>
      <w:r>
        <w:rPr>
          <w:rFonts w:ascii="Arial" w:cs="Arial" w:eastAsia="Arial" w:hAnsi="Arial"/>
          <w:b/>
          <w:bCs/>
          <w:color w:val="8B0000"/>
          <w:sz w:val="22"/>
          <w:szCs w:val="22"/>
          <w:highlight w:val="yellow"/>
          <w:highlightCs w:val="yellow"/>
        </w:rPr>
        <w:t xml:space="preserve">[Response]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What specific usability issues, bugs, or errors did participants encounter on the platform?</w:t>
      </w:r>
    </w:p>
    <w:p>
      <w:pPr>
        <w:spacing w:before="80" w:after="80"/>
      </w:pPr>
      <w:r>
        <w:rPr>
          <w:rFonts w:ascii="Arial" w:cs="Arial" w:eastAsia="Arial" w:hAnsi="Arial"/>
          <w:b/>
          <w:bCs/>
          <w:color w:val="8B0000"/>
          <w:sz w:val="22"/>
          <w:szCs w:val="22"/>
          <w:highlight w:val="yellow"/>
          <w:highlightCs w:val="yellow"/>
        </w:rPr>
        <w:t xml:space="preserve">[Response]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What features or information were participants looking for that the platform does not currently provide?</w:t>
      </w:r>
    </w:p>
    <w:p>
      <w:pPr>
        <w:spacing w:before="80" w:after="80"/>
      </w:pPr>
      <w:r>
        <w:rPr>
          <w:rFonts w:ascii="Arial" w:cs="Arial" w:eastAsia="Arial" w:hAnsi="Arial"/>
          <w:b/>
          <w:bCs/>
          <w:color w:val="8B0000"/>
          <w:sz w:val="22"/>
          <w:szCs w:val="22"/>
          <w:highlight w:val="yellow"/>
          <w:highlightCs w:val="yellow"/>
        </w:rPr>
        <w:t xml:space="preserve">[Response]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What were the main connectivity or access barriers encountered at this location?</w:t>
      </w:r>
    </w:p>
    <w:p>
      <w:pPr>
        <w:spacing w:before="80" w:after="80"/>
      </w:pPr>
      <w:r>
        <w:rPr>
          <w:rFonts w:ascii="Arial" w:cs="Arial" w:eastAsia="Arial" w:hAnsi="Arial"/>
          <w:b/>
          <w:bCs/>
          <w:color w:val="8B0000"/>
          <w:sz w:val="22"/>
          <w:szCs w:val="22"/>
          <w:highlight w:val="yellow"/>
          <w:highlightCs w:val="yellow"/>
        </w:rPr>
        <w:t xml:space="preserve">[Response]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What positive experiences or success stories can be shared from this activation?</w:t>
      </w:r>
    </w:p>
    <w:p>
      <w:pPr>
        <w:spacing w:before="80" w:after="80"/>
      </w:pPr>
      <w:r>
        <w:rPr>
          <w:rFonts w:ascii="Arial" w:cs="Arial" w:eastAsia="Arial" w:hAnsi="Arial"/>
          <w:b/>
          <w:bCs/>
          <w:color w:val="8B0000"/>
          <w:sz w:val="22"/>
          <w:szCs w:val="22"/>
          <w:highlight w:val="yellow"/>
          <w:highlightCs w:val="yellow"/>
        </w:rPr>
        <w:t xml:space="preserve">[Response]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Any safety, safeguarding, or ethical concerns to flag?</w:t>
      </w:r>
    </w:p>
    <w:p>
      <w:pPr>
        <w:spacing w:before="80" w:after="80"/>
      </w:pPr>
      <w:r>
        <w:rPr>
          <w:rFonts w:ascii="Arial" w:cs="Arial" w:eastAsia="Arial" w:hAnsi="Arial"/>
          <w:b/>
          <w:bCs/>
          <w:color w:val="8B0000"/>
          <w:sz w:val="22"/>
          <w:szCs w:val="22"/>
          <w:highlight w:val="yellow"/>
          <w:highlightCs w:val="yellow"/>
        </w:rPr>
        <w:t xml:space="preserve">[Response]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Recommendations for improving future activations at this location or with this community?</w:t>
      </w:r>
    </w:p>
    <w:p>
      <w:pPr>
        <w:spacing w:before="80" w:after="80"/>
      </w:pPr>
      <w:r>
        <w:rPr>
          <w:rFonts w:ascii="Arial" w:cs="Arial" w:eastAsia="Arial" w:hAnsi="Arial"/>
          <w:b/>
          <w:bCs/>
          <w:color w:val="8B0000"/>
          <w:sz w:val="22"/>
          <w:szCs w:val="22"/>
          <w:highlight w:val="yellow"/>
          <w:highlightCs w:val="yellow"/>
        </w:rPr>
        <w:t xml:space="preserve">[Response]</w:t>
      </w:r>
    </w:p>
    <w:p>
      <w:pPr>
        <w:spacing w:before="0" w:after="120"/>
      </w:pPr>
      <w:r>
        <w:rPr>
          <w:rFonts w:ascii="Arial" w:cs="Arial" w:eastAsia="Arial" w:hAnsi="Arial"/>
          <w:sz w:val="22"/>
          <w:szCs w:val="22"/>
        </w:rPr>
        <w:t xml:space="preserve"/>
      </w:r>
    </w:p>
    <w:p>
      <w:pPr>
        <w:spacing w:before="80" w:after="80"/>
      </w:pPr>
      <w:r>
        <w:rPr>
          <w:rFonts w:ascii="Arial" w:cs="Arial" w:eastAsia="Arial" w:hAnsi="Arial"/>
          <w:b/>
          <w:bCs/>
          <w:color w:val="1C1C1C"/>
          <w:sz w:val="22"/>
          <w:szCs w:val="22"/>
        </w:rPr>
        <w:t xml:space="preserve">Other observations relevant to CEKA or Partner operations:</w:t>
      </w:r>
    </w:p>
    <w:p>
      <w:pPr>
        <w:spacing w:before="80" w:after="80"/>
      </w:pPr>
      <w:r>
        <w:rPr>
          <w:rFonts w:ascii="Arial" w:cs="Arial" w:eastAsia="Arial" w:hAnsi="Arial"/>
          <w:b/>
          <w:bCs/>
          <w:color w:val="8B0000"/>
          <w:sz w:val="22"/>
          <w:szCs w:val="22"/>
          <w:highlight w:val="yellow"/>
          <w:highlightCs w:val="yellow"/>
        </w:rPr>
        <w:t xml:space="preserve">[Response]</w:t>
      </w:r>
    </w:p>
    <w:p>
      <w:pPr>
        <w:spacing w:before="0" w:after="12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Section 4 — Media and Documentation</w:t>
      </w:r>
    </w:p>
    <w:p>
      <w:pPr>
        <w:spacing w:before="80" w:after="80"/>
      </w:pPr>
      <w:r>
        <w:rPr>
          <w:rFonts w:ascii="Arial" w:cs="Arial" w:eastAsia="Arial" w:hAnsi="Arial"/>
          <w:b/>
          <w:bCs/>
          <w:color w:val="1C1C1C"/>
          <w:sz w:val="22"/>
          <w:szCs w:val="22"/>
        </w:rPr>
        <w:t xml:space="preserve">Photos / Videos Taken: </w:t>
      </w:r>
      <w:r>
        <w:rPr>
          <w:rFonts w:ascii="Arial" w:cs="Arial" w:eastAsia="Arial" w:hAnsi="Arial"/>
          <w:b/>
          <w:bCs/>
          <w:color w:val="8B0000"/>
          <w:sz w:val="22"/>
          <w:szCs w:val="22"/>
          <w:highlight w:val="yellow"/>
          <w:highlightCs w:val="yellow"/>
        </w:rPr>
        <w:t xml:space="preserve">[Yes / No — attach consent-compliant media or share secure link]</w:t>
      </w:r>
    </w:p>
    <w:p>
      <w:pPr>
        <w:spacing w:before="80" w:after="80"/>
      </w:pPr>
      <w:r>
        <w:rPr>
          <w:rFonts w:ascii="Arial" w:cs="Arial" w:eastAsia="Arial" w:hAnsi="Arial"/>
          <w:b/>
          <w:bCs/>
          <w:color w:val="1C1C1C"/>
          <w:sz w:val="22"/>
          <w:szCs w:val="22"/>
        </w:rPr>
        <w:t xml:space="preserve">Consent Obtained for All Media: </w:t>
      </w:r>
      <w:r>
        <w:rPr>
          <w:rFonts w:ascii="Arial" w:cs="Arial" w:eastAsia="Arial" w:hAnsi="Arial"/>
          <w:b/>
          <w:bCs/>
          <w:color w:val="8B0000"/>
          <w:sz w:val="22"/>
          <w:szCs w:val="22"/>
          <w:highlight w:val="yellow"/>
          <w:highlightCs w:val="yellow"/>
        </w:rPr>
        <w:t xml:space="preserve">[Yes / No — if No, explain]</w:t>
      </w:r>
    </w:p>
    <w:p>
      <w:pPr>
        <w:spacing w:before="80" w:after="80"/>
      </w:pPr>
      <w:r>
        <w:rPr>
          <w:rFonts w:ascii="Arial" w:cs="Arial" w:eastAsia="Arial" w:hAnsi="Arial"/>
          <w:b/>
          <w:bCs/>
          <w:color w:val="1C1C1C"/>
          <w:sz w:val="22"/>
          <w:szCs w:val="22"/>
        </w:rPr>
        <w:t xml:space="preserve">Field Team Lead Signature: </w:t>
      </w:r>
      <w:r>
        <w:rPr>
          <w:rFonts w:ascii="Arial" w:cs="Arial" w:eastAsia="Arial" w:hAnsi="Arial"/>
          <w:color w:val="1C1C1C"/>
          <w:sz w:val="22"/>
          <w:szCs w:val="22"/>
        </w:rPr>
        <w:t xml:space="preserve">________________________________________</w:t>
      </w:r>
    </w:p>
    <w:p>
      <w:pPr>
        <w:spacing w:before="80" w:after="80"/>
      </w:pPr>
      <w:r>
        <w:rPr>
          <w:rFonts w:ascii="Arial" w:cs="Arial" w:eastAsia="Arial" w:hAnsi="Arial"/>
          <w:b/>
          <w:bCs/>
          <w:color w:val="1C1C1C"/>
          <w:sz w:val="22"/>
          <w:szCs w:val="22"/>
        </w:rPr>
        <w:t xml:space="preserve">Date of Submission: </w:t>
      </w:r>
      <w:r>
        <w:rPr>
          <w:rFonts w:ascii="Arial" w:cs="Arial" w:eastAsia="Arial" w:hAnsi="Arial"/>
          <w:color w:val="1C1C1C"/>
          <w:sz w:val="22"/>
          <w:szCs w:val="22"/>
        </w:rPr>
        <w:t xml:space="preserve">________________________________________</w:t>
      </w:r>
    </w:p>
    <w:p>
      <w:pPr>
        <w:pBdr>
          <w:bottom w:val="single" w:color="D4A017" w:sz="4"/>
        </w:pBdr>
        <w:spacing w:before="120" w:after="120"/>
      </w:pPr>
      <w:r>
        <w:rPr>
          <w:rFonts w:ascii="Arial" w:cs="Arial" w:eastAsia="Arial" w:hAnsi="Arial"/>
        </w:rPr>
        <w:t xml:space="preserve"/>
      </w:r>
    </w:p>
    <w:p>
      <w:pPr>
        <w:pStyle w:val="Heading2"/>
        <w:pBdr>
          <w:bottom w:val="single" w:color="1A6E3C" w:sz="4"/>
        </w:pBdr>
        <w:spacing w:before="240" w:after="120"/>
      </w:pPr>
      <w:r>
        <w:rPr>
          <w:rFonts w:ascii="Arial" w:cs="Arial" w:eastAsia="Arial" w:hAnsi="Arial"/>
          <w:b/>
          <w:bCs/>
          <w:color w:val="1A6E3C"/>
          <w:sz w:val="28"/>
          <w:szCs w:val="28"/>
        </w:rPr>
        <w:t xml:space="preserve">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Reference Number</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CEKA-[PARTNER]-MOU-[YEAR]-[SEQUENCE]</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Version</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2.0 — Master Template (Execution Ready)</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Prepared by</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Civic Education Kenya (CEKA)</w:t>
            </w:r>
          </w:p>
        </w:tc>
      </w:tr>
      <w:tr>
        <w:tc>
          <w:tcPr>
            <w:tcW w:type="dxa" w:w="288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Status</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Template — Complete prior fields before execution</w:t>
            </w:r>
          </w:p>
        </w:tc>
      </w:tr>
      <w:tr>
        <w:tc>
          <w:tcPr>
            <w:tcW w:type="dxa" w:w="288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spacing w:before="80" w:after="80"/>
            </w:pPr>
            <w:r>
              <w:rPr>
                <w:rFonts w:ascii="Arial" w:cs="Arial" w:eastAsia="Arial" w:hAnsi="Arial"/>
                <w:b/>
                <w:bCs/>
                <w:color w:val="1C1C1C"/>
                <w:sz w:val="22"/>
                <w:szCs w:val="22"/>
              </w:rPr>
              <w:t xml:space="preserve">Next Review Date</w:t>
            </w:r>
          </w:p>
        </w:tc>
        <w:tc>
          <w:tcPr>
            <w:tcW w:type="dxa" w:w="64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[To be set 6 months after signature]</w:t>
            </w:r>
          </w:p>
        </w:tc>
      </w:tr>
    </w:tbl>
    <w:p>
      <w:pPr>
        <w:spacing w:before="0" w:after="240"/>
      </w:pPr>
      <w:r>
        <w:rPr>
          <w:rFonts w:ascii="Arial" w:cs="Arial" w:eastAsia="Arial" w:hAnsi="Arial"/>
          <w:sz w:val="22"/>
          <w:szCs w:val="22"/>
        </w:rPr>
        <w:t xml:space="preserve"/>
      </w:r>
    </w:p>
    <w:p>
      <w:pPr>
        <w:pStyle w:val="Heading3"/>
        <w:spacing w:before="180" w:after="80"/>
      </w:pPr>
      <w:r>
        <w:rPr>
          <w:rFonts w:ascii="Arial" w:cs="Arial" w:eastAsia="Arial" w:hAnsi="Arial"/>
          <w:b/>
          <w:bCs/>
          <w:color w:val="5A5A5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60"/>
        <w:gridCol w:w="1620"/>
        <w:gridCol w:w="3960"/>
        <w:gridCol w:w="1620"/>
      </w:tblGrid>
      <w:tr>
        <w:tc>
          <w:tcPr>
            <w:tcW w:type="dxa" w:w="90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Version</w:t>
            </w:r>
          </w:p>
        </w:tc>
        <w:tc>
          <w:tcPr>
            <w:tcW w:type="dxa" w:w="126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Date</w:t>
            </w:r>
          </w:p>
        </w:tc>
        <w:tc>
          <w:tcPr>
            <w:tcW w:type="dxa" w:w="162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Author</w:t>
            </w:r>
          </w:p>
        </w:tc>
        <w:tc>
          <w:tcPr>
            <w:tcW w:type="dxa" w:w="396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Summary of Changes</w:t>
            </w:r>
          </w:p>
        </w:tc>
        <w:tc>
          <w:tcPr>
            <w:tcW w:type="dxa" w:w="1620"/>
            <w:tcBorders>
              <w:top w:val="single" w:color="CCCCCC" w:sz="1"/>
              <w:left w:val="single" w:color="CCCCCC" w:sz="1"/>
              <w:bottom w:val="single" w:color="CCCCCC" w:sz="1"/>
              <w:right w:val="single" w:color="CCCCCC" w:sz="1"/>
            </w:tcBorders>
            <w:shd w:fill="1A6E3C" w:val="clear"/>
            <w:tcMar>
              <w:top w:type="dxa" w:w="80"/>
              <w:left w:type="dxa" w:w="120"/>
              <w:bottom w:type="dxa" w:w="80"/>
              <w:right w:type="dxa" w:w="120"/>
            </w:tcMar>
          </w:tcPr>
          <w:p>
            <w:pPr>
              <w:spacing w:before="80" w:after="80"/>
            </w:pPr>
            <w:r>
              <w:rPr>
                <w:rFonts w:ascii="Arial" w:cs="Arial" w:eastAsia="Arial" w:hAnsi="Arial"/>
                <w:b/>
                <w:bCs/>
                <w:color w:val="FFFFFF"/>
                <w:sz w:val="22"/>
                <w:szCs w:val="22"/>
              </w:rPr>
              <w:t xml:space="preserve">Status</w:t>
            </w:r>
          </w:p>
        </w:tc>
      </w:tr>
      <w:tr>
        <w:tc>
          <w:tcPr>
            <w:tcW w:type="dxa" w:w="90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1.0</w:t>
            </w:r>
          </w:p>
        </w:tc>
        <w:tc>
          <w:tcPr>
            <w:tcW w:type="dxa" w:w="126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[Date]</w:t>
            </w:r>
          </w:p>
        </w:tc>
        <w:tc>
          <w:tcPr>
            <w:tcW w:type="dxa" w:w="162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CEKA</w:t>
            </w:r>
          </w:p>
        </w:tc>
        <w:tc>
          <w:tcPr>
            <w:tcW w:type="dxa" w:w="396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Initial draft prepared</w:t>
            </w:r>
          </w:p>
        </w:tc>
        <w:tc>
          <w:tcPr>
            <w:tcW w:type="dxa" w:w="162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Draft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1.1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[Date]</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[Partner]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Partner review &amp; comments incorporated</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Draft</w:t>
            </w:r>
          </w:p>
        </w:tc>
      </w:tr>
      <w:tr>
        <w:tc>
          <w:tcPr>
            <w:tcW w:type="dxa" w:w="90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2.0</w:t>
            </w:r>
          </w:p>
        </w:tc>
        <w:tc>
          <w:tcPr>
            <w:tcW w:type="dxa" w:w="126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[Date]</w:t>
            </w:r>
          </w:p>
        </w:tc>
        <w:tc>
          <w:tcPr>
            <w:tcW w:type="dxa" w:w="162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Joint</w:t>
            </w:r>
          </w:p>
        </w:tc>
        <w:tc>
          <w:tcPr>
            <w:tcW w:type="dxa" w:w="396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Final agreed version for signature</w:t>
            </w:r>
          </w:p>
        </w:tc>
        <w:tc>
          <w:tcPr>
            <w:tcW w:type="dxa" w:w="1620"/>
            <w:tcBorders>
              <w:top w:val="single" w:color="CCCCCC" w:sz="1"/>
              <w:left w:val="single" w:color="CCCCCC" w:sz="1"/>
              <w:bottom w:val="single" w:color="CCCCCC" w:sz="1"/>
              <w:right w:val="single" w:color="CCCCCC" w:sz="1"/>
            </w:tcBorders>
            <w:shd w:fill="F7FAF8" w:val="clear"/>
            <w:tcMar>
              <w:top w:type="dxa" w:w="60"/>
              <w:left w:type="dxa" w:w="120"/>
              <w:bottom w:type="dxa" w:w="60"/>
              <w:right w:type="dxa" w:w="120"/>
            </w:tcMar>
          </w:tcPr>
          <w:p>
            <w:pPr>
              <w:spacing w:before="80" w:after="80"/>
            </w:pPr>
            <w:r>
              <w:rPr>
                <w:rFonts w:ascii="Arial" w:cs="Arial" w:eastAsia="Arial" w:hAnsi="Arial"/>
                <w:color w:val="1C1C1C"/>
                <w:sz w:val="22"/>
                <w:szCs w:val="22"/>
              </w:rPr>
              <w:t xml:space="preserve">Execution</w:t>
            </w:r>
          </w:p>
        </w:tc>
      </w:tr>
    </w:tbl>
    <w:p>
      <w:pPr>
        <w:spacing w:before="0" w:after="2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6"/>
              <w:left w:val="single" w:color="1A6E3C" w:sz="6"/>
              <w:bottom w:val="single" w:color="1A6E3C" w:sz="6"/>
              <w:right w:val="single" w:color="1A6E3C" w:sz="6"/>
            </w:tcBorders>
            <w:shd w:fill="E8F5EE" w:val="clear"/>
            <w:tcMar>
              <w:top w:type="dxa" w:w="120"/>
              <w:left w:type="dxa" w:w="180"/>
              <w:bottom w:type="dxa" w:w="120"/>
              <w:right w:type="dxa" w:w="180"/>
            </w:tcMar>
          </w:tcPr>
          <w:p>
            <w:pPr>
              <w:spacing w:before="80" w:after="80"/>
              <w:jc w:val="center"/>
            </w:pPr>
            <w:r>
              <w:rPr>
                <w:rFonts w:ascii="Arial" w:cs="Arial" w:eastAsia="Arial" w:hAnsi="Arial"/>
                <w:i/>
                <w:iCs/>
                <w:color w:val="1A6E3C"/>
                <w:sz w:val="22"/>
                <w:szCs w:val="22"/>
              </w:rPr>
              <w:t xml:space="preserve">This Memorandum of Understanding template reflects the collaborative spirit and shared commitment of Civic Education Kenya to build open, transparent, and accessible civic infrastructure across Kenya. CEKA enters every partnership with optimism, mutual respect, and dedication to the civic transformation of Kenya — one community, one voter, one conversation at a time.</w:t>
            </w:r>
          </w:p>
          <w:p>
            <w:pPr>
              <w:spacing w:before="80" w:after="80"/>
              <w:jc w:val="center"/>
            </w:pPr>
            <w:r>
              <w:rPr>
                <w:rFonts w:ascii="Arial" w:cs="Arial" w:eastAsia="Arial" w:hAnsi="Arial"/>
                <w:color w:val="5A5A5A"/>
                <w:sz w:val="20"/>
                <w:szCs w:val="20"/>
              </w:rPr>
              <w:t xml:space="preserve">civiceducationkenya.com  |  civiceducationkenya@gmail.com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E3C" w:sz="4"/>
      </w:pBdr>
      <w:spacing w:before="80"/>
    </w:pPr>
    <w:r>
      <w:rPr>
        <w:rFonts w:ascii="Arial" w:cs="Arial" w:eastAsia="Arial" w:hAnsi="Arial"/>
        <w:color w:val="5A5A5A"/>
        <w:sz w:val="18"/>
        <w:szCs w:val="18"/>
      </w:rPr>
      <w:t xml:space="preserve">CEKA MoU Template  |  Version 2.0  |  </w:t>
    </w:r>
    <w:r>
      <w:rPr>
        <w:rFonts w:ascii="Arial" w:cs="Arial" w:eastAsia="Arial" w:hAnsi="Arial"/>
        <w:color w:val="1A6E3C"/>
        <w:sz w:val="18"/>
        <w:szCs w:val="18"/>
        <w:u w:val="single"/>
      </w:rPr>
      <w:t xml:space="preserve">civiceducationkenya.com</w:t>
    </w:r>
    <w:r>
      <w:rPr>
        <w:rFonts w:ascii="Arial" w:cs="Arial" w:eastAsia="Arial" w:hAnsi="Arial"/>
        <w:color w:val="5A5A5A"/>
        <w:sz w:val="18"/>
        <w:szCs w:val="18"/>
      </w:rPr>
      <w:t xml:space="preserv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E3C" w:sz="4"/>
      </w:pBdr>
      <w:spacing w:after="80"/>
    </w:pPr>
    <w:r>
      <w:rPr>
        <w:rFonts w:ascii="Arial" w:cs="Arial" w:eastAsia="Arial" w:hAnsi="Arial"/>
        <w:b/>
        <w:bCs/>
        <w:color w:val="1A6E3C"/>
        <w:sz w:val="18"/>
        <w:szCs w:val="18"/>
      </w:rPr>
      <w:t xml:space="preserve">CIVIC EDUCATION KENYA (CEKA)</w:t>
    </w:r>
    <w:r>
      <w:rPr>
        <w:rFonts w:ascii="Arial" w:cs="Arial" w:eastAsia="Arial" w:hAnsi="Arial"/>
        <w:color w:val="5A5A5A"/>
        <w:sz w:val="18"/>
        <w:szCs w:val="18"/>
      </w:rPr>
      <w:t xml:space="preserve">  |  Memorandum of Understanding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6E3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2026-02-19T17:46:35.298Z</dcterms:created>
  <dcterms:modified xsi:type="dcterms:W3CDTF">2026-02-19T17:46:35.299Z</dcterms:modified>
</cp:coreProperties>
</file>

<file path=docProps/custom.xml><?xml version="1.0" encoding="utf-8"?>
<Properties xmlns="http://schemas.openxmlformats.org/officeDocument/2006/custom-properties" xmlns:vt="http://schemas.openxmlformats.org/officeDocument/2006/docPropsVTypes"/>
</file>