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pPr>
      <w:r>
        <w:rPr>
          <w:rFonts w:ascii="Arial" w:cs="Arial" w:eastAsia="Arial" w:hAnsi="Arial"/>
          <w:b/>
          <w:bCs/>
          <w:color w:val="BB0301"/>
          <w:sz w:val="80"/>
          <w:szCs w:val="80"/>
        </w:rPr>
        <w:t xml:space="preserve">NASAKA IEBC</w:t>
      </w:r>
    </w:p>
    <w:p>
      <w:pPr>
        <w:spacing w:after="60" w:before="0"/>
      </w:pPr>
      <w:r>
        <w:rPr>
          <w:rFonts w:ascii="Arial" w:cs="Arial" w:eastAsia="Arial" w:hAnsi="Arial"/>
          <w:i/>
          <w:iCs/>
          <w:color w:val="0A2540"/>
          <w:sz w:val="32"/>
          <w:szCs w:val="32"/>
        </w:rPr>
        <w:t xml:space="preserve">Kenya Voter Registration Centre Intelligence Platform</w:t>
      </w:r>
    </w:p>
    <w:p>
      <w:pPr>
        <w:spacing w:after="60" w:before="0"/>
      </w:pPr>
      <w:r>
        <w:rPr>
          <w:rFonts w:ascii="Arial" w:cs="Arial" w:eastAsia="Arial" w:hAnsi="Arial"/>
          <w:color w:val="555555"/>
          <w:sz w:val="24"/>
          <w:szCs w:val="24"/>
        </w:rPr>
        <w:t xml:space="preserve">A Project of Civic Education Kenya (CEKA)</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00"/>
        <w:gridCol w:w="60"/>
        <w:gridCol w:w="2300"/>
        <w:gridCol w:w="60"/>
        <w:gridCol w:w="2300"/>
        <w:gridCol w:w="60"/>
        <w:gridCol w:w="2340"/>
      </w:tblGrid>
      <w:tr>
        <w:tc>
          <w:tcPr>
            <w:tcW w:type="dxa" w:w="2300"/>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jc w:val="center"/>
            </w:pPr>
            <w:r>
              <w:rPr>
                <w:rFonts w:ascii="Arial" w:cs="Arial" w:eastAsia="Arial" w:hAnsi="Arial"/>
                <w:b/>
                <w:bCs/>
                <w:color w:val="BB0301"/>
                <w:sz w:val="48"/>
                <w:szCs w:val="48"/>
              </w:rPr>
              <w:t xml:space="preserve">24,000+</w:t>
            </w:r>
          </w:p>
          <w:p>
            <w:pPr>
              <w:jc w:val="center"/>
            </w:pPr>
            <w:r>
              <w:rPr>
                <w:rFonts w:ascii="Arial" w:cs="Arial" w:eastAsia="Arial" w:hAnsi="Arial"/>
                <w:b/>
                <w:bCs/>
                <w:color w:val="141414"/>
                <w:sz w:val="20"/>
                <w:szCs w:val="20"/>
              </w:rPr>
              <w:t xml:space="preserve">Voter Registration Centres</w:t>
            </w:r>
          </w:p>
          <w:p>
            <w:pPr>
              <w:jc w:val="center"/>
            </w:pPr>
            <w:r>
              <w:rPr>
                <w:rFonts w:ascii="Arial" w:cs="Arial" w:eastAsia="Arial" w:hAnsi="Arial"/>
                <w:i/>
                <w:iCs/>
                <w:color w:val="555555"/>
                <w:sz w:val="18"/>
                <w:szCs w:val="18"/>
              </w:rPr>
              <w:t xml:space="preserve">IEBC-sourced</w:t>
            </w:r>
          </w:p>
        </w:tc>
        <w:tc>
          <w:tcPr>
            <w:tcW w:type="dxa" w:w="60"/>
            <w:tcBorders>
              <w:top w:val="none" w:color="FFFFFF" w:sz="0"/>
              <w:left w:val="none" w:color="FFFFFF" w:sz="0"/>
              <w:bottom w:val="none" w:color="FFFFFF" w:sz="0"/>
              <w:right w:val="none" w:color="FFFFFF" w:sz="0"/>
            </w:tcBorders>
            <w:shd w:fill="FFFFFF" w:val="clear"/>
          </w:tcPr>
          <w:p>
            <w:r>
              <w:t xml:space="preserve"/>
            </w:r>
          </w:p>
        </w:tc>
        <w:tc>
          <w:tcPr>
            <w:tcW w:type="dxa" w:w="2300"/>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jc w:val="center"/>
            </w:pPr>
            <w:r>
              <w:rPr>
                <w:rFonts w:ascii="Arial" w:cs="Arial" w:eastAsia="Arial" w:hAnsi="Arial"/>
                <w:b/>
                <w:bCs/>
                <w:color w:val="BB0301"/>
                <w:sz w:val="48"/>
                <w:szCs w:val="48"/>
              </w:rPr>
              <w:t xml:space="preserve">v10+</w:t>
            </w:r>
          </w:p>
          <w:p>
            <w:pPr>
              <w:jc w:val="center"/>
            </w:pPr>
            <w:r>
              <w:rPr>
                <w:rFonts w:ascii="Arial" w:cs="Arial" w:eastAsia="Arial" w:hAnsi="Arial"/>
                <w:b/>
                <w:bCs/>
                <w:color w:val="141414"/>
                <w:sz w:val="20"/>
                <w:szCs w:val="20"/>
              </w:rPr>
              <w:t xml:space="preserve">Pipeline Versions</w:t>
            </w:r>
          </w:p>
          <w:p>
            <w:pPr>
              <w:jc w:val="center"/>
            </w:pPr>
            <w:r>
              <w:rPr>
                <w:rFonts w:ascii="Arial" w:cs="Arial" w:eastAsia="Arial" w:hAnsi="Arial"/>
                <w:i/>
                <w:iCs/>
                <w:color w:val="555555"/>
                <w:sz w:val="18"/>
                <w:szCs w:val="18"/>
              </w:rPr>
              <w:t xml:space="preserve">iterative builds</w:t>
            </w:r>
          </w:p>
        </w:tc>
        <w:tc>
          <w:tcPr>
            <w:tcW w:type="dxa" w:w="60"/>
            <w:tcBorders>
              <w:top w:val="none" w:color="FFFFFF" w:sz="0"/>
              <w:left w:val="none" w:color="FFFFFF" w:sz="0"/>
              <w:bottom w:val="none" w:color="FFFFFF" w:sz="0"/>
              <w:right w:val="none" w:color="FFFFFF" w:sz="0"/>
            </w:tcBorders>
            <w:shd w:fill="FFFFFF" w:val="clear"/>
          </w:tcPr>
          <w:p>
            <w:r>
              <w:t xml:space="preserve"/>
            </w:r>
          </w:p>
        </w:tc>
        <w:tc>
          <w:tcPr>
            <w:tcW w:type="dxa" w:w="2300"/>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jc w:val="center"/>
            </w:pPr>
            <w:r>
              <w:rPr>
                <w:rFonts w:ascii="Arial" w:cs="Arial" w:eastAsia="Arial" w:hAnsi="Arial"/>
                <w:b/>
                <w:bCs/>
                <w:color w:val="BB0301"/>
                <w:sz w:val="48"/>
                <w:szCs w:val="48"/>
              </w:rPr>
              <w:t xml:space="preserve">Multi</w:t>
            </w:r>
          </w:p>
          <w:p>
            <w:pPr>
              <w:jc w:val="center"/>
            </w:pPr>
            <w:r>
              <w:rPr>
                <w:rFonts w:ascii="Arial" w:cs="Arial" w:eastAsia="Arial" w:hAnsi="Arial"/>
                <w:b/>
                <w:bCs/>
                <w:color w:val="141414"/>
                <w:sz w:val="20"/>
                <w:szCs w:val="20"/>
              </w:rPr>
              <w:t xml:space="preserve">Geocoding Providers</w:t>
            </w:r>
          </w:p>
          <w:p>
            <w:pPr>
              <w:jc w:val="center"/>
            </w:pPr>
            <w:r>
              <w:rPr>
                <w:rFonts w:ascii="Arial" w:cs="Arial" w:eastAsia="Arial" w:hAnsi="Arial"/>
                <w:i/>
                <w:iCs/>
                <w:color w:val="555555"/>
                <w:sz w:val="18"/>
                <w:szCs w:val="18"/>
              </w:rPr>
              <w:t xml:space="preserve">with cascade fallback</w:t>
            </w:r>
          </w:p>
        </w:tc>
        <w:tc>
          <w:tcPr>
            <w:tcW w:type="dxa" w:w="60"/>
            <w:tcBorders>
              <w:top w:val="none" w:color="FFFFFF" w:sz="0"/>
              <w:left w:val="none" w:color="FFFFFF" w:sz="0"/>
              <w:bottom w:val="none" w:color="FFFFFF" w:sz="0"/>
              <w:right w:val="none" w:color="FFFFFF" w:sz="0"/>
            </w:tcBorders>
            <w:shd w:fill="FFFFFF" w:val="clear"/>
          </w:tcPr>
          <w:p>
            <w:r>
              <w:t xml:space="preserve"/>
            </w:r>
          </w:p>
        </w:tc>
        <w:tc>
          <w:tcPr>
            <w:tcW w:type="dxa" w:w="2300"/>
            <w:tcBorders>
              <w:top w:val="single" w:color="DDDDDD" w:sz="4"/>
              <w:left w:val="single" w:color="DDDDDD" w:sz="4"/>
              <w:bottom w:val="single" w:color="DDDDDD" w:sz="4"/>
              <w:right w:val="single" w:color="DDDDDD" w:sz="4"/>
            </w:tcBorders>
            <w:shd w:fill="F5F5F5" w:val="clear"/>
            <w:tcMar>
              <w:top w:type="dxa" w:w="160"/>
              <w:left w:type="dxa" w:w="200"/>
              <w:bottom w:type="dxa" w:w="160"/>
              <w:right w:type="dxa" w:w="200"/>
            </w:tcMar>
          </w:tcPr>
          <w:p>
            <w:pPr>
              <w:jc w:val="center"/>
            </w:pPr>
            <w:r>
              <w:rPr>
                <w:rFonts w:ascii="Arial" w:cs="Arial" w:eastAsia="Arial" w:hAnsi="Arial"/>
                <w:b/>
                <w:bCs/>
                <w:color w:val="BB0301"/>
                <w:sz w:val="48"/>
                <w:szCs w:val="48"/>
              </w:rPr>
              <w:t xml:space="preserve">Live</w:t>
            </w:r>
          </w:p>
          <w:p>
            <w:pPr>
              <w:jc w:val="center"/>
            </w:pPr>
            <w:r>
              <w:rPr>
                <w:rFonts w:ascii="Arial" w:cs="Arial" w:eastAsia="Arial" w:hAnsi="Arial"/>
                <w:b/>
                <w:bCs/>
                <w:color w:val="141414"/>
                <w:sz w:val="20"/>
                <w:szCs w:val="20"/>
              </w:rPr>
              <w:t xml:space="preserve">App Store</w:t>
            </w:r>
          </w:p>
          <w:p>
            <w:pPr>
              <w:jc w:val="center"/>
            </w:pPr>
            <w:r>
              <w:rPr>
                <w:rFonts w:ascii="Arial" w:cs="Arial" w:eastAsia="Arial" w:hAnsi="Arial"/>
                <w:i/>
                <w:iCs/>
                <w:color w:val="555555"/>
                <w:sz w:val="18"/>
                <w:szCs w:val="18"/>
              </w:rPr>
              <w:t xml:space="preserve">Google Play Store</w:t>
            </w:r>
          </w:p>
        </w:tc>
      </w:tr>
    </w:tbl>
    <w:p>
      <w:pPr>
        <w:spacing w:after="0" w:before="0"/>
      </w:pPr>
      <w:r>
        <w:t xml:space="preserve"/>
      </w:r>
    </w:p>
    <w:p>
      <w:pPr>
        <w:pBdr>
          <w:bottom w:val="single" w:color="BB0301" w:sz="6"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1. Executive Summary</w:t>
      </w:r>
    </w:p>
    <w:p>
      <w:pPr>
        <w:spacing w:after="80" w:before="60"/>
      </w:pPr>
      <w:r>
        <w:rPr>
          <w:rFonts w:ascii="Arial" w:cs="Arial" w:eastAsia="Arial" w:hAnsi="Arial"/>
          <w:color w:val="141414"/>
          <w:sz w:val="22"/>
          <w:szCs w:val="22"/>
        </w:rPr>
        <w:t xml:space="preserve">Nasaka IEBC is a voter registration centre intelligence platform built as part of Civic Education Kenya (CEKA). It produces a geocoded, publicly accessible directory of all voter registration centres operated by Kenya's Independent Electoral and Boundaries Commission (IEBC), making this data discoverable, verifiable, and available to Kenyan citizens through a mobile Android application and web interface.</w:t>
      </w:r>
    </w:p>
    <w:p>
      <w:pPr>
        <w:spacing w:after="0" w:before="0"/>
      </w:pPr>
      <w:r>
        <w:t xml:space="preserve"/>
      </w:r>
    </w:p>
    <w:p>
      <w:pPr>
        <w:spacing w:after="80" w:before="60"/>
      </w:pPr>
      <w:r>
        <w:rPr>
          <w:rFonts w:ascii="Arial" w:cs="Arial" w:eastAsia="Arial" w:hAnsi="Arial"/>
          <w:color w:val="141414"/>
          <w:sz w:val="22"/>
          <w:szCs w:val="22"/>
        </w:rPr>
        <w:t xml:space="preserve">The project addresses a critical gap in Kenya's civic information ecosystem: official IEBC registration centre data exists but is buried in a cascading dropdown web interface that is difficult for ordinary citizens to navigate, impossible to query spatially, and unavailable in machine-readable or offline formats.</w:t>
      </w:r>
    </w:p>
    <w:p>
      <w:pPr>
        <w:spacing w:after="0" w:before="0"/>
      </w:pPr>
      <w:r>
        <w:t xml:space="preserve"/>
      </w:r>
    </w:p>
    <w:p>
      <w:pPr>
        <w:spacing w:after="80" w:before="60"/>
      </w:pPr>
      <w:r>
        <w:rPr>
          <w:rFonts w:ascii="Arial" w:cs="Arial" w:eastAsia="Arial" w:hAnsi="Arial"/>
          <w:color w:val="141414"/>
          <w:sz w:val="22"/>
          <w:szCs w:val="22"/>
        </w:rPr>
        <w:t xml:space="preserve">Nasaka IEBC extracts, geocodes, corrects, versions, and publishes this data through a production pipeline — and delivers it to citizens as a searchable, offline-capable Android app. The project was built entirely solo, without a formal engineering team, by the CEKA founder.</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6602" w:val="clear"/>
          </w:tcPr>
          <w:p>
            <w:r>
              <w:t xml:space="preserve"/>
            </w:r>
          </w:p>
        </w:tc>
        <w:tc>
          <w:tcPr>
            <w:tcW w:type="dxa" w:w="9200"/>
            <w:tcBorders>
              <w:top w:val="none" w:color="FFFFFF" w:sz="0"/>
              <w:left w:val="none" w:color="FFFFFF" w:sz="0"/>
              <w:bottom w:val="none" w:color="FFFFFF" w:sz="0"/>
              <w:right w:val="single" w:color="DDDDDD" w:sz="4"/>
            </w:tcBorders>
            <w:shd w:fill="EAF4EA" w:val="clear"/>
            <w:tcMar>
              <w:top w:type="dxa" w:w="120"/>
              <w:left w:type="dxa" w:w="200"/>
              <w:bottom w:type="dxa" w:w="120"/>
              <w:right w:type="dxa" w:w="200"/>
            </w:tcMar>
          </w:tcPr>
          <w:p>
            <w:r>
              <w:rPr>
                <w:rFonts w:ascii="Arial" w:cs="Arial" w:eastAsia="Arial" w:hAnsi="Arial"/>
                <w:b/>
                <w:bCs/>
                <w:color w:val="056602"/>
                <w:sz w:val="22"/>
                <w:szCs w:val="22"/>
              </w:rPr>
              <w:t xml:space="preserve">Platform Name Origin</w:t>
            </w:r>
          </w:p>
          <w:p>
            <w:pPr>
              <w:spacing w:after="40" w:before="40"/>
            </w:pPr>
            <w:r>
              <w:rPr>
                <w:rFonts w:ascii="Arial" w:cs="Arial" w:eastAsia="Arial" w:hAnsi="Arial"/>
                <w:color w:val="141414"/>
                <w:sz w:val="21"/>
                <w:szCs w:val="21"/>
              </w:rPr>
              <w:t xml:space="preserve">'Nasaka' derives from Swahili — connoting the idea of searching, seeking, or finding.</w:t>
            </w:r>
          </w:p>
          <w:p>
            <w:pPr>
              <w:spacing w:after="40" w:before="40"/>
            </w:pPr>
            <w:r>
              <w:rPr>
                <w:rFonts w:ascii="Arial" w:cs="Arial" w:eastAsia="Arial" w:hAnsi="Arial"/>
                <w:color w:val="141414"/>
                <w:sz w:val="21"/>
                <w:szCs w:val="21"/>
              </w:rPr>
              <w:t xml:space="preserve">'IEBC' refers to Kenya's Independent Electoral and Boundaries Commission, the constitutional body responsible for conducting elections and managing voter registration.</w:t>
            </w:r>
          </w:p>
          <w:p>
            <w:pPr>
              <w:spacing w:after="40" w:before="40"/>
            </w:pPr>
            <w:r>
              <w:rPr>
                <w:rFonts w:ascii="Arial" w:cs="Arial" w:eastAsia="Arial" w:hAnsi="Arial"/>
                <w:color w:val="141414"/>
                <w:sz w:val="21"/>
                <w:szCs w:val="21"/>
              </w:rPr>
              <w:t xml:space="preserve">Together, 'Nasaka IEBC' means: Find the IEBC — locate your registration centre.</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2. Problem Statement</w:t>
      </w:r>
    </w:p>
    <w:p>
      <w:pPr>
        <w:pStyle w:val="Heading2"/>
        <w:spacing w:after="100" w:before="300"/>
      </w:pPr>
      <w:r>
        <w:rPr>
          <w:rFonts w:ascii="Arial" w:cs="Arial" w:eastAsia="Arial" w:hAnsi="Arial"/>
          <w:b/>
          <w:bCs/>
          <w:color w:val="141414"/>
          <w:sz w:val="28"/>
          <w:szCs w:val="28"/>
        </w:rPr>
        <w:t xml:space="preserve">The Civic Information Gap</w:t>
      </w:r>
    </w:p>
    <w:p>
      <w:pPr>
        <w:spacing w:after="80" w:before="60"/>
      </w:pPr>
      <w:r>
        <w:rPr>
          <w:rFonts w:ascii="Arial" w:cs="Arial" w:eastAsia="Arial" w:hAnsi="Arial"/>
          <w:color w:val="141414"/>
          <w:sz w:val="22"/>
          <w:szCs w:val="22"/>
        </w:rPr>
        <w:t xml:space="preserve">Kenya holds regular general elections with millions of registered voters. The IEBC operates a nationwide network of voter registration centres — physical locations where citizens register to vote, verify their registration status, and update their voter details. In the 2022 General Election cycle, the IEBC managed registration activities at sites across all 47 counties and 290 constituencies.</w:t>
      </w:r>
    </w:p>
    <w:p>
      <w:pPr>
        <w:spacing w:after="0" w:before="0"/>
      </w:pPr>
      <w:r>
        <w:t xml:space="preserve"/>
      </w:r>
    </w:p>
    <w:p>
      <w:pPr>
        <w:spacing w:after="80" w:before="60"/>
      </w:pPr>
      <w:r>
        <w:rPr>
          <w:rFonts w:ascii="Arial" w:cs="Arial" w:eastAsia="Arial" w:hAnsi="Arial"/>
          <w:color w:val="141414"/>
          <w:sz w:val="22"/>
          <w:szCs w:val="22"/>
        </w:rPr>
        <w:t xml:space="preserve">Despite the importance of these centres to democratic participation, the public interface through which their locations are discoverable is deeply inadequate:</w:t>
      </w:r>
    </w:p>
    <w:p>
      <w:pPr>
        <w:spacing w:after="0" w:before="0"/>
      </w:pPr>
      <w:r>
        <w:t xml:space="preserve"/>
      </w:r>
    </w:p>
    <w:p>
      <w:pPr>
        <w:pStyle w:val="ListParagraph"/>
        <w:numPr>
          <w:ilvl w:val="0"/>
          <w:numId w:val="2"/>
        </w:numPr>
        <w:spacing w:after="40" w:before="40"/>
      </w:pPr>
      <w:r>
        <w:rPr>
          <w:rFonts w:ascii="Arial" w:cs="Arial" w:eastAsia="Arial" w:hAnsi="Arial"/>
          <w:color w:val="141414"/>
          <w:sz w:val="22"/>
          <w:szCs w:val="22"/>
        </w:rPr>
        <w:t xml:space="preserve">The IEBC's official website provides centre data exclusively through a cascading dropdown interface — users must select County → Constituency → Ward in sequence to retrieve a list of centres for that ward</w:t>
      </w:r>
    </w:p>
    <w:p>
      <w:pPr>
        <w:pStyle w:val="ListParagraph"/>
        <w:numPr>
          <w:ilvl w:val="0"/>
          <w:numId w:val="2"/>
        </w:numPr>
        <w:spacing w:after="40" w:before="40"/>
      </w:pPr>
      <w:r>
        <w:rPr>
          <w:rFonts w:ascii="Arial" w:cs="Arial" w:eastAsia="Arial" w:hAnsi="Arial"/>
          <w:color w:val="141414"/>
          <w:sz w:val="22"/>
          <w:szCs w:val="22"/>
        </w:rPr>
        <w:t xml:space="preserve">No bulk export is available. There is no API, no downloadable dataset, and no map interface</w:t>
      </w:r>
    </w:p>
    <w:p>
      <w:pPr>
        <w:pStyle w:val="ListParagraph"/>
        <w:numPr>
          <w:ilvl w:val="0"/>
          <w:numId w:val="2"/>
        </w:numPr>
        <w:spacing w:after="40" w:before="40"/>
      </w:pPr>
      <w:r>
        <w:rPr>
          <w:rFonts w:ascii="Arial" w:cs="Arial" w:eastAsia="Arial" w:hAnsi="Arial"/>
          <w:color w:val="141414"/>
          <w:sz w:val="22"/>
          <w:szCs w:val="22"/>
        </w:rPr>
        <w:t xml:space="preserve">No geographic coordinates are provided — only names and administrative unit associations</w:t>
      </w:r>
    </w:p>
    <w:p>
      <w:pPr>
        <w:pStyle w:val="ListParagraph"/>
        <w:numPr>
          <w:ilvl w:val="0"/>
          <w:numId w:val="2"/>
        </w:numPr>
        <w:spacing w:after="40" w:before="40"/>
      </w:pPr>
      <w:r>
        <w:rPr>
          <w:rFonts w:ascii="Arial" w:cs="Arial" w:eastAsia="Arial" w:hAnsi="Arial"/>
          <w:color w:val="141414"/>
          <w:sz w:val="22"/>
          <w:szCs w:val="22"/>
        </w:rPr>
        <w:t xml:space="preserve">Mobile usability is poor; the interface is not optimised for the smartphones most Kenyans use to access the internet</w:t>
      </w:r>
    </w:p>
    <w:p>
      <w:pPr>
        <w:pStyle w:val="ListParagraph"/>
        <w:numPr>
          <w:ilvl w:val="0"/>
          <w:numId w:val="2"/>
        </w:numPr>
        <w:spacing w:after="40" w:before="40"/>
      </w:pPr>
      <w:r>
        <w:rPr>
          <w:rFonts w:ascii="Arial" w:cs="Arial" w:eastAsia="Arial" w:hAnsi="Arial"/>
          <w:color w:val="141414"/>
          <w:sz w:val="22"/>
          <w:szCs w:val="22"/>
        </w:rPr>
        <w:t xml:space="preserve">Citizens in rural or low-literacy areas face compounding barriers: no offline access, no search, no map</w:t>
      </w:r>
    </w:p>
    <w:p>
      <w:pPr>
        <w:pStyle w:val="ListParagraph"/>
        <w:numPr>
          <w:ilvl w:val="0"/>
          <w:numId w:val="2"/>
        </w:numPr>
        <w:spacing w:after="40" w:before="40"/>
      </w:pPr>
      <w:r>
        <w:rPr>
          <w:rFonts w:ascii="Arial" w:cs="Arial" w:eastAsia="Arial" w:hAnsi="Arial"/>
          <w:color w:val="141414"/>
          <w:sz w:val="22"/>
          <w:szCs w:val="22"/>
        </w:rPr>
        <w:t xml:space="preserve">Researchers, journalists, civic observers, and international election monitors cannot systematically analyse registration patterns without manually extracting data entry by entry</w:t>
      </w:r>
    </w:p>
    <w:p>
      <w:pPr>
        <w:spacing w:after="0" w:before="0"/>
      </w:pPr>
      <w:r>
        <w:t xml:space="preserve"/>
      </w:r>
    </w:p>
    <w:p>
      <w:pPr>
        <w:pStyle w:val="Heading2"/>
        <w:spacing w:after="100" w:before="300"/>
      </w:pPr>
      <w:r>
        <w:rPr>
          <w:rFonts w:ascii="Arial" w:cs="Arial" w:eastAsia="Arial" w:hAnsi="Arial"/>
          <w:b/>
          <w:bCs/>
          <w:color w:val="141414"/>
          <w:sz w:val="28"/>
          <w:szCs w:val="28"/>
        </w:rPr>
        <w:t xml:space="preserve">Consequences</w:t>
      </w:r>
    </w:p>
    <w:p>
      <w:pPr>
        <w:pStyle w:val="ListParagraph"/>
        <w:numPr>
          <w:ilvl w:val="0"/>
          <w:numId w:val="2"/>
        </w:numPr>
        <w:spacing w:after="40" w:before="40"/>
      </w:pPr>
      <w:r>
        <w:rPr>
          <w:rFonts w:ascii="Arial" w:cs="Arial" w:eastAsia="Arial" w:hAnsi="Arial"/>
          <w:color w:val="141414"/>
          <w:sz w:val="22"/>
          <w:szCs w:val="22"/>
        </w:rPr>
        <w:t xml:space="preserve">Citizens miss registration deadlines because they cannot easily locate their nearest centre</w:t>
      </w:r>
    </w:p>
    <w:p>
      <w:pPr>
        <w:pStyle w:val="ListParagraph"/>
        <w:numPr>
          <w:ilvl w:val="0"/>
          <w:numId w:val="2"/>
        </w:numPr>
        <w:spacing w:after="40" w:before="40"/>
      </w:pPr>
      <w:r>
        <w:rPr>
          <w:rFonts w:ascii="Arial" w:cs="Arial" w:eastAsia="Arial" w:hAnsi="Arial"/>
          <w:color w:val="141414"/>
          <w:sz w:val="22"/>
          <w:szCs w:val="22"/>
        </w:rPr>
        <w:t xml:space="preserve">Civic organisations cannot efficiently cross-reference registration centres against geographic or demographic data</w:t>
      </w:r>
    </w:p>
    <w:p>
      <w:pPr>
        <w:pStyle w:val="ListParagraph"/>
        <w:numPr>
          <w:ilvl w:val="0"/>
          <w:numId w:val="2"/>
        </w:numPr>
        <w:spacing w:after="40" w:before="40"/>
      </w:pPr>
      <w:r>
        <w:rPr>
          <w:rFonts w:ascii="Arial" w:cs="Arial" w:eastAsia="Arial" w:hAnsi="Arial"/>
          <w:color w:val="141414"/>
          <w:sz w:val="22"/>
          <w:szCs w:val="22"/>
        </w:rPr>
        <w:t xml:space="preserve">Errors in IEBC's own data — including significantly wrong geographic coordinates — persist undetected and unchallenged</w:t>
      </w:r>
    </w:p>
    <w:p>
      <w:pPr>
        <w:pStyle w:val="ListParagraph"/>
        <w:numPr>
          <w:ilvl w:val="0"/>
          <w:numId w:val="2"/>
        </w:numPr>
        <w:spacing w:after="40" w:before="40"/>
      </w:pPr>
      <w:r>
        <w:rPr>
          <w:rFonts w:ascii="Arial" w:cs="Arial" w:eastAsia="Arial" w:hAnsi="Arial"/>
          <w:color w:val="141414"/>
          <w:sz w:val="22"/>
          <w:szCs w:val="22"/>
        </w:rPr>
        <w:t xml:space="preserve">Kenya's election observation community lacks a single authoritative, machine-readable, geocoded reference dataset for registration centres</w:t>
      </w:r>
    </w:p>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3. What Nasaka IEBC Is</w:t>
      </w:r>
    </w:p>
    <w:p>
      <w:pPr>
        <w:pStyle w:val="Heading2"/>
        <w:spacing w:after="100" w:before="300"/>
      </w:pPr>
      <w:r>
        <w:rPr>
          <w:rFonts w:ascii="Arial" w:cs="Arial" w:eastAsia="Arial" w:hAnsi="Arial"/>
          <w:b/>
          <w:bCs/>
          <w:color w:val="141414"/>
          <w:sz w:val="28"/>
          <w:szCs w:val="28"/>
        </w:rPr>
        <w:t xml:space="preserve">Platform Overview</w:t>
      </w:r>
    </w:p>
    <w:p>
      <w:pPr>
        <w:spacing w:after="80" w:before="60"/>
      </w:pPr>
      <w:r>
        <w:rPr>
          <w:rFonts w:ascii="Arial" w:cs="Arial" w:eastAsia="Arial" w:hAnsi="Arial"/>
          <w:color w:val="141414"/>
          <w:sz w:val="22"/>
          <w:szCs w:val="22"/>
        </w:rPr>
        <w:t xml:space="preserve">Nasaka IEBC is a three-layer platform:</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DDDDD" w:sz="4"/>
              <w:left w:val="single" w:color="DDDDDD" w:sz="4"/>
              <w:bottom w:val="single" w:color="DDDDDD" w:sz="4"/>
              <w:right w:val="single" w:color="DDDDDD" w:sz="4"/>
            </w:tcBorders>
            <w:shd w:fill="BB0301"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1</w:t>
            </w:r>
          </w:p>
        </w:tc>
        <w:tc>
          <w:tcPr>
            <w:tcW w:type="dxa" w:w="7760"/>
            <w:tcBorders>
              <w:top w:val="single" w:color="DDDDDD" w:sz="4"/>
              <w:left w:val="single" w:color="DDDDDD" w:sz="4"/>
              <w:bottom w:val="single" w:color="DDDDDD" w:sz="4"/>
              <w:right w:val="single" w:color="DDDDDD" w:sz="4"/>
            </w:tcBorders>
            <w:tcMar>
              <w:top w:type="dxa" w:w="120"/>
              <w:left w:type="dxa" w:w="160"/>
              <w:bottom w:type="dxa" w:w="120"/>
              <w:right w:type="dxa" w:w="160"/>
            </w:tcMar>
          </w:tcPr>
          <w:p>
            <w:r>
              <w:rPr>
                <w:rFonts w:ascii="Arial" w:cs="Arial" w:eastAsia="Arial" w:hAnsi="Arial"/>
                <w:b/>
                <w:bCs/>
                <w:color w:val="141414"/>
                <w:sz w:val="22"/>
                <w:szCs w:val="22"/>
              </w:rPr>
              <w:t xml:space="preserve">Data Pipeline</w:t>
            </w:r>
          </w:p>
          <w:p>
            <w:r>
              <w:rPr>
                <w:rFonts w:ascii="Arial" w:cs="Arial" w:eastAsia="Arial" w:hAnsi="Arial"/>
                <w:color w:val="555555"/>
                <w:sz w:val="21"/>
                <w:szCs w:val="21"/>
              </w:rPr>
              <w:t xml:space="preserve">Scrapes all voter registration centres from the IEBC website using Puppeteer, processes and geocodes them through a stratified multi-provider architecture, corrects erroneous coordinates, and produces a versioned, clean dataset.</w:t>
            </w:r>
          </w:p>
        </w:tc>
      </w:tr>
      <w:tr>
        <w:tc>
          <w:tcPr>
            <w:tcW w:type="dxa" w:w="1600"/>
            <w:tcBorders>
              <w:top w:val="single" w:color="DDDDDD" w:sz="4"/>
              <w:left w:val="single" w:color="DDDDDD" w:sz="4"/>
              <w:bottom w:val="single" w:color="DDDDDD" w:sz="4"/>
              <w:right w:val="single" w:color="DDDDDD" w:sz="4"/>
            </w:tcBorders>
            <w:shd w:fill="0A2540"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2</w:t>
            </w:r>
          </w:p>
        </w:tc>
        <w:tc>
          <w:tcPr>
            <w:tcW w:type="dxa" w:w="7760"/>
            <w:tcBorders>
              <w:top w:val="single" w:color="DDDDDD" w:sz="4"/>
              <w:left w:val="single" w:color="DDDDDD" w:sz="4"/>
              <w:bottom w:val="single" w:color="DDDDDD" w:sz="4"/>
              <w:right w:val="single" w:color="DDDDDD" w:sz="4"/>
            </w:tcBorders>
            <w:tcMar>
              <w:top w:type="dxa" w:w="120"/>
              <w:left w:type="dxa" w:w="160"/>
              <w:bottom w:type="dxa" w:w="120"/>
              <w:right w:type="dxa" w:w="160"/>
            </w:tcMar>
          </w:tcPr>
          <w:p>
            <w:r>
              <w:rPr>
                <w:rFonts w:ascii="Arial" w:cs="Arial" w:eastAsia="Arial" w:hAnsi="Arial"/>
                <w:b/>
                <w:bCs/>
                <w:color w:val="141414"/>
                <w:sz w:val="22"/>
                <w:szCs w:val="22"/>
              </w:rPr>
              <w:t xml:space="preserve">Backend &amp; Storage</w:t>
            </w:r>
          </w:p>
          <w:p>
            <w:r>
              <w:rPr>
                <w:rFonts w:ascii="Arial" w:cs="Arial" w:eastAsia="Arial" w:hAnsi="Arial"/>
                <w:color w:val="555555"/>
                <w:sz w:val="21"/>
                <w:szCs w:val="21"/>
              </w:rPr>
              <w:t xml:space="preserve">A Supabase (PostgreSQL) backend stores the geocoded dataset. A Cloudflare R2 static export pipeline serves the dataset via a custom CDN subdomain, eliminating Supabase egress costs at scale.</w:t>
            </w:r>
          </w:p>
        </w:tc>
      </w:tr>
      <w:tr>
        <w:tc>
          <w:tcPr>
            <w:tcW w:type="dxa" w:w="1600"/>
            <w:tcBorders>
              <w:top w:val="single" w:color="DDDDDD" w:sz="4"/>
              <w:left w:val="single" w:color="DDDDDD" w:sz="4"/>
              <w:bottom w:val="single" w:color="DDDDDD" w:sz="4"/>
              <w:right w:val="single" w:color="DDDDDD" w:sz="4"/>
            </w:tcBorders>
            <w:shd w:fill="056602" w:val="clear"/>
            <w:tcMar>
              <w:top w:type="dxa" w:w="120"/>
              <w:left w:type="dxa" w:w="160"/>
              <w:bottom w:type="dxa" w:w="120"/>
              <w:right w:type="dxa" w:w="160"/>
            </w:tcMar>
          </w:tcPr>
          <w:p>
            <w:pPr>
              <w:jc w:val="center"/>
            </w:pPr>
            <w:r>
              <w:rPr>
                <w:rFonts w:ascii="Arial" w:cs="Arial" w:eastAsia="Arial" w:hAnsi="Arial"/>
                <w:b/>
                <w:bCs/>
                <w:color w:val="FFFFFF"/>
                <w:sz w:val="22"/>
                <w:szCs w:val="22"/>
              </w:rPr>
              <w:t xml:space="preserve">Layer 3</w:t>
            </w:r>
          </w:p>
        </w:tc>
        <w:tc>
          <w:tcPr>
            <w:tcW w:type="dxa" w:w="7760"/>
            <w:tcBorders>
              <w:top w:val="single" w:color="DDDDDD" w:sz="4"/>
              <w:left w:val="single" w:color="DDDDDD" w:sz="4"/>
              <w:bottom w:val="single" w:color="DDDDDD" w:sz="4"/>
              <w:right w:val="single" w:color="DDDDDD" w:sz="4"/>
            </w:tcBorders>
            <w:tcMar>
              <w:top w:type="dxa" w:w="120"/>
              <w:left w:type="dxa" w:w="160"/>
              <w:bottom w:type="dxa" w:w="120"/>
              <w:right w:type="dxa" w:w="160"/>
            </w:tcMar>
          </w:tcPr>
          <w:p>
            <w:r>
              <w:rPr>
                <w:rFonts w:ascii="Arial" w:cs="Arial" w:eastAsia="Arial" w:hAnsi="Arial"/>
                <w:b/>
                <w:bCs/>
                <w:color w:val="141414"/>
                <w:sz w:val="22"/>
                <w:szCs w:val="22"/>
              </w:rPr>
              <w:t xml:space="preserve">Android App (Citizen Interface)</w:t>
            </w:r>
          </w:p>
          <w:p>
            <w:r>
              <w:rPr>
                <w:rFonts w:ascii="Arial" w:cs="Arial" w:eastAsia="Arial" w:hAnsi="Arial"/>
                <w:color w:val="555555"/>
                <w:sz w:val="21"/>
                <w:szCs w:val="21"/>
              </w:rPr>
              <w:t xml:space="preserve">A React/TypeScript/Vite app compiled to Android via Capacitor, published on the Google Play Store. Citizens can search, browse, and map registration centres. Works offline.</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4. The Data Pipeline</w:t>
      </w:r>
    </w:p>
    <w:p>
      <w:pPr>
        <w:pStyle w:val="Heading2"/>
        <w:spacing w:after="100" w:before="300"/>
      </w:pPr>
      <w:r>
        <w:rPr>
          <w:rFonts w:ascii="Arial" w:cs="Arial" w:eastAsia="Arial" w:hAnsi="Arial"/>
          <w:b/>
          <w:bCs/>
          <w:color w:val="141414"/>
          <w:sz w:val="28"/>
          <w:szCs w:val="28"/>
        </w:rPr>
        <w:t xml:space="preserve">Step 1 — Scraping the IEBC Website</w:t>
      </w:r>
    </w:p>
    <w:p>
      <w:pPr>
        <w:spacing w:after="80" w:before="60"/>
      </w:pPr>
      <w:r>
        <w:rPr>
          <w:rFonts w:ascii="Arial" w:cs="Arial" w:eastAsia="Arial" w:hAnsi="Arial"/>
          <w:color w:val="141414"/>
          <w:sz w:val="22"/>
          <w:szCs w:val="22"/>
        </w:rPr>
        <w:t xml:space="preserve">Because no official API or bulk export exists, the Nasaka IEBC pipeline begins with a custom Puppeteer scraper that systematically navigates the IEBC's cascading dropdown interface.</w:t>
      </w:r>
    </w:p>
    <w:p>
      <w:pPr>
        <w:spacing w:after="0" w:before="0"/>
      </w:pPr>
      <w:r>
        <w:t xml:space="preserve"/>
      </w:r>
    </w:p>
    <w:p>
      <w:pPr>
        <w:pStyle w:val="ListParagraph"/>
        <w:numPr>
          <w:ilvl w:val="0"/>
          <w:numId w:val="2"/>
        </w:numPr>
        <w:spacing w:after="40" w:before="40"/>
      </w:pPr>
      <w:r>
        <w:rPr>
          <w:rFonts w:ascii="Arial" w:cs="Arial" w:eastAsia="Arial" w:hAnsi="Arial"/>
          <w:color w:val="141414"/>
          <w:sz w:val="22"/>
          <w:szCs w:val="22"/>
        </w:rPr>
        <w:t xml:space="preserve">The scraper automates the County → Constituency → Ward sequence for every administrative unit in Kenya</w:t>
      </w:r>
    </w:p>
    <w:p>
      <w:pPr>
        <w:pStyle w:val="ListParagraph"/>
        <w:numPr>
          <w:ilvl w:val="0"/>
          <w:numId w:val="2"/>
        </w:numPr>
        <w:spacing w:after="40" w:before="40"/>
      </w:pPr>
      <w:r>
        <w:rPr>
          <w:rFonts w:ascii="Arial" w:cs="Arial" w:eastAsia="Arial" w:hAnsi="Arial"/>
          <w:color w:val="141414"/>
          <w:sz w:val="22"/>
          <w:szCs w:val="22"/>
        </w:rPr>
        <w:t xml:space="preserve">For each ward selection, it extracts the list of voter registration centres returned by the interface</w:t>
      </w:r>
    </w:p>
    <w:p>
      <w:pPr>
        <w:pStyle w:val="ListParagraph"/>
        <w:numPr>
          <w:ilvl w:val="0"/>
          <w:numId w:val="2"/>
        </w:numPr>
        <w:spacing w:after="40" w:before="40"/>
      </w:pPr>
      <w:r>
        <w:rPr>
          <w:rFonts w:ascii="Arial" w:cs="Arial" w:eastAsia="Arial" w:hAnsi="Arial"/>
          <w:color w:val="141414"/>
          <w:sz w:val="22"/>
          <w:szCs w:val="22"/>
        </w:rPr>
        <w:t xml:space="preserve">All extracted records are captured with their administrative unit association (county, constituency, ward, centre name)</w:t>
      </w:r>
    </w:p>
    <w:p>
      <w:pPr>
        <w:pStyle w:val="ListParagraph"/>
        <w:numPr>
          <w:ilvl w:val="0"/>
          <w:numId w:val="2"/>
        </w:numPr>
        <w:spacing w:after="40" w:before="40"/>
      </w:pPr>
      <w:r>
        <w:rPr>
          <w:rFonts w:ascii="Arial" w:cs="Arial" w:eastAsia="Arial" w:hAnsi="Arial"/>
          <w:color w:val="141414"/>
          <w:sz w:val="22"/>
          <w:szCs w:val="22"/>
        </w:rPr>
        <w:t xml:space="preserve">The scraper handles dynamic page rendering, dropdown state changes, and pagination across the full national dataset</w:t>
      </w:r>
    </w:p>
    <w:p>
      <w:pPr>
        <w:pStyle w:val="ListParagraph"/>
        <w:numPr>
          <w:ilvl w:val="0"/>
          <w:numId w:val="2"/>
        </w:numPr>
        <w:spacing w:after="40" w:before="40"/>
      </w:pPr>
      <w:r>
        <w:rPr>
          <w:rFonts w:ascii="Arial" w:cs="Arial" w:eastAsia="Arial" w:hAnsi="Arial"/>
          <w:color w:val="141414"/>
          <w:sz w:val="22"/>
          <w:szCs w:val="22"/>
        </w:rPr>
        <w:t xml:space="preserve">Result: a raw flat-file dataset of 24,000+ voter registration centre records — the only known machine-readable extraction of this data</w:t>
      </w:r>
    </w:p>
    <w:p>
      <w:pPr>
        <w:spacing w:after="0" w:before="0"/>
      </w:pPr>
      <w:r>
        <w:t xml:space="preserve"/>
      </w:r>
    </w:p>
    <w:p>
      <w:pPr>
        <w:pStyle w:val="Heading2"/>
        <w:spacing w:after="100" w:before="300"/>
      </w:pPr>
      <w:r>
        <w:rPr>
          <w:rFonts w:ascii="Arial" w:cs="Arial" w:eastAsia="Arial" w:hAnsi="Arial"/>
          <w:b/>
          <w:bCs/>
          <w:color w:val="141414"/>
          <w:sz w:val="28"/>
          <w:szCs w:val="28"/>
        </w:rPr>
        <w:t xml:space="preserve">Step 2 — Geocoding Architecture</w:t>
      </w:r>
    </w:p>
    <w:p>
      <w:pPr>
        <w:spacing w:after="80" w:before="60"/>
      </w:pPr>
      <w:r>
        <w:rPr>
          <w:rFonts w:ascii="Arial" w:cs="Arial" w:eastAsia="Arial" w:hAnsi="Arial"/>
          <w:color w:val="141414"/>
          <w:sz w:val="22"/>
          <w:szCs w:val="22"/>
        </w:rPr>
        <w:t xml:space="preserve">Raw IEBC data contains names and administrative associations but no geographic coordinates. The geocoding stage resolves each centre to a latitude/longitude pair using a stratified multi-provider architecture with fallback chains.</w:t>
      </w:r>
    </w:p>
    <w:p>
      <w:pPr>
        <w:spacing w:after="0" w:before="0"/>
      </w:pPr>
      <w:r>
        <w:t xml:space="preserve"/>
      </w:r>
    </w:p>
    <w:p>
      <w:pPr>
        <w:spacing w:after="80" w:before="220"/>
      </w:pPr>
      <w:r>
        <w:rPr>
          <w:rFonts w:ascii="Arial" w:cs="Arial" w:eastAsia="Arial" w:hAnsi="Arial"/>
          <w:b/>
          <w:bCs/>
          <w:color w:val="0A2540"/>
          <w:sz w:val="24"/>
          <w:szCs w:val="24"/>
        </w:rPr>
        <w:t xml:space="preserve">Provider Hierarchy</w:t>
      </w:r>
    </w:p>
    <w:p>
      <w:pPr>
        <w:pStyle w:val="ListParagraph"/>
        <w:numPr>
          <w:ilvl w:val="0"/>
          <w:numId w:val="2"/>
        </w:numPr>
        <w:spacing w:after="40" w:before="40"/>
      </w:pPr>
      <w:r>
        <w:rPr>
          <w:rFonts w:ascii="Arial" w:cs="Arial" w:eastAsia="Arial" w:hAnsi="Arial"/>
          <w:color w:val="141414"/>
          <w:sz w:val="22"/>
          <w:szCs w:val="22"/>
        </w:rPr>
        <w:t xml:space="preserve">Primary geocoding providers handle the first-pass attempt against each record</w:t>
      </w:r>
    </w:p>
    <w:p>
      <w:pPr>
        <w:pStyle w:val="ListParagraph"/>
        <w:numPr>
          <w:ilvl w:val="0"/>
          <w:numId w:val="2"/>
        </w:numPr>
        <w:spacing w:after="40" w:before="40"/>
      </w:pPr>
      <w:r>
        <w:rPr>
          <w:rFonts w:ascii="Arial" w:cs="Arial" w:eastAsia="Arial" w:hAnsi="Arial"/>
          <w:color w:val="141414"/>
          <w:sz w:val="22"/>
          <w:szCs w:val="22"/>
        </w:rPr>
        <w:t xml:space="preserve">Titan AI cascade serves as the fallback layer, processing records that fail primary geocoding</w:t>
      </w:r>
    </w:p>
    <w:p>
      <w:pPr>
        <w:pStyle w:val="ListParagraph"/>
        <w:numPr>
          <w:ilvl w:val="0"/>
          <w:numId w:val="2"/>
        </w:numPr>
        <w:spacing w:after="40" w:before="40"/>
      </w:pPr>
      <w:r>
        <w:rPr>
          <w:rFonts w:ascii="Arial" w:cs="Arial" w:eastAsia="Arial" w:hAnsi="Arial"/>
          <w:color w:val="141414"/>
          <w:sz w:val="22"/>
          <w:szCs w:val="22"/>
        </w:rPr>
        <w:t xml:space="preserve">A Ministry of Education schools shapefile acts as a high-value local fuzzy-match layer — exploiting the fact that many voter registration centres in Kenya are co-located with or named after schools</w:t>
      </w:r>
    </w:p>
    <w:p>
      <w:pPr>
        <w:pStyle w:val="ListParagraph"/>
        <w:numPr>
          <w:ilvl w:val="0"/>
          <w:numId w:val="2"/>
        </w:numPr>
        <w:spacing w:after="40" w:before="40"/>
      </w:pPr>
      <w:r>
        <w:rPr>
          <w:rFonts w:ascii="Arial" w:cs="Arial" w:eastAsia="Arial" w:hAnsi="Arial"/>
          <w:color w:val="141414"/>
          <w:sz w:val="22"/>
          <w:szCs w:val="22"/>
        </w:rPr>
        <w:t xml:space="preserve">The schools shapefile provides named geographic anchors for rural and peri-urban centres where commercial geocoders have poor coverage</w:t>
      </w:r>
    </w:p>
    <w:p>
      <w:pPr>
        <w:pStyle w:val="ListParagraph"/>
        <w:numPr>
          <w:ilvl w:val="0"/>
          <w:numId w:val="2"/>
        </w:numPr>
        <w:spacing w:after="40" w:before="40"/>
      </w:pPr>
      <w:r>
        <w:rPr>
          <w:rFonts w:ascii="Arial" w:cs="Arial" w:eastAsia="Arial" w:hAnsi="Arial"/>
          <w:color w:val="141414"/>
          <w:sz w:val="22"/>
          <w:szCs w:val="22"/>
        </w:rPr>
        <w:t xml:space="preserve">Fuzzy string matching against the shapefile dramatically improves geocoding accuracy for the long tail of hard-to-resolve records</w:t>
      </w:r>
    </w:p>
    <w:p>
      <w:pPr>
        <w:spacing w:after="0" w:before="0"/>
      </w:pPr>
      <w:r>
        <w:t xml:space="preserve"/>
      </w:r>
    </w:p>
    <w:p>
      <w:pPr>
        <w:spacing w:after="80" w:before="220"/>
      </w:pPr>
      <w:r>
        <w:rPr>
          <w:rFonts w:ascii="Arial" w:cs="Arial" w:eastAsia="Arial" w:hAnsi="Arial"/>
          <w:b/>
          <w:bCs/>
          <w:color w:val="0A2540"/>
          <w:sz w:val="24"/>
          <w:szCs w:val="24"/>
        </w:rPr>
        <w:t xml:space="preserve">Stratification Logic</w:t>
      </w:r>
    </w:p>
    <w:p>
      <w:pPr>
        <w:pStyle w:val="ListParagraph"/>
        <w:numPr>
          <w:ilvl w:val="0"/>
          <w:numId w:val="2"/>
        </w:numPr>
        <w:spacing w:after="40" w:before="40"/>
      </w:pPr>
      <w:r>
        <w:rPr>
          <w:rFonts w:ascii="Arial" w:cs="Arial" w:eastAsia="Arial" w:hAnsi="Arial"/>
          <w:color w:val="141414"/>
          <w:sz w:val="22"/>
          <w:szCs w:val="22"/>
        </w:rPr>
        <w:t xml:space="preserve">Records are stratified by confidence level after each provider pass</w:t>
      </w:r>
    </w:p>
    <w:p>
      <w:pPr>
        <w:pStyle w:val="ListParagraph"/>
        <w:numPr>
          <w:ilvl w:val="0"/>
          <w:numId w:val="2"/>
        </w:numPr>
        <w:spacing w:after="40" w:before="40"/>
      </w:pPr>
      <w:r>
        <w:rPr>
          <w:rFonts w:ascii="Arial" w:cs="Arial" w:eastAsia="Arial" w:hAnsi="Arial"/>
          <w:color w:val="141414"/>
          <w:sz w:val="22"/>
          <w:szCs w:val="22"/>
        </w:rPr>
        <w:t xml:space="preserve">High-confidence matches proceed directly to the clean dataset</w:t>
      </w:r>
    </w:p>
    <w:p>
      <w:pPr>
        <w:pStyle w:val="ListParagraph"/>
        <w:numPr>
          <w:ilvl w:val="0"/>
          <w:numId w:val="2"/>
        </w:numPr>
        <w:spacing w:after="40" w:before="40"/>
      </w:pPr>
      <w:r>
        <w:rPr>
          <w:rFonts w:ascii="Arial" w:cs="Arial" w:eastAsia="Arial" w:hAnsi="Arial"/>
          <w:color w:val="141414"/>
          <w:sz w:val="22"/>
          <w:szCs w:val="22"/>
        </w:rPr>
        <w:t xml:space="preserve">Medium-confidence matches are flagged for secondary review or fallback processing</w:t>
      </w:r>
    </w:p>
    <w:p>
      <w:pPr>
        <w:pStyle w:val="ListParagraph"/>
        <w:numPr>
          <w:ilvl w:val="0"/>
          <w:numId w:val="2"/>
        </w:numPr>
        <w:spacing w:after="40" w:before="40"/>
      </w:pPr>
      <w:r>
        <w:rPr>
          <w:rFonts w:ascii="Arial" w:cs="Arial" w:eastAsia="Arial" w:hAnsi="Arial"/>
          <w:color w:val="141414"/>
          <w:sz w:val="22"/>
          <w:szCs w:val="22"/>
        </w:rPr>
        <w:t xml:space="preserve">Unresolved records enter the Titan AI cascade for AI-assisted coordinate resolution</w:t>
      </w:r>
    </w:p>
    <w:p>
      <w:pPr>
        <w:pStyle w:val="ListParagraph"/>
        <w:numPr>
          <w:ilvl w:val="0"/>
          <w:numId w:val="2"/>
        </w:numPr>
        <w:spacing w:after="40" w:before="40"/>
      </w:pPr>
      <w:r>
        <w:rPr>
          <w:rFonts w:ascii="Arial" w:cs="Arial" w:eastAsia="Arial" w:hAnsi="Arial"/>
          <w:color w:val="141414"/>
          <w:sz w:val="22"/>
          <w:szCs w:val="22"/>
        </w:rPr>
        <w:t xml:space="preserve">The pipeline is versioned — each full run produces a new version tag (pipeline reached v10+ through iterative improvement cycles)</w:t>
      </w:r>
    </w:p>
    <w:p>
      <w:pPr>
        <w:spacing w:after="0" w:before="0"/>
      </w:pPr>
      <w:r>
        <w:t xml:space="preserve"/>
      </w:r>
    </w:p>
    <w:p>
      <w:pPr>
        <w:pStyle w:val="Heading2"/>
        <w:spacing w:after="100" w:before="300"/>
      </w:pPr>
      <w:r>
        <w:rPr>
          <w:rFonts w:ascii="Arial" w:cs="Arial" w:eastAsia="Arial" w:hAnsi="Arial"/>
          <w:b/>
          <w:bCs/>
          <w:color w:val="141414"/>
          <w:sz w:val="28"/>
          <w:szCs w:val="28"/>
        </w:rPr>
        <w:t xml:space="preserve">Step 3 — Coordinate Correction</w:t>
      </w:r>
    </w:p>
    <w:p>
      <w:pPr>
        <w:spacing w:after="80" w:before="60"/>
      </w:pPr>
      <w:r>
        <w:rPr>
          <w:rFonts w:ascii="Arial" w:cs="Arial" w:eastAsia="Arial" w:hAnsi="Arial"/>
          <w:color w:val="141414"/>
          <w:sz w:val="22"/>
          <w:szCs w:val="22"/>
        </w:rPr>
        <w:t xml:space="preserve">During geocoding quality review, the pipeline identified a category of critically wrong coordinates in the source or geocoded data — cases where a centre was placed in the wrong constituency, wrong county, or in a geographically impossible location. These were resolved through manual investigation and direct coordinate correction.</w:t>
      </w:r>
    </w:p>
    <w:p>
      <w:pPr>
        <w:spacing w:after="0" w:before="0"/>
      </w:pPr>
      <w:r>
        <w:t xml:space="preserve"/>
      </w:r>
    </w:p>
    <w:p>
      <w:pPr>
        <w:spacing w:after="80" w:before="60"/>
      </w:pPr>
      <w:r>
        <w:rPr>
          <w:rFonts w:ascii="Arial" w:cs="Arial" w:eastAsia="Arial" w:hAnsi="Arial"/>
          <w:color w:val="141414"/>
          <w:sz w:val="22"/>
          <w:szCs w:val="22"/>
        </w:rPr>
        <w:t xml:space="preserve">Confirmed corrected constituencies:</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4"/>
              <w:left w:val="single" w:color="DDDDDD" w:sz="4"/>
              <w:bottom w:val="single" w:color="DDDDDD" w:sz="4"/>
              <w:right w:val="single" w:color="DDDDDD" w:sz="4"/>
            </w:tcBorders>
            <w:shd w:fill="BB0301" w:val="clear"/>
            <w:tcMar>
              <w:top w:type="dxa" w:w="80"/>
              <w:left w:type="dxa" w:w="120"/>
              <w:bottom w:type="dxa" w:w="80"/>
              <w:right w:type="dxa" w:w="120"/>
            </w:tcMar>
          </w:tcPr>
          <w:p>
            <w:r>
              <w:rPr>
                <w:rFonts w:ascii="Arial" w:cs="Arial" w:eastAsia="Arial" w:hAnsi="Arial"/>
                <w:b/>
                <w:bCs/>
                <w:color w:val="FFFFFF"/>
                <w:sz w:val="22"/>
                <w:szCs w:val="22"/>
              </w:rPr>
              <w:t xml:space="preserve">Constituency</w:t>
            </w:r>
          </w:p>
        </w:tc>
        <w:tc>
          <w:tcPr>
            <w:tcW w:type="dxa" w:w="6560"/>
            <w:tcBorders>
              <w:top w:val="single" w:color="DDDDDD" w:sz="4"/>
              <w:left w:val="single" w:color="DDDDDD" w:sz="4"/>
              <w:bottom w:val="single" w:color="DDDDDD" w:sz="4"/>
              <w:right w:val="single" w:color="DDDDDD" w:sz="4"/>
            </w:tcBorders>
            <w:shd w:fill="BB0301" w:val="clear"/>
            <w:tcMar>
              <w:top w:type="dxa" w:w="80"/>
              <w:left w:type="dxa" w:w="120"/>
              <w:bottom w:type="dxa" w:w="80"/>
              <w:right w:type="dxa" w:w="120"/>
            </w:tcMar>
          </w:tcPr>
          <w:p>
            <w:r>
              <w:rPr>
                <w:rFonts w:ascii="Arial" w:cs="Arial" w:eastAsia="Arial" w:hAnsi="Arial"/>
                <w:b/>
                <w:bCs/>
                <w:color w:val="FFFFFF"/>
                <w:sz w:val="22"/>
                <w:szCs w:val="22"/>
              </w:rPr>
              <w:t xml:space="preserve">Nature of Error Corrected</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BALAMBALA</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Coordinates placed centres outside constituency boundaries; corrected to accurate Garissa County locations</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BURA</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Geocoded coordinates conflated with similarly-named location; corrected to Tana River County</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CHESUMEI</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Centres geocoded to wrong region of Nandi County; boundary-corrected</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EMGWEN</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Coordinate offset error placing centres outside Nandi County; corrected</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KAPSERET</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Centres placed in wrong Uasin Gishu sub-region; corrected against ward boundaries</w:t>
            </w:r>
          </w:p>
        </w:tc>
      </w:tr>
      <w:tr>
        <w:tc>
          <w:tcPr>
            <w:tcW w:type="dxa" w:w="2800"/>
            <w:tcBorders>
              <w:top w:val="single" w:color="DDDDDD" w:sz="4"/>
              <w:left w:val="single" w:color="DDDDDD" w:sz="4"/>
              <w:bottom w:val="single" w:color="DDDDDD" w:sz="4"/>
              <w:right w:val="single" w:color="DDDDDD" w:sz="4"/>
            </w:tcBorders>
            <w:shd w:fill="FFF3F3" w:val="clear"/>
            <w:tcMar>
              <w:top w:type="dxa" w:w="80"/>
              <w:left w:type="dxa" w:w="120"/>
              <w:bottom w:type="dxa" w:w="80"/>
              <w:right w:type="dxa" w:w="120"/>
            </w:tcMar>
          </w:tcPr>
          <w:p>
            <w:r>
              <w:rPr>
                <w:rFonts w:ascii="Arial" w:cs="Arial" w:eastAsia="Arial" w:hAnsi="Arial"/>
                <w:b/>
                <w:bCs/>
                <w:color w:val="BB0301"/>
                <w:sz w:val="21"/>
                <w:szCs w:val="21"/>
              </w:rPr>
              <w:t xml:space="preserve">IKOLOMANI</w:t>
            </w:r>
          </w:p>
        </w:tc>
        <w:tc>
          <w:tcPr>
            <w:tcW w:type="dxa" w:w="65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141414"/>
                <w:sz w:val="21"/>
                <w:szCs w:val="21"/>
              </w:rPr>
              <w:t xml:space="preserve">Centres geocoded outside Kakamega County; corrected to accurate ward-level placement</w:t>
            </w:r>
          </w:p>
        </w:tc>
      </w:tr>
    </w:tbl>
    <w:p>
      <w:pPr>
        <w:spacing w:after="0" w:before="0"/>
      </w:pPr>
      <w:r>
        <w:t xml:space="preserve"/>
      </w:r>
    </w:p>
    <w:p>
      <w:pPr>
        <w:spacing w:after="80" w:before="60"/>
        <w:ind w:left="360"/>
      </w:pPr>
      <w:r>
        <w:rPr>
          <w:rFonts w:ascii="Arial" w:cs="Arial" w:eastAsia="Arial" w:hAnsi="Arial"/>
          <w:i/>
          <w:iCs/>
          <w:color w:val="555555"/>
          <w:sz w:val="20"/>
          <w:szCs w:val="20"/>
        </w:rPr>
        <w:t xml:space="preserve">These corrections represent cases where incorrect coordinates would have actively misdirected citizens to the wrong physical location — a direct voter disenfranchisement risk.</w:t>
      </w:r>
    </w:p>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5. Infrastructure Architecture</w:t>
      </w:r>
    </w:p>
    <w:p>
      <w:pPr>
        <w:pStyle w:val="Heading2"/>
        <w:spacing w:after="100" w:before="300"/>
      </w:pPr>
      <w:r>
        <w:rPr>
          <w:rFonts w:ascii="Arial" w:cs="Arial" w:eastAsia="Arial" w:hAnsi="Arial"/>
          <w:b/>
          <w:bCs/>
          <w:color w:val="141414"/>
          <w:sz w:val="28"/>
          <w:szCs w:val="28"/>
        </w:rPr>
        <w:t xml:space="preserve">Backend — Supabase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Database: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PostgreSQL (Supabase) — iebc_offices dataset</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Auth:</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Supabase Auth (internal tooling access)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Storage: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Supabase Storage (media and exports)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Functions: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Supabase Edge Functions (processing triggers)</w:t>
            </w:r>
          </w:p>
        </w:tc>
      </w:tr>
    </w:tbl>
    <w:p>
      <w:pPr>
        <w:spacing w:after="0" w:before="0"/>
      </w:pPr>
      <w:r>
        <w:t xml:space="preserve"/>
      </w:r>
    </w:p>
    <w:p>
      <w:pPr>
        <w:pStyle w:val="Heading2"/>
        <w:spacing w:after="100" w:before="300"/>
      </w:pPr>
      <w:r>
        <w:rPr>
          <w:rFonts w:ascii="Arial" w:cs="Arial" w:eastAsia="Arial" w:hAnsi="Arial"/>
          <w:b/>
          <w:bCs/>
          <w:color w:val="141414"/>
          <w:sz w:val="28"/>
          <w:szCs w:val="28"/>
        </w:rPr>
        <w:t xml:space="preserve">CDN &amp; Egress Architecture — Cloudflare R2</w:t>
      </w:r>
    </w:p>
    <w:p>
      <w:pPr>
        <w:spacing w:after="80" w:before="60"/>
      </w:pPr>
      <w:r>
        <w:rPr>
          <w:rFonts w:ascii="Arial" w:cs="Arial" w:eastAsia="Arial" w:hAnsi="Arial"/>
          <w:color w:val="141414"/>
          <w:sz w:val="22"/>
          <w:szCs w:val="22"/>
        </w:rPr>
        <w:t xml:space="preserve">During production, the Nasaka IEBC platform encountered a Supabase egress cost crisis — the volume of map and data queries from the Android app was generating unsustainable database read costs at scale.</w:t>
      </w:r>
    </w:p>
    <w:p>
      <w:pPr>
        <w:spacing w:after="0" w:before="0"/>
      </w:pPr>
      <w:r>
        <w:t xml:space="preserve"/>
      </w:r>
    </w:p>
    <w:p>
      <w:pPr>
        <w:spacing w:after="80" w:before="60"/>
      </w:pPr>
      <w:r>
        <w:rPr>
          <w:rFonts w:ascii="Arial" w:cs="Arial" w:eastAsia="Arial" w:hAnsi="Arial"/>
          <w:color w:val="141414"/>
          <w:sz w:val="22"/>
          <w:szCs w:val="22"/>
        </w:rPr>
        <w:t xml:space="preserve">The solution was a Cloudflare R2 static export architecture:</w:t>
      </w:r>
    </w:p>
    <w:p>
      <w:pPr>
        <w:spacing w:after="0" w:before="0"/>
      </w:pPr>
      <w:r>
        <w:t xml:space="preserve"/>
      </w:r>
    </w:p>
    <w:p>
      <w:pPr>
        <w:pStyle w:val="ListParagraph"/>
        <w:numPr>
          <w:ilvl w:val="0"/>
          <w:numId w:val="2"/>
        </w:numPr>
        <w:spacing w:after="40" w:before="40"/>
      </w:pPr>
      <w:r>
        <w:rPr>
          <w:rFonts w:ascii="Arial" w:cs="Arial" w:eastAsia="Arial" w:hAnsi="Arial"/>
          <w:color w:val="141414"/>
          <w:sz w:val="22"/>
          <w:szCs w:val="22"/>
        </w:rPr>
        <w:t xml:space="preserve">The full geocoded dataset is exported as static files to a Cloudflare R2 bucket</w:t>
      </w:r>
    </w:p>
    <w:p>
      <w:pPr>
        <w:pStyle w:val="ListParagraph"/>
        <w:numPr>
          <w:ilvl w:val="0"/>
          <w:numId w:val="2"/>
        </w:numPr>
        <w:spacing w:after="40" w:before="40"/>
      </w:pPr>
      <w:r>
        <w:rPr>
          <w:rFonts w:ascii="Arial" w:cs="Arial" w:eastAsia="Arial" w:hAnsi="Arial"/>
          <w:color w:val="141414"/>
          <w:sz w:val="22"/>
          <w:szCs w:val="22"/>
        </w:rPr>
        <w:t xml:space="preserve">A custom CDN subdomain (static.nasakaiebc.civiceducationkenya.com) serves these static files globally via Cloudflare's edge network</w:t>
      </w:r>
    </w:p>
    <w:p>
      <w:pPr>
        <w:pStyle w:val="ListParagraph"/>
        <w:numPr>
          <w:ilvl w:val="0"/>
          <w:numId w:val="2"/>
        </w:numPr>
        <w:spacing w:after="40" w:before="40"/>
      </w:pPr>
      <w:r>
        <w:rPr>
          <w:rFonts w:ascii="Arial" w:cs="Arial" w:eastAsia="Arial" w:hAnsi="Arial"/>
          <w:color w:val="141414"/>
          <w:sz w:val="22"/>
          <w:szCs w:val="22"/>
        </w:rPr>
        <w:t xml:space="preserve">The Android app reads from the CDN endpoint rather than directly querying Supabase</w:t>
      </w:r>
    </w:p>
    <w:p>
      <w:pPr>
        <w:pStyle w:val="ListParagraph"/>
        <w:numPr>
          <w:ilvl w:val="0"/>
          <w:numId w:val="2"/>
        </w:numPr>
        <w:spacing w:after="40" w:before="40"/>
      </w:pPr>
      <w:r>
        <w:rPr>
          <w:rFonts w:ascii="Arial" w:cs="Arial" w:eastAsia="Arial" w:hAnsi="Arial"/>
          <w:color w:val="141414"/>
          <w:sz w:val="22"/>
          <w:szCs w:val="22"/>
        </w:rPr>
        <w:t xml:space="preserve">Supabase is now used only for writes and admin operations — eliminating read-driven egress costs entirely</w:t>
      </w:r>
    </w:p>
    <w:p>
      <w:pPr>
        <w:pStyle w:val="ListParagraph"/>
        <w:numPr>
          <w:ilvl w:val="0"/>
          <w:numId w:val="2"/>
        </w:numPr>
        <w:spacing w:after="40" w:before="40"/>
      </w:pPr>
      <w:r>
        <w:rPr>
          <w:rFonts w:ascii="Arial" w:cs="Arial" w:eastAsia="Arial" w:hAnsi="Arial"/>
          <w:color w:val="141414"/>
          <w:sz w:val="22"/>
          <w:szCs w:val="22"/>
        </w:rPr>
        <w:t xml:space="preserve">This architecture also significantly improves app performance: Cloudflare edge nodes serve data faster than a single Supabase region for geographically distributed users</w:t>
      </w:r>
    </w:p>
    <w:p>
      <w:pPr>
        <w:spacing w:after="0" w:before="0"/>
      </w:pPr>
      <w:r>
        <w:t xml:space="preserve"/>
      </w:r>
    </w:p>
    <w:p>
      <w:pPr>
        <w:pStyle w:val="Heading2"/>
        <w:spacing w:after="100" w:before="300"/>
      </w:pPr>
      <w:r>
        <w:rPr>
          <w:rFonts w:ascii="Arial" w:cs="Arial" w:eastAsia="Arial" w:hAnsi="Arial"/>
          <w:b/>
          <w:bCs/>
          <w:color w:val="141414"/>
          <w:sz w:val="28"/>
          <w:szCs w:val="28"/>
        </w:rPr>
        <w:t xml:space="preserve">DNS &amp; Domain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Primary CDN: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static.nasakaiebc.civiceducationkenya.com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DNS Provider:</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Cloudflare (migrated from Truehost → Vercel → Cloudflare)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Infrastructure Preference: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Cloudflare-only (stated permanent preference)</w:t>
            </w:r>
          </w:p>
        </w:tc>
      </w:tr>
    </w:tbl>
    <w:p>
      <w:pPr>
        <w:spacing w:after="0" w:before="0"/>
      </w:pPr>
      <w:r>
        <w:t xml:space="preserve"/>
      </w:r>
    </w:p>
    <w:p>
      <w:pPr>
        <w:spacing w:after="80" w:before="60"/>
      </w:pPr>
      <w:r>
        <w:rPr>
          <w:rFonts w:ascii="Arial" w:cs="Arial" w:eastAsia="Arial" w:hAnsi="Arial"/>
          <w:color w:val="141414"/>
          <w:sz w:val="22"/>
          <w:szCs w:val="22"/>
        </w:rPr>
        <w:t xml:space="preserve">DNS was fully migrated from Truehost to Cloudflare, with intermediate Vercel-hosted subdomains also migrated to Cloudflare. Cloudflare is now the exclusive DNS and infrastructure provider across all CEKA properties.</w:t>
      </w:r>
    </w:p>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6. Android Application</w:t>
      </w:r>
    </w:p>
    <w:p>
      <w:pPr>
        <w:pStyle w:val="Heading2"/>
        <w:spacing w:after="100" w:before="300"/>
      </w:pPr>
      <w:r>
        <w:rPr>
          <w:rFonts w:ascii="Arial" w:cs="Arial" w:eastAsia="Arial" w:hAnsi="Arial"/>
          <w:b/>
          <w:bCs/>
          <w:color w:val="141414"/>
          <w:sz w:val="28"/>
          <w:szCs w:val="28"/>
        </w:rPr>
        <w:t xml:space="preserve">Technical Stack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Frontend:</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React · TypeScript · Vite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Mobile wrapper:</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Capacitor (Web → Android bridge)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Data source: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Cloudflare R2 CDN (static.nasakaiebc.civiceducationkenya.com)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Offline support:</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Yes — dataset cached on device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Distribution: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Google Play Store (live)</w:t>
            </w:r>
          </w:p>
        </w:tc>
      </w:tr>
    </w:tbl>
    <w:p>
      <w:pPr>
        <w:spacing w:after="0" w:before="0"/>
      </w:pPr>
      <w:r>
        <w:t xml:space="preserve"/>
      </w:r>
    </w:p>
    <w:p>
      <w:pPr>
        <w:pStyle w:val="Heading2"/>
        <w:spacing w:after="100" w:before="300"/>
      </w:pPr>
      <w:r>
        <w:rPr>
          <w:rFonts w:ascii="Arial" w:cs="Arial" w:eastAsia="Arial" w:hAnsi="Arial"/>
          <w:b/>
          <w:bCs/>
          <w:color w:val="141414"/>
          <w:sz w:val="28"/>
          <w:szCs w:val="28"/>
        </w:rPr>
        <w:t xml:space="preserve">Features</w:t>
      </w:r>
    </w:p>
    <w:p>
      <w:pPr>
        <w:pStyle w:val="ListParagraph"/>
        <w:numPr>
          <w:ilvl w:val="0"/>
          <w:numId w:val="2"/>
        </w:numPr>
        <w:spacing w:after="40" w:before="40"/>
      </w:pPr>
      <w:r>
        <w:rPr>
          <w:rFonts w:ascii="Arial" w:cs="Arial" w:eastAsia="Arial" w:hAnsi="Arial"/>
          <w:color w:val="141414"/>
          <w:sz w:val="22"/>
          <w:szCs w:val="22"/>
        </w:rPr>
        <w:t xml:space="preserve">Search voter registration centres by name, ward, constituency, or county</w:t>
      </w:r>
    </w:p>
    <w:p>
      <w:pPr>
        <w:pStyle w:val="ListParagraph"/>
        <w:numPr>
          <w:ilvl w:val="0"/>
          <w:numId w:val="2"/>
        </w:numPr>
        <w:spacing w:after="40" w:before="40"/>
      </w:pPr>
      <w:r>
        <w:rPr>
          <w:rFonts w:ascii="Arial" w:cs="Arial" w:eastAsia="Arial" w:hAnsi="Arial"/>
          <w:color w:val="141414"/>
          <w:sz w:val="22"/>
          <w:szCs w:val="22"/>
        </w:rPr>
        <w:t xml:space="preserve">Map view with geocoded pin placement for all centres</w:t>
      </w:r>
    </w:p>
    <w:p>
      <w:pPr>
        <w:pStyle w:val="ListParagraph"/>
        <w:numPr>
          <w:ilvl w:val="0"/>
          <w:numId w:val="2"/>
        </w:numPr>
        <w:spacing w:after="40" w:before="40"/>
      </w:pPr>
      <w:r>
        <w:rPr>
          <w:rFonts w:ascii="Arial" w:cs="Arial" w:eastAsia="Arial" w:hAnsi="Arial"/>
          <w:color w:val="141414"/>
          <w:sz w:val="22"/>
          <w:szCs w:val="22"/>
        </w:rPr>
        <w:t xml:space="preserve">Offline-capable — full dataset can be cached for use without network connectivity</w:t>
      </w:r>
    </w:p>
    <w:p>
      <w:pPr>
        <w:pStyle w:val="ListParagraph"/>
        <w:numPr>
          <w:ilvl w:val="0"/>
          <w:numId w:val="2"/>
        </w:numPr>
        <w:spacing w:after="40" w:before="40"/>
      </w:pPr>
      <w:r>
        <w:rPr>
          <w:rFonts w:ascii="Arial" w:cs="Arial" w:eastAsia="Arial" w:hAnsi="Arial"/>
          <w:color w:val="141414"/>
          <w:sz w:val="22"/>
          <w:szCs w:val="22"/>
        </w:rPr>
        <w:t xml:space="preserve">Administrative unit hierarchy navigation (County → Constituency → Ward → Centre)</w:t>
      </w:r>
    </w:p>
    <w:p>
      <w:pPr>
        <w:pStyle w:val="ListParagraph"/>
        <w:numPr>
          <w:ilvl w:val="0"/>
          <w:numId w:val="2"/>
        </w:numPr>
        <w:spacing w:after="40" w:before="40"/>
      </w:pPr>
      <w:r>
        <w:rPr>
          <w:rFonts w:ascii="Arial" w:cs="Arial" w:eastAsia="Arial" w:hAnsi="Arial"/>
          <w:color w:val="141414"/>
          <w:sz w:val="22"/>
          <w:szCs w:val="22"/>
        </w:rPr>
        <w:t xml:space="preserve">Designed for low-end Android devices common in Kenya (lightweight bundle, minimal dependencies)</w:t>
      </w:r>
    </w:p>
    <w:p>
      <w:pPr>
        <w:pStyle w:val="ListParagraph"/>
        <w:numPr>
          <w:ilvl w:val="0"/>
          <w:numId w:val="2"/>
        </w:numPr>
        <w:spacing w:after="40" w:before="40"/>
      </w:pPr>
      <w:r>
        <w:rPr>
          <w:rFonts w:ascii="Arial" w:cs="Arial" w:eastAsia="Arial" w:hAnsi="Arial"/>
          <w:color w:val="141414"/>
          <w:sz w:val="22"/>
          <w:szCs w:val="22"/>
        </w:rPr>
        <w:t xml:space="preserve">Non-affiliation disclaimer displayed prominently — clearly marked as independent, not an official IEBC product</w:t>
      </w:r>
    </w:p>
    <w:p>
      <w:pPr>
        <w:pStyle w:val="ListParagraph"/>
        <w:numPr>
          <w:ilvl w:val="0"/>
          <w:numId w:val="2"/>
        </w:numPr>
        <w:spacing w:after="40" w:before="40"/>
      </w:pPr>
      <w:r>
        <w:rPr>
          <w:rFonts w:ascii="Arial" w:cs="Arial" w:eastAsia="Arial" w:hAnsi="Arial"/>
          <w:color w:val="141414"/>
          <w:sz w:val="22"/>
          <w:szCs w:val="22"/>
        </w:rPr>
        <w:t xml:space="preserve">Source attribution links to iebc.or.ke for data provenance transparency</w:t>
      </w:r>
    </w:p>
    <w:p>
      <w:pPr>
        <w:spacing w:after="0" w:before="0"/>
      </w:pPr>
      <w:r>
        <w:t xml:space="preserve"/>
      </w:r>
    </w:p>
    <w:p>
      <w:pPr>
        <w:pStyle w:val="Heading2"/>
        <w:spacing w:after="100" w:before="300"/>
      </w:pPr>
      <w:r>
        <w:rPr>
          <w:rFonts w:ascii="Arial" w:cs="Arial" w:eastAsia="Arial" w:hAnsi="Arial"/>
          <w:b/>
          <w:bCs/>
          <w:color w:val="141414"/>
          <w:sz w:val="28"/>
          <w:szCs w:val="28"/>
        </w:rPr>
        <w:t xml:space="preserve">Google Play Store Publication</w:t>
      </w:r>
    </w:p>
    <w:p>
      <w:pPr>
        <w:spacing w:after="80" w:before="60"/>
      </w:pPr>
      <w:r>
        <w:rPr>
          <w:rFonts w:ascii="Arial" w:cs="Arial" w:eastAsia="Arial" w:hAnsi="Arial"/>
          <w:color w:val="141414"/>
          <w:sz w:val="22"/>
          <w:szCs w:val="22"/>
        </w:rPr>
        <w:t xml:space="preserve">The Nasaka IEBC app was submitted to the Google Play Store and encountered a Misleading Claims rejection during review. The rejection related to concerns that the app's presentation of IEBC data could be mistaken for an official government product.</w:t>
      </w:r>
    </w:p>
    <w:p>
      <w:pPr>
        <w:spacing w:after="0" w:before="0"/>
      </w:pPr>
      <w:r>
        <w:t xml:space="preserve"/>
      </w:r>
    </w:p>
    <w:p>
      <w:pPr>
        <w:spacing w:after="80" w:before="60"/>
      </w:pPr>
      <w:r>
        <w:rPr>
          <w:rFonts w:ascii="Arial" w:cs="Arial" w:eastAsia="Arial" w:hAnsi="Arial"/>
          <w:color w:val="141414"/>
          <w:sz w:val="22"/>
          <w:szCs w:val="22"/>
        </w:rPr>
        <w:t xml:space="preserve">Resolution approach:</w:t>
      </w:r>
    </w:p>
    <w:p>
      <w:pPr>
        <w:spacing w:after="0" w:before="0"/>
      </w:pPr>
      <w:r>
        <w:t xml:space="preserve"/>
      </w:r>
    </w:p>
    <w:p>
      <w:pPr>
        <w:pStyle w:val="ListParagraph"/>
        <w:numPr>
          <w:ilvl w:val="0"/>
          <w:numId w:val="2"/>
        </w:numPr>
        <w:spacing w:after="40" w:before="40"/>
      </w:pPr>
      <w:r>
        <w:rPr>
          <w:rFonts w:ascii="Arial" w:cs="Arial" w:eastAsia="Arial" w:hAnsi="Arial"/>
          <w:color w:val="141414"/>
          <w:sz w:val="22"/>
          <w:szCs w:val="22"/>
        </w:rPr>
        <w:t xml:space="preserve">Added prominent non-affiliation disclaimer to all app screens and Store listing</w:t>
      </w:r>
    </w:p>
    <w:p>
      <w:pPr>
        <w:pStyle w:val="ListParagraph"/>
        <w:numPr>
          <w:ilvl w:val="0"/>
          <w:numId w:val="2"/>
        </w:numPr>
        <w:spacing w:after="40" w:before="40"/>
      </w:pPr>
      <w:r>
        <w:rPr>
          <w:rFonts w:ascii="Arial" w:cs="Arial" w:eastAsia="Arial" w:hAnsi="Arial"/>
          <w:color w:val="141414"/>
          <w:sz w:val="22"/>
          <w:szCs w:val="22"/>
        </w:rPr>
        <w:t xml:space="preserve">Added source attribution links pointing to iebc.or.ke as the origin of the underlying data</w:t>
      </w:r>
    </w:p>
    <w:p>
      <w:pPr>
        <w:pStyle w:val="ListParagraph"/>
        <w:numPr>
          <w:ilvl w:val="0"/>
          <w:numId w:val="2"/>
        </w:numPr>
        <w:spacing w:after="40" w:before="40"/>
      </w:pPr>
      <w:r>
        <w:rPr>
          <w:rFonts w:ascii="Arial" w:cs="Arial" w:eastAsia="Arial" w:hAnsi="Arial"/>
          <w:color w:val="141414"/>
          <w:sz w:val="22"/>
          <w:szCs w:val="22"/>
        </w:rPr>
        <w:t xml:space="preserve">Revised app store listing description to clearly state independent civic project status</w:t>
      </w:r>
    </w:p>
    <w:p>
      <w:pPr>
        <w:pStyle w:val="ListParagraph"/>
        <w:numPr>
          <w:ilvl w:val="0"/>
          <w:numId w:val="2"/>
        </w:numPr>
        <w:spacing w:after="40" w:before="40"/>
      </w:pPr>
      <w:r>
        <w:rPr>
          <w:rFonts w:ascii="Arial" w:cs="Arial" w:eastAsia="Arial" w:hAnsi="Arial"/>
          <w:color w:val="141414"/>
          <w:sz w:val="22"/>
          <w:szCs w:val="22"/>
        </w:rPr>
        <w:t xml:space="preserve">App was subsequently approved and is live on the Google Play Store</w:t>
      </w:r>
    </w:p>
    <w:p>
      <w:pPr>
        <w:spacing w:after="0" w:before="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0"/>
        <w:gridCol w:w="9200"/>
      </w:tblGrid>
      <w:tr>
        <w:tc>
          <w:tcPr>
            <w:tcW w:type="dxa" w:w="160"/>
            <w:tcBorders>
              <w:top w:val="none" w:color="FFFFFF" w:sz="0"/>
              <w:left w:val="none" w:color="FFFFFF" w:sz="0"/>
              <w:bottom w:val="none" w:color="FFFFFF" w:sz="0"/>
              <w:right w:val="none" w:color="FFFFFF" w:sz="0"/>
            </w:tcBorders>
            <w:shd w:fill="056602" w:val="clear"/>
          </w:tcPr>
          <w:p>
            <w:r>
              <w:t xml:space="preserve"/>
            </w:r>
          </w:p>
        </w:tc>
        <w:tc>
          <w:tcPr>
            <w:tcW w:type="dxa" w:w="9200"/>
            <w:tcBorders>
              <w:top w:val="none" w:color="FFFFFF" w:sz="0"/>
              <w:left w:val="none" w:color="FFFFFF" w:sz="0"/>
              <w:bottom w:val="none" w:color="FFFFFF" w:sz="0"/>
              <w:right w:val="single" w:color="DDDDDD" w:sz="4"/>
            </w:tcBorders>
            <w:shd w:fill="EAF4EA" w:val="clear"/>
            <w:tcMar>
              <w:top w:type="dxa" w:w="120"/>
              <w:left w:type="dxa" w:w="200"/>
              <w:bottom w:type="dxa" w:w="120"/>
              <w:right w:type="dxa" w:w="200"/>
            </w:tcMar>
          </w:tcPr>
          <w:p>
            <w:r>
              <w:rPr>
                <w:rFonts w:ascii="Arial" w:cs="Arial" w:eastAsia="Arial" w:hAnsi="Arial"/>
                <w:b/>
                <w:bCs/>
                <w:color w:val="056602"/>
                <w:sz w:val="22"/>
                <w:szCs w:val="22"/>
              </w:rPr>
              <w:t xml:space="preserve">Play Store Note</w:t>
            </w:r>
          </w:p>
          <w:p>
            <w:pPr>
              <w:spacing w:after="40" w:before="40"/>
            </w:pPr>
            <w:r>
              <w:rPr>
                <w:rFonts w:ascii="Arial" w:cs="Arial" w:eastAsia="Arial" w:hAnsi="Arial"/>
                <w:color w:val="141414"/>
                <w:sz w:val="21"/>
                <w:szCs w:val="21"/>
              </w:rPr>
              <w:t xml:space="preserve">The app is listed as an independent civic technology tool, not affiliated with or endorsed by the IEBC or the Government of Kenya.</w:t>
            </w:r>
          </w:p>
          <w:p>
            <w:pPr>
              <w:spacing w:after="40" w:before="40"/>
            </w:pPr>
            <w:r>
              <w:rPr>
                <w:rFonts w:ascii="Arial" w:cs="Arial" w:eastAsia="Arial" w:hAnsi="Arial"/>
                <w:color w:val="141414"/>
                <w:sz w:val="21"/>
                <w:szCs w:val="21"/>
              </w:rPr>
              <w:t xml:space="preserve">Data source is credited to iebc.or.ke in-app and in the store listing.</w:t>
            </w:r>
          </w:p>
          <w:p>
            <w:pPr>
              <w:spacing w:after="40" w:before="40"/>
            </w:pPr>
            <w:r>
              <w:rPr>
                <w:rFonts w:ascii="Arial" w:cs="Arial" w:eastAsia="Arial" w:hAnsi="Arial"/>
                <w:color w:val="141414"/>
                <w:sz w:val="21"/>
                <w:szCs w:val="21"/>
              </w:rPr>
              <w:t xml:space="preserve">CEKA maintains institutional anonymity — the app is presented as a CEKA platform product, not under an individual's name.</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7. Development History &amp; Versioning</w:t>
      </w:r>
    </w:p>
    <w:p>
      <w:pPr>
        <w:pStyle w:val="Heading2"/>
        <w:spacing w:after="100" w:before="300"/>
      </w:pPr>
      <w:r>
        <w:rPr>
          <w:rFonts w:ascii="Arial" w:cs="Arial" w:eastAsia="Arial" w:hAnsi="Arial"/>
          <w:b/>
          <w:bCs/>
          <w:color w:val="141414"/>
          <w:sz w:val="28"/>
          <w:szCs w:val="28"/>
        </w:rPr>
        <w:t xml:space="preserve">Pipeline Versioning</w:t>
      </w:r>
    </w:p>
    <w:p>
      <w:pPr>
        <w:spacing w:after="80" w:before="60"/>
      </w:pPr>
      <w:r>
        <w:rPr>
          <w:rFonts w:ascii="Arial" w:cs="Arial" w:eastAsia="Arial" w:hAnsi="Arial"/>
          <w:color w:val="141414"/>
          <w:sz w:val="22"/>
          <w:szCs w:val="22"/>
        </w:rPr>
        <w:t xml:space="preserve">The Nasaka IEBC geocoding pipeline has been developed through more than 10 named versions (v1 through v10+), each representing a significant architectural or data quality improvement. Versioning reflects the iterative nature of geocoding at scale: each pass through the dataset revealed new categories of errors, uncovered provider coverage gaps, and surfaced data quality issues requiring new handling logic.</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4"/>
              <w:left w:val="single" w:color="DDDDDD" w:sz="4"/>
              <w:bottom w:val="single" w:color="DDDDDD" w:sz="4"/>
              <w:right w:val="single" w:color="DDDDDD" w:sz="4"/>
            </w:tcBorders>
            <w:shd w:fill="F5F5F5" w:val="clear"/>
            <w:tcMar>
              <w:top w:type="dxa" w:w="120"/>
              <w:left w:type="dxa" w:w="200"/>
              <w:bottom w:type="dxa" w:w="120"/>
              <w:right w:type="dxa" w:w="200"/>
            </w:tcMar>
          </w:tcPr>
          <w:p>
            <w:r>
              <w:rPr>
                <w:rFonts w:ascii="Arial" w:cs="Arial" w:eastAsia="Arial" w:hAnsi="Arial"/>
                <w:b/>
                <w:bCs/>
                <w:color w:val="0A2540"/>
                <w:sz w:val="22"/>
                <w:szCs w:val="22"/>
              </w:rPr>
              <w:t xml:space="preserve">Pipeline Evolution Summary</w:t>
            </w:r>
          </w:p>
          <w:p>
            <w:pPr>
              <w:spacing w:before="60"/>
            </w:pPr>
            <w:r>
              <w:rPr>
                <w:rFonts w:ascii="Arial" w:cs="Arial" w:eastAsia="Arial" w:hAnsi="Arial"/>
                <w:color w:val="555555"/>
                <w:sz w:val="21"/>
                <w:szCs w:val="21"/>
              </w:rPr>
              <w:t xml:space="preserve">Early versions: Basic scraping and first-pass geocoding with a single provider.</w:t>
            </w:r>
          </w:p>
          <w:p>
            <w:pPr>
              <w:spacing w:before="40"/>
            </w:pPr>
            <w:r>
              <w:rPr>
                <w:rFonts w:ascii="Arial" w:cs="Arial" w:eastAsia="Arial" w:hAnsi="Arial"/>
                <w:color w:val="555555"/>
                <w:sz w:val="21"/>
                <w:szCs w:val="21"/>
              </w:rPr>
              <w:t xml:space="preserve">Mid versions: Introduction of provider stratification, confidence scoring, and Ministry of Education shapefile fuzzy matching.</w:t>
            </w:r>
          </w:p>
          <w:p>
            <w:pPr>
              <w:spacing w:before="40"/>
            </w:pPr>
            <w:r>
              <w:rPr>
                <w:rFonts w:ascii="Arial" w:cs="Arial" w:eastAsia="Arial" w:hAnsi="Arial"/>
                <w:color w:val="555555"/>
                <w:sz w:val="21"/>
                <w:szCs w:val="21"/>
              </w:rPr>
              <w:t xml:space="preserve">Later versions: Titan AI cascade integration, coordinate correction for identified wrong-coordinate constituencies, and CDN architecture migration.</w:t>
            </w:r>
          </w:p>
          <w:p>
            <w:pPr>
              <w:spacing w:before="40"/>
            </w:pPr>
            <w:r>
              <w:rPr>
                <w:rFonts w:ascii="Arial" w:cs="Arial" w:eastAsia="Arial" w:hAnsi="Arial"/>
                <w:color w:val="555555"/>
                <w:sz w:val="21"/>
                <w:szCs w:val="21"/>
              </w:rPr>
              <w:t xml:space="preserve">v10+: Current production-stable version with full stratification, fallback chain, coordinate corrections, and R2 CDN delivery.</w:t>
            </w:r>
          </w:p>
        </w:tc>
      </w:tr>
    </w:tbl>
    <w:p>
      <w:pPr>
        <w:spacing w:after="0" w:before="0"/>
      </w:pPr>
      <w:r>
        <w:t xml:space="preserve"/>
      </w:r>
    </w:p>
    <w:p>
      <w:pPr>
        <w:pStyle w:val="Heading2"/>
        <w:spacing w:after="100" w:before="300"/>
      </w:pPr>
      <w:r>
        <w:rPr>
          <w:rFonts w:ascii="Arial" w:cs="Arial" w:eastAsia="Arial" w:hAnsi="Arial"/>
          <w:b/>
          <w:bCs/>
          <w:color w:val="141414"/>
          <w:sz w:val="28"/>
          <w:szCs w:val="28"/>
        </w:rPr>
        <w:t xml:space="preserve">Build Timeline (Key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6760"/>
      </w:tblGrid>
      <w:tr>
        <w:tc>
          <w:tcPr>
            <w:tcW w:type="dxa" w:w="600"/>
            <w:tcBorders>
              <w:top w:val="single" w:color="DDDDDD" w:sz="4"/>
              <w:left w:val="single" w:color="DDDDDD" w:sz="4"/>
              <w:bottom w:val="single" w:color="DDDDDD" w:sz="4"/>
              <w:right w:val="single" w:color="DDDDDD" w:sz="4"/>
            </w:tcBorders>
            <w:shd w:fill="0A2540" w:val="clear"/>
            <w:tcMar>
              <w:top w:type="dxa" w:w="80"/>
              <w:left w:type="dxa" w:w="80"/>
              <w:bottom w:type="dxa" w:w="80"/>
              <w:right w:type="dxa" w:w="80"/>
            </w:tcMar>
          </w:tcPr>
          <w:p>
            <w:pPr>
              <w:jc w:val="center"/>
            </w:pPr>
            <w:r>
              <w:rPr>
                <w:rFonts w:ascii="Arial" w:cs="Arial" w:eastAsia="Arial" w:hAnsi="Arial"/>
                <w:b/>
                <w:bCs/>
                <w:color w:val="FFFFFF"/>
                <w:sz w:val="20"/>
                <w:szCs w:val="20"/>
              </w:rPr>
              <w:t xml:space="preserve">#</w:t>
            </w:r>
          </w:p>
        </w:tc>
        <w:tc>
          <w:tcPr>
            <w:tcW w:type="dxa" w:w="200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6760"/>
            <w:tcBorders>
              <w:top w:val="single" w:color="DDDDDD" w:sz="4"/>
              <w:left w:val="single" w:color="DDDDDD" w:sz="4"/>
              <w:bottom w:val="single" w:color="DDDDDD" w:sz="4"/>
              <w:right w:val="single" w:color="DDDDDD" w:sz="4"/>
            </w:tcBorders>
            <w:shd w:fill="0A254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IEBC Scraper Built</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Puppeteer-based scraper navigating cascading dropdown interface; full national dataset extracted</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2</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First Geocoding Pass</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Initial coordinate resolution using primary providers; raw iebc_offices dataset created in Supabase</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3</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Schools Shapefile Layer</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Ministry of Education shapefile integrated as local fuzzy-match layer for rural centre resolution</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4</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Titan AI Cascade</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AI-assisted fallback chain added for records failing primary geocoding</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5</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Coordinate QA &amp; Correction</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Manual QA identified 6 constituencies with critically wrong coordinates; direct corrections applied</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6</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Android App Development</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React/TS/Vite app wrapped in Capacitor for Android; offline dataset caching implemented</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7</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Play Store Submission</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App submitted; Misleading Claims rejection received and resolved with disclaimers and source links</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8</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Play Store Approval</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App approved and live on Google Play Store</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9</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Egress Crisis &amp; R2 Migration</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Supabase egress cost crisis identified; R2 static export + CDN subdomain architecture built and deployed</w:t>
            </w:r>
          </w:p>
        </w:tc>
      </w:tr>
      <w:tr>
        <w:tc>
          <w:tcPr>
            <w:tcW w:type="dxa" w:w="600"/>
            <w:tcBorders>
              <w:top w:val="single" w:color="DDDDDD" w:sz="4"/>
              <w:left w:val="single" w:color="DDDDDD" w:sz="4"/>
              <w:bottom w:val="single" w:color="DDDDDD" w:sz="4"/>
              <w:right w:val="single" w:color="DDDDDD" w:sz="4"/>
            </w:tcBorders>
            <w:shd w:fill="BB0301" w:val="clear"/>
            <w:tcMar>
              <w:top w:type="dxa" w:w="100"/>
              <w:left w:type="dxa" w:w="120"/>
              <w:bottom w:type="dxa" w:w="100"/>
              <w:right w:type="dxa" w:w="120"/>
            </w:tcMar>
            <w:vAlign w:val="center"/>
          </w:tcPr>
          <w:p>
            <w:pPr>
              <w:jc w:val="center"/>
            </w:pPr>
            <w:r>
              <w:rPr>
                <w:rFonts w:ascii="Arial" w:cs="Arial" w:eastAsia="Arial" w:hAnsi="Arial"/>
                <w:b/>
                <w:bCs/>
                <w:color w:val="FFFFFF"/>
                <w:sz w:val="24"/>
                <w:szCs w:val="24"/>
              </w:rPr>
              <w:t xml:space="preserve">10+</w:t>
            </w:r>
          </w:p>
        </w:tc>
        <w:tc>
          <w:tcPr>
            <w:tcW w:type="dxa" w:w="2000"/>
            <w:tcBorders>
              <w:top w:val="single" w:color="DDDDDD" w:sz="4"/>
              <w:left w:val="single" w:color="DDDDDD" w:sz="4"/>
              <w:bottom w:val="single" w:color="DDDDDD" w:sz="4"/>
              <w:right w:val="single" w:color="DDDDDD" w:sz="4"/>
            </w:tcBorders>
            <w:shd w:fill="F5F5F5" w:val="clear"/>
            <w:tcMar>
              <w:top w:type="dxa" w:w="100"/>
              <w:left w:type="dxa" w:w="120"/>
              <w:bottom w:type="dxa" w:w="100"/>
              <w:right w:type="dxa" w:w="120"/>
            </w:tcMar>
          </w:tcPr>
          <w:p>
            <w:r>
              <w:rPr>
                <w:rFonts w:ascii="Arial" w:cs="Arial" w:eastAsia="Arial" w:hAnsi="Arial"/>
                <w:b/>
                <w:bCs/>
                <w:color w:val="141414"/>
                <w:sz w:val="22"/>
                <w:szCs w:val="22"/>
              </w:rPr>
              <w:t xml:space="preserve">DNS Full Migration</w:t>
            </w:r>
          </w:p>
        </w:tc>
        <w:tc>
          <w:tcPr>
            <w:tcW w:type="dxa" w:w="6760"/>
            <w:tcBorders>
              <w:top w:val="single" w:color="DDDDDD" w:sz="4"/>
              <w:left w:val="single" w:color="DDDDDD" w:sz="4"/>
              <w:bottom w:val="single" w:color="DDDDDD" w:sz="4"/>
              <w:right w:val="single" w:color="DDDDDD" w:sz="4"/>
            </w:tcBorders>
            <w:tcMar>
              <w:top w:type="dxa" w:w="100"/>
              <w:left w:type="dxa" w:w="120"/>
              <w:bottom w:type="dxa" w:w="100"/>
              <w:right w:type="dxa" w:w="120"/>
            </w:tcMar>
          </w:tcPr>
          <w:p>
            <w:r>
              <w:rPr>
                <w:rFonts w:ascii="Arial" w:cs="Arial" w:eastAsia="Arial" w:hAnsi="Arial"/>
                <w:color w:val="555555"/>
                <w:sz w:val="21"/>
                <w:szCs w:val="21"/>
              </w:rPr>
              <w:t xml:space="preserve">All infrastructure migrated to Cloudflare; Vercel removed from stack; Cloudflare-only architecture achieved</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8. Civic Impact &amp; Significance</w:t>
      </w:r>
    </w:p>
    <w:p>
      <w:pPr>
        <w:pStyle w:val="Heading2"/>
        <w:spacing w:after="100" w:before="300"/>
      </w:pPr>
      <w:r>
        <w:rPr>
          <w:rFonts w:ascii="Arial" w:cs="Arial" w:eastAsia="Arial" w:hAnsi="Arial"/>
          <w:b/>
          <w:bCs/>
          <w:color w:val="141414"/>
          <w:sz w:val="28"/>
          <w:szCs w:val="28"/>
        </w:rPr>
        <w:t xml:space="preserve">Why This Matters</w:t>
      </w:r>
    </w:p>
    <w:p>
      <w:pPr>
        <w:spacing w:after="80" w:before="60"/>
      </w:pPr>
      <w:r>
        <w:rPr>
          <w:rFonts w:ascii="Arial" w:cs="Arial" w:eastAsia="Arial" w:hAnsi="Arial"/>
          <w:color w:val="141414"/>
          <w:sz w:val="22"/>
          <w:szCs w:val="22"/>
        </w:rPr>
        <w:t xml:space="preserve">Kenya has a long history of electoral disputes, voter disenfranchisement, and civic information asymmetry. The IEBC is a constitutionally mandated body but has historically faced credibility challenges. Voter registration — the first step of democratic participation — should not be obstructed by an unusable data interface.</w:t>
      </w:r>
    </w:p>
    <w:p>
      <w:pPr>
        <w:spacing w:after="0" w:before="0"/>
      </w:pPr>
      <w:r>
        <w:t xml:space="preserve"/>
      </w:r>
    </w:p>
    <w:p>
      <w:pPr>
        <w:spacing w:after="80" w:before="60"/>
      </w:pPr>
      <w:r>
        <w:rPr>
          <w:rFonts w:ascii="Arial" w:cs="Arial" w:eastAsia="Arial" w:hAnsi="Arial"/>
          <w:color w:val="141414"/>
          <w:sz w:val="22"/>
          <w:szCs w:val="22"/>
        </w:rPr>
        <w:t xml:space="preserve">Nasaka IEBC addresses this directly:</w:t>
      </w:r>
    </w:p>
    <w:p>
      <w:pPr>
        <w:spacing w:after="0" w:before="0"/>
      </w:pPr>
      <w:r>
        <w:t xml:space="preserve"/>
      </w:r>
    </w:p>
    <w:p>
      <w:pPr>
        <w:pStyle w:val="ListParagraph"/>
        <w:numPr>
          <w:ilvl w:val="0"/>
          <w:numId w:val="2"/>
        </w:numPr>
        <w:spacing w:after="40" w:before="40"/>
      </w:pPr>
      <w:r>
        <w:rPr>
          <w:rFonts w:ascii="Arial" w:cs="Arial" w:eastAsia="Arial" w:hAnsi="Arial"/>
          <w:color w:val="141414"/>
          <w:sz w:val="22"/>
          <w:szCs w:val="22"/>
        </w:rPr>
        <w:t xml:space="preserve">It democratises access to official registration data that was technically public but practically inaccessible</w:t>
      </w:r>
    </w:p>
    <w:p>
      <w:pPr>
        <w:pStyle w:val="ListParagraph"/>
        <w:numPr>
          <w:ilvl w:val="0"/>
          <w:numId w:val="2"/>
        </w:numPr>
        <w:spacing w:after="40" w:before="40"/>
      </w:pPr>
      <w:r>
        <w:rPr>
          <w:rFonts w:ascii="Arial" w:cs="Arial" w:eastAsia="Arial" w:hAnsi="Arial"/>
          <w:color w:val="141414"/>
          <w:sz w:val="22"/>
          <w:szCs w:val="22"/>
        </w:rPr>
        <w:t xml:space="preserve">It enables citizens in rural Kenya — who rely entirely on mobile internet — to locate their registration centre without navigating a desktop-optimised government website</w:t>
      </w:r>
    </w:p>
    <w:p>
      <w:pPr>
        <w:pStyle w:val="ListParagraph"/>
        <w:numPr>
          <w:ilvl w:val="0"/>
          <w:numId w:val="2"/>
        </w:numPr>
        <w:spacing w:after="40" w:before="40"/>
      </w:pPr>
      <w:r>
        <w:rPr>
          <w:rFonts w:ascii="Arial" w:cs="Arial" w:eastAsia="Arial" w:hAnsi="Arial"/>
          <w:color w:val="141414"/>
          <w:sz w:val="22"/>
          <w:szCs w:val="22"/>
        </w:rPr>
        <w:t xml:space="preserve">It creates the first known machine-readable, geocoded, offline-capable reference dataset for IEBC voter registration centres</w:t>
      </w:r>
    </w:p>
    <w:p>
      <w:pPr>
        <w:pStyle w:val="ListParagraph"/>
        <w:numPr>
          <w:ilvl w:val="0"/>
          <w:numId w:val="2"/>
        </w:numPr>
        <w:spacing w:after="40" w:before="40"/>
      </w:pPr>
      <w:r>
        <w:rPr>
          <w:rFonts w:ascii="Arial" w:cs="Arial" w:eastAsia="Arial" w:hAnsi="Arial"/>
          <w:color w:val="141414"/>
          <w:sz w:val="22"/>
          <w:szCs w:val="22"/>
        </w:rPr>
        <w:t xml:space="preserve">It has already corrected errors in IEBC's own data that would have misdirected citizens in six constituencies</w:t>
      </w:r>
    </w:p>
    <w:p>
      <w:pPr>
        <w:pStyle w:val="ListParagraph"/>
        <w:numPr>
          <w:ilvl w:val="0"/>
          <w:numId w:val="2"/>
        </w:numPr>
        <w:spacing w:after="40" w:before="40"/>
      </w:pPr>
      <w:r>
        <w:rPr>
          <w:rFonts w:ascii="Arial" w:cs="Arial" w:eastAsia="Arial" w:hAnsi="Arial"/>
          <w:color w:val="141414"/>
          <w:sz w:val="22"/>
          <w:szCs w:val="22"/>
        </w:rPr>
        <w:t xml:space="preserve">It provides election observers, researchers, and journalists with a systematic dataset for registration pattern analysis</w:t>
      </w:r>
    </w:p>
    <w:p>
      <w:pPr>
        <w:pStyle w:val="ListParagraph"/>
        <w:numPr>
          <w:ilvl w:val="0"/>
          <w:numId w:val="2"/>
        </w:numPr>
        <w:spacing w:after="40" w:before="40"/>
      </w:pPr>
      <w:r>
        <w:rPr>
          <w:rFonts w:ascii="Arial" w:cs="Arial" w:eastAsia="Arial" w:hAnsi="Arial"/>
          <w:color w:val="141414"/>
          <w:sz w:val="22"/>
          <w:szCs w:val="22"/>
        </w:rPr>
        <w:t xml:space="preserve">It operates entirely independently of the IEBC — no data sharing agreement, no institutional relationship, no government funding — as a citizen-led civic accountability initiative</w:t>
      </w:r>
    </w:p>
    <w:p>
      <w:pPr>
        <w:spacing w:after="0" w:before="0"/>
      </w:pPr>
      <w:r>
        <w:t xml:space="preserve"/>
      </w:r>
    </w:p>
    <w:p>
      <w:pPr>
        <w:pStyle w:val="Heading2"/>
        <w:spacing w:after="100" w:before="300"/>
      </w:pPr>
      <w:r>
        <w:rPr>
          <w:rFonts w:ascii="Arial" w:cs="Arial" w:eastAsia="Arial" w:hAnsi="Arial"/>
          <w:b/>
          <w:bCs/>
          <w:color w:val="141414"/>
          <w:sz w:val="28"/>
          <w:szCs w:val="28"/>
        </w:rPr>
        <w:t xml:space="preserve">CEKA's Broader Context</w:t>
      </w:r>
    </w:p>
    <w:p>
      <w:pPr>
        <w:spacing w:after="80" w:before="60"/>
      </w:pPr>
      <w:r>
        <w:rPr>
          <w:rFonts w:ascii="Arial" w:cs="Arial" w:eastAsia="Arial" w:hAnsi="Arial"/>
          <w:color w:val="141414"/>
          <w:sz w:val="22"/>
          <w:szCs w:val="22"/>
        </w:rPr>
        <w:t xml:space="preserve">Nasaka IEBC is the flagship data transparency project within CEKA's portfolio. CEKA's stated mission is to bridge the information gap between Kenyan citizens and democratic institutions. Nasaka IEBC operationalises this by converting an opaque official data interface into a citizen-facing, searchable, offline tool — with the corrections and quality improvements built on top of IEBC's own source material.</w:t>
      </w:r>
    </w:p>
    <w:p>
      <w:pPr>
        <w:spacing w:after="0" w:before="0"/>
      </w:pPr>
      <w:r>
        <w:t xml:space="preserve"/>
      </w:r>
    </w:p>
    <w:p>
      <w:pPr>
        <w:spacing w:after="80" w:before="60"/>
      </w:pPr>
      <w:r>
        <w:rPr>
          <w:rFonts w:ascii="Arial" w:cs="Arial" w:eastAsia="Arial" w:hAnsi="Arial"/>
          <w:color w:val="141414"/>
          <w:sz w:val="22"/>
          <w:szCs w:val="22"/>
        </w:rPr>
        <w:t xml:space="preserve">CEKA has run additional campaigns using this data foundation — including work on enforced disappearances accountability and electoral transparency — establishing Nasaka IEBC as infrastructure for multiple civic programmes rather than a standalone tool.</w:t>
      </w:r>
    </w:p>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9. Related CEKA Sub-Products Using This Data</w:t>
      </w:r>
    </w:p>
    <w:p>
      <w:pPr>
        <w:pStyle w:val="Heading2"/>
        <w:spacing w:after="100" w:before="300"/>
      </w:pPr>
      <w:r>
        <w:rPr>
          <w:rFonts w:ascii="Arial" w:cs="Arial" w:eastAsia="Arial" w:hAnsi="Arial"/>
          <w:b/>
          <w:bCs/>
          <w:color w:val="141414"/>
          <w:sz w:val="28"/>
          <w:szCs w:val="28"/>
        </w:rPr>
        <w:t xml:space="preserve">Niko Kadi</w:t>
      </w:r>
    </w:p>
    <w:p>
      <w:pPr>
        <w:spacing w:after="80" w:before="60"/>
      </w:pPr>
      <w:r>
        <w:rPr>
          <w:rFonts w:ascii="Arial" w:cs="Arial" w:eastAsia="Arial" w:hAnsi="Arial"/>
          <w:color w:val="141414"/>
          <w:sz w:val="22"/>
          <w:szCs w:val="22"/>
        </w:rPr>
        <w:t xml:space="preserve">A shareable voter lanyard card with client-side OCR, pendulum physics animation, and a zero-server privacy model. Designed for social media sharing of voter identity, built on top of the voter data ecosystem established by Nasaka IEBC. All data processing stays in the user's browser — no server ever sees personal voter information.</w:t>
      </w:r>
    </w:p>
    <w:p>
      <w:pPr>
        <w:spacing w:after="0" w:before="0"/>
      </w:pPr>
      <w:r>
        <w:t xml:space="preserve"/>
      </w:r>
    </w:p>
    <w:p>
      <w:pPr>
        <w:pStyle w:val="Heading2"/>
        <w:spacing w:after="100" w:before="300"/>
      </w:pPr>
      <w:r>
        <w:rPr>
          <w:rFonts w:ascii="Arial" w:cs="Arial" w:eastAsia="Arial" w:hAnsi="Arial"/>
          <w:b/>
          <w:bCs/>
          <w:color w:val="141414"/>
          <w:sz w:val="28"/>
          <w:szCs w:val="28"/>
        </w:rPr>
        <w:t xml:space="preserve">Nasaka WEWE</w:t>
      </w:r>
    </w:p>
    <w:p>
      <w:pPr>
        <w:spacing w:after="80" w:before="60"/>
      </w:pPr>
      <w:r>
        <w:rPr>
          <w:rFonts w:ascii="Arial" w:cs="Arial" w:eastAsia="Arial" w:hAnsi="Arial"/>
          <w:color w:val="141414"/>
          <w:sz w:val="22"/>
          <w:szCs w:val="22"/>
        </w:rPr>
        <w:t xml:space="preserve">An offline mesh networking tool built as a fork of Briar (an open-source encrypted messaging app). Uses Bluetooth Low Energy (BLE) and Wi-Fi Direct to establish peer-to-peer civic communication without internet connectivity. Designed for deployment at registration centres or polling locations during elections when networks are congested or disrupted. Full Kotlin and Jetpack Compose codebase; reached near-completion.</w:t>
      </w:r>
    </w:p>
    <w:p>
      <w:pPr>
        <w:spacing w:after="0" w:before="0"/>
      </w:pPr>
      <w:r>
        <w:t xml:space="preserve"/>
      </w:r>
    </w:p>
    <w:p>
      <w:pPr>
        <w:pStyle w:val="Heading2"/>
        <w:spacing w:after="100" w:before="300"/>
      </w:pPr>
      <w:r>
        <w:rPr>
          <w:rFonts w:ascii="Arial" w:cs="Arial" w:eastAsia="Arial" w:hAnsi="Arial"/>
          <w:b/>
          <w:bCs/>
          <w:color w:val="141414"/>
          <w:sz w:val="28"/>
          <w:szCs w:val="28"/>
        </w:rPr>
        <w:t xml:space="preserve">Malpractice Reporting Microsite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URL:</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report.civiceducationkenya.com</w:t>
            </w:r>
          </w:p>
        </w:tc>
      </w:tr>
    </w:tbl>
    <w:p>
      <w:pPr>
        <w:spacing w:after="80" w:before="60"/>
      </w:pPr>
      <w:r>
        <w:rPr>
          <w:rFonts w:ascii="Arial" w:cs="Arial" w:eastAsia="Arial" w:hAnsi="Arial"/>
          <w:color w:val="141414"/>
          <w:sz w:val="22"/>
          <w:szCs w:val="22"/>
        </w:rPr>
        <w:t xml:space="preserve">A ~40-file React/Supabase civic reporting platform for documenting voter registration malpractice. Includes client-side OCR for document uploads, behavioral bot detection for anti-spam, a public statistics dashboard, full submission encryption, and a Telegram notification pipeline for real-time alerts. Deployed at report.civiceducationkenya.com.</w:t>
      </w:r>
    </w:p>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10. Key Technical Decisions &amp;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DDDDD" w:sz="4"/>
              <w:left w:val="single" w:color="DDDDDD" w:sz="4"/>
              <w:bottom w:val="single" w:color="DDDDDD" w:sz="4"/>
              <w:right w:val="single" w:color="DDDDDD" w:sz="4"/>
            </w:tcBorders>
            <w:shd w:fill="141414" w:val="clear"/>
            <w:tcMar>
              <w:top w:type="dxa" w:w="80"/>
              <w:left w:type="dxa" w:w="120"/>
              <w:bottom w:type="dxa" w:w="80"/>
              <w:right w:type="dxa" w:w="120"/>
            </w:tcMar>
          </w:tcPr>
          <w:p>
            <w:r>
              <w:rPr>
                <w:rFonts w:ascii="Arial" w:cs="Arial" w:eastAsia="Arial" w:hAnsi="Arial"/>
                <w:b/>
                <w:bCs/>
                <w:color w:val="FFFFFF"/>
                <w:sz w:val="21"/>
                <w:szCs w:val="21"/>
              </w:rPr>
              <w:t xml:space="preserve">Decision</w:t>
            </w:r>
          </w:p>
        </w:tc>
        <w:tc>
          <w:tcPr>
            <w:tcW w:type="dxa" w:w="3000"/>
            <w:tcBorders>
              <w:top w:val="single" w:color="DDDDDD" w:sz="4"/>
              <w:left w:val="single" w:color="DDDDDD" w:sz="4"/>
              <w:bottom w:val="single" w:color="DDDDDD" w:sz="4"/>
              <w:right w:val="single" w:color="DDDDDD" w:sz="4"/>
            </w:tcBorders>
            <w:shd w:fill="141414" w:val="clear"/>
            <w:tcMar>
              <w:top w:type="dxa" w:w="80"/>
              <w:left w:type="dxa" w:w="120"/>
              <w:bottom w:type="dxa" w:w="80"/>
              <w:right w:type="dxa" w:w="120"/>
            </w:tcMar>
          </w:tcPr>
          <w:p>
            <w:r>
              <w:rPr>
                <w:rFonts w:ascii="Arial" w:cs="Arial" w:eastAsia="Arial" w:hAnsi="Arial"/>
                <w:b/>
                <w:bCs/>
                <w:color w:val="FFFFFF"/>
                <w:sz w:val="21"/>
                <w:szCs w:val="21"/>
              </w:rPr>
              <w:t xml:space="preserve">Choice Made</w:t>
            </w:r>
          </w:p>
        </w:tc>
        <w:tc>
          <w:tcPr>
            <w:tcW w:type="dxa" w:w="3960"/>
            <w:tcBorders>
              <w:top w:val="single" w:color="DDDDDD" w:sz="4"/>
              <w:left w:val="single" w:color="DDDDDD" w:sz="4"/>
              <w:bottom w:val="single" w:color="DDDDDD" w:sz="4"/>
              <w:right w:val="single" w:color="DDDDDD" w:sz="4"/>
            </w:tcBorders>
            <w:shd w:fill="141414" w:val="clear"/>
            <w:tcMar>
              <w:top w:type="dxa" w:w="80"/>
              <w:left w:type="dxa" w:w="120"/>
              <w:bottom w:type="dxa" w:w="80"/>
              <w:right w:type="dxa" w:w="120"/>
            </w:tcMar>
          </w:tcPr>
          <w:p>
            <w:r>
              <w:rPr>
                <w:rFonts w:ascii="Arial" w:cs="Arial" w:eastAsia="Arial" w:hAnsi="Arial"/>
                <w:b/>
                <w:bCs/>
                <w:color w:val="FFFFFF"/>
                <w:sz w:val="21"/>
                <w:szCs w:val="21"/>
              </w:rPr>
              <w:t xml:space="preserve">Rationale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Scraping method</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Puppeteer (headless browser)</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IEBC interface is JavaScript-rendered; HTTP-only scrapers fail against dynamic dropdowns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Geocoding fallback</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Titan AI cascade + MoE shapefile</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Commercial geocoders have poor coverage for Kenyan rural named places; local reference data fills the gap</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App delivery</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React/TS/Vite + Capacitor</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Reuses web codebase for Android without maintaining a separate native codebase; faster iteration</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Data delivery</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Cloudflare R2 CDN (static)</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Eliminates Supabase read egress costs; improves global latency via edge network</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Offline support</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Client-side dataset cache</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Kenya's mobile internet is unreliable outside urban centres; offline capability is essential for rural use</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Privacy stance</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No user data collected</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Civic accountability tool — collecting user data creates risk for citizens in sensitive political environments</w:t>
            </w:r>
          </w:p>
        </w:tc>
      </w:tr>
      <w:tr>
        <w:tc>
          <w:tcPr>
            <w:tcW w:type="dxa" w:w="240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b/>
                <w:bCs/>
                <w:color w:val="141414"/>
                <w:sz w:val="21"/>
                <w:szCs w:val="21"/>
              </w:rPr>
              <w:t xml:space="preserve">Affiliation stance</w:t>
            </w:r>
          </w:p>
        </w:tc>
        <w:tc>
          <w:tcPr>
            <w:tcW w:type="dxa" w:w="3000"/>
            <w:tcBorders>
              <w:top w:val="single" w:color="DDDDDD" w:sz="4"/>
              <w:left w:val="single" w:color="DDDDDD" w:sz="4"/>
              <w:bottom w:val="single" w:color="DDDDDD" w:sz="4"/>
              <w:right w:val="single" w:color="DDDDDD" w:sz="4"/>
            </w:tcBorders>
            <w:shd w:fill="F5F5F5" w:val="clear"/>
            <w:tcMar>
              <w:top w:type="dxa" w:w="80"/>
              <w:left w:type="dxa" w:w="120"/>
              <w:bottom w:type="dxa" w:w="80"/>
              <w:right w:type="dxa" w:w="120"/>
            </w:tcMar>
          </w:tcPr>
          <w:p>
            <w:r>
              <w:rPr>
                <w:rFonts w:ascii="Arial" w:cs="Arial" w:eastAsia="Arial" w:hAnsi="Arial"/>
                <w:color w:val="0A2540"/>
                <w:sz w:val="21"/>
                <w:szCs w:val="21"/>
              </w:rPr>
              <w:t xml:space="preserve">Full non-affiliation disclaimer</w:t>
            </w:r>
          </w:p>
        </w:tc>
        <w:tc>
          <w:tcPr>
            <w:tcW w:type="dxa" w:w="3960"/>
            <w:tcBorders>
              <w:top w:val="single" w:color="DDDDDD" w:sz="4"/>
              <w:left w:val="single" w:color="DDDDDD" w:sz="4"/>
              <w:bottom w:val="single" w:color="DDDDDD" w:sz="4"/>
              <w:right w:val="single" w:color="DDDDDD" w:sz="4"/>
            </w:tcBorders>
            <w:tcMar>
              <w:top w:type="dxa" w:w="80"/>
              <w:left w:type="dxa" w:w="120"/>
              <w:bottom w:type="dxa" w:w="80"/>
              <w:right w:type="dxa" w:w="120"/>
            </w:tcMar>
          </w:tcPr>
          <w:p>
            <w:r>
              <w:rPr>
                <w:rFonts w:ascii="Arial" w:cs="Arial" w:eastAsia="Arial" w:hAnsi="Arial"/>
                <w:color w:val="555555"/>
                <w:sz w:val="20"/>
                <w:szCs w:val="20"/>
              </w:rPr>
              <w:t xml:space="preserve">Required for Google Play approval; also correct and important — CEKA is independent of IEBC</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pStyle w:val="Heading1"/>
        <w:pBdr>
          <w:bottom w:val="single" w:color="BB0301" w:sz="10" w:space="6"/>
        </w:pBdr>
        <w:spacing w:after="140" w:before="400"/>
      </w:pPr>
      <w:r>
        <w:rPr>
          <w:rFonts w:ascii="Arial" w:cs="Arial" w:eastAsia="Arial" w:hAnsi="Arial"/>
          <w:b/>
          <w:bCs/>
          <w:color w:val="141414"/>
          <w:sz w:val="40"/>
          <w:szCs w:val="40"/>
        </w:rPr>
        <w:t xml:space="preserve">11. Quick Reference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Project Name: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Nasaka IEBC</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Parent Platform:</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Civic Education Kenya (CEKA) — civiceducationkenya.com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Data Source: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Independent Electoral and Boundaries Commission (IEBC) — iebc.or.ke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Centres Covered:</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24,000+ voter registration centres nationwide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Geographic Coverage:</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All 47 counties · 290 constituencies · Kenya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Pipeline Versions: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v10+ (iterative production builds)</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Geocoding Providers: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Multi-provider stratified architecture + Titan AI cascade + MoE schools shapefile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Corrected Constituencies: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BALAMBALA · BURA · CHESUMEI · EMGWEN · KAPSERET · IKOLOMANI</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App Stack:</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React · TypeScript · Vite · Capacitor</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Backend:</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Supabase (PostgreSQL)</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CDN: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Cloudflare R2 — static.nasakaiebc.civiceducationkenya.com</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DNS:</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Cloudflare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Distribution: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Google Play Store (live, approved)</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Affiliation:</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None — fully independent civic project, not affiliated with IEBC or Government of Kenya</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Data Privacy:</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No user data collected; client-side processing only; zero-server model where applicable</w:t>
            </w:r>
          </w:p>
        </w:tc>
      </w:tr>
    </w:tbl>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tcMar>
              <w:top w:type="dxa" w:w="40"/>
              <w:left w:type="dxa" w:w="0"/>
              <w:bottom w:type="dxa" w:w="40"/>
              <w:right w:type="dxa" w:w="120"/>
            </w:tcMar>
          </w:tcPr>
          <w:p>
            <w:r>
              <w:rPr>
                <w:rFonts w:ascii="Arial" w:cs="Arial" w:eastAsia="Arial" w:hAnsi="Arial"/>
                <w:b/>
                <w:bCs/>
                <w:color w:val="555555"/>
                <w:sz w:val="22"/>
                <w:szCs w:val="22"/>
              </w:rPr>
              <w:t xml:space="preserve">Builder:</w:t>
            </w:r>
          </w:p>
        </w:tc>
        <w:tc>
          <w:tcPr>
            <w:tcW w:type="dxa" w:w="6960"/>
            <w:tcBorders>
              <w:top w:val="none" w:color="FFFFFF" w:sz="0"/>
              <w:left w:val="none" w:color="FFFFFF" w:sz="0"/>
              <w:bottom w:val="none" w:color="FFFFFF" w:sz="0"/>
              <w:right w:val="none" w:color="FFFFFF" w:sz="0"/>
            </w:tcBorders>
            <w:tcMar>
              <w:top w:type="dxa" w:w="40"/>
              <w:left w:type="dxa" w:w="0"/>
              <w:bottom w:type="dxa" w:w="40"/>
              <w:right w:type="dxa" w:w="0"/>
            </w:tcMar>
          </w:tcPr>
          <w:p>
            <w:r>
              <w:rPr>
                <w:rFonts w:ascii="Arial" w:cs="Arial" w:eastAsia="Arial" w:hAnsi="Arial"/>
                <w:color w:val="141414"/>
                <w:sz w:val="22"/>
                <w:szCs w:val="22"/>
              </w:rPr>
              <w:t xml:space="preserve">Solo — CEKA founder (institutional anonymity maintained in civic contexts)</w:t>
            </w:r>
          </w:p>
        </w:tc>
      </w:tr>
    </w:tbl>
    <w:p>
      <w:pPr>
        <w:spacing w:after="0" w:before="0"/>
      </w:pPr>
      <w:r>
        <w:t xml:space="preserve"/>
      </w:r>
    </w:p>
    <w:p>
      <w:pPr>
        <w:spacing w:after="0" w:before="0"/>
      </w:pPr>
      <w:r>
        <w:t xml:space="preserve"/>
      </w:r>
    </w:p>
    <w:p>
      <w:pPr>
        <w:pBdr>
          <w:bottom w:val="single" w:color="DDDDDD" w:sz="4" w:space="1"/>
        </w:pBdr>
        <w:spacing w:after="120" w:before="120"/>
      </w:pPr>
      <w:r>
        <w:t xml:space="preserve"/>
      </w:r>
    </w:p>
    <w:p>
      <w:pPr>
        <w:spacing w:after="60" w:before="200"/>
      </w:pPr>
      <w:r>
        <w:rPr>
          <w:rFonts w:ascii="Arial" w:cs="Arial" w:eastAsia="Arial" w:hAnsi="Arial"/>
          <w:b/>
          <w:bCs/>
          <w:color w:val="555555"/>
          <w:sz w:val="22"/>
          <w:szCs w:val="22"/>
        </w:rPr>
        <w:t xml:space="preserve">Document Note</w:t>
      </w:r>
    </w:p>
    <w:p>
      <w:pPr>
        <w:spacing w:after="80" w:before="60"/>
      </w:pPr>
      <w:r>
        <w:rPr>
          <w:rFonts w:ascii="Arial" w:cs="Arial" w:eastAsia="Arial" w:hAnsi="Arial"/>
          <w:i/>
          <w:iCs/>
          <w:color w:val="555555"/>
          <w:sz w:val="20"/>
          <w:szCs w:val="20"/>
        </w:rPr>
        <w:t xml:space="preserve">This document is a comprehensive project description and technical report for Nasaka IEBC, compiled from all available project context, build history, and operational data. It is intended for use in partner presentations, press kits, grant applications, civic organisation briefings, and technical documentation. All data is factual and sourced from CEKA's own build records and public operational information.</w:t>
      </w:r>
    </w:p>
    <w:p>
      <w:pPr>
        <w:spacing w:after="0" w:before="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tabs>
        <w:tab w:val="right" w:pos="9360"/>
      </w:tabs>
      <w:spacing w:before="100"/>
    </w:pPr>
    <w:r>
      <w:rPr>
        <w:rFonts w:ascii="Arial" w:cs="Arial" w:eastAsia="Arial" w:hAnsi="Arial"/>
        <w:i/>
        <w:iCs/>
        <w:color w:val="555555"/>
        <w:sz w:val="18"/>
        <w:szCs w:val="18"/>
      </w:rPr>
      <w:t xml:space="preserve">Nasaka IEBC — Full Project Report · civiceducationkenya.com</w:t>
    </w:r>
    <w:r>
      <w:rPr>
        <w:rFonts w:ascii="Arial" w:cs="Arial" w:eastAsia="Arial" w:hAnsi="Arial"/>
        <w:color w:val="555555"/>
        <w:sz w:val="18"/>
        <w:szCs w:val="18"/>
      </w:rPr>
      <w:t xml:space="preserve">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0301" w:sz="4"/>
      </w:pBdr>
      <w:tabs>
        <w:tab w:val="right" w:pos="9360"/>
      </w:tabs>
      <w:spacing w:after="100"/>
    </w:pPr>
    <w:r>
      <w:rPr>
        <w:rFonts w:ascii="Arial" w:cs="Arial" w:eastAsia="Arial" w:hAnsi="Arial"/>
        <w:b/>
        <w:bCs/>
        <w:color w:val="BB0301"/>
        <w:sz w:val="20"/>
        <w:szCs w:val="20"/>
      </w:rPr>
      <w:t xml:space="preserve">NASAKA IEBC</w:t>
    </w:r>
    <w:r>
      <w:rPr>
        <w:rFonts w:ascii="Arial" w:cs="Arial" w:eastAsia="Arial" w:hAnsi="Arial"/>
        <w:color w:val="555555"/>
        <w:sz w:val="20"/>
        <w:szCs w:val="20"/>
      </w:rPr>
      <w:t xml:space="preserve"> · Civic Education Kenya (CEKA)</w:t>
    </w:r>
    <w:r>
      <w:rPr>
        <w:rFonts w:ascii="Arial" w:cs="Arial" w:eastAsia="Arial" w:hAnsi="Arial"/>
        <w:i/>
        <w:iCs/>
        <w:color w:val="555555"/>
        <w:sz w:val="20"/>
        <w:szCs w:val="20"/>
      </w:rPr>
      <w:t xml:space="preserve">	Project Description &amp; 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41414"/>
      <w:sz w:val="40"/>
      <w:szCs w:val="40"/>
    </w:rPr>
  </w:style>
  <w:style w:type="paragraph" w:styleId="Heading2">
    <w:name w:val="Heading 2"/>
    <w:basedOn w:val="Normal"/>
    <w:next w:val="Normal"/>
    <w:qFormat/>
    <w:pPr>
      <w:spacing w:after="100" w:before="300"/>
      <w:outlineLvl w:val="1"/>
    </w:pPr>
    <w:rPr>
      <w:rFonts w:ascii="Arial" w:cs="Arial" w:eastAsia="Arial" w:hAnsi="Arial"/>
      <w:b/>
      <w:bCs/>
      <w:color w:val="14141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2026-05-17T07:22:45.619Z</dcterms:created>
  <dcterms:modified xsi:type="dcterms:W3CDTF">2026-05-17T07:22:45.633Z</dcterms:modified>
</cp:coreProperties>
</file>

<file path=docProps/custom.xml><?xml version="1.0" encoding="utf-8"?>
<Properties xmlns="http://schemas.openxmlformats.org/officeDocument/2006/custom-properties" xmlns:vt="http://schemas.openxmlformats.org/officeDocument/2006/docPropsVTypes"/>
</file>