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A9D8F"/>
          <w:sz w:val="40"/>
        </w:rPr>
        <w:t>SAEM</w:t>
      </w:r>
    </w:p>
    <w:p>
      <w:pPr>
        <w:pStyle w:val="Title"/>
        <w:spacing w:before="160"/>
        <w:jc w:val="center"/>
      </w:pPr>
      <w:r>
        <w:t>EdTech Research</w:t>
        <w:br/>
        <w:t>&amp; Codespaces Build Book</w:t>
      </w:r>
    </w:p>
    <w:p>
      <w:pPr>
        <w:pStyle w:val="Subtitle"/>
        <w:jc w:val="center"/>
      </w:pPr>
      <w:r>
        <w:t>A research-backed blueprint for a scientific learning platform, adaptive cognition, verified problem solving, and original visual explanations</w:t>
      </w:r>
    </w:p>
    <w:p>
      <w:pPr>
        <w:spacing w:before="480"/>
        <w:jc w:val="center"/>
      </w:pPr>
      <w:r>
        <w:rPr>
          <w:b/>
          <w:color w:val="16324F"/>
          <w:sz w:val="20"/>
        </w:rPr>
        <w:t>JEE Advanced • NEET • Olympiads • University Physics • Mathematics</w:t>
      </w:r>
    </w:p>
    <w:p>
      <w:pPr>
        <w:spacing w:before="1600"/>
        <w:jc w:val="center"/>
      </w:pPr>
      <w:r>
        <w:rPr>
          <w:b/>
          <w:color w:val="176B87"/>
          <w:sz w:val="20"/>
        </w:rPr>
        <w:t>VISION → RESEARCH → ARCHITECTURE → TESTABLE MVP</w:t>
      </w:r>
    </w:p>
    <w:p>
      <w:pPr>
        <w:spacing w:before="160"/>
        <w:jc w:val="center"/>
      </w:pPr>
      <w:r>
        <w:rPr>
          <w:color w:val="5B6573"/>
          <w:sz w:val="17"/>
        </w:rPr>
        <w:t>Research edition • 22 October 2026 • Designed for implementation in GitHub Codespaces</w:t>
      </w:r>
    </w:p>
    <w:p>
      <w:r>
        <w:br w:type="page"/>
      </w:r>
    </w:p>
    <w:p>
      <w:pPr>
        <w:pStyle w:val="Heading1"/>
      </w:pPr>
      <w:r>
        <w:t>How to use this book</w:t>
      </w:r>
    </w:p>
    <w:p>
      <w:r>
        <w:rPr>
          <w:i w:val="0"/>
        </w:rPr>
        <w:t>This is an implementation-oriented research specification, not a promise that an AI system can autonomously teach or verify every scientific idea. It converts the SaemPhysics production-studio vision into a broader Saem EdTech platform with three deliberately separate engines: scientific correctness, learner modeling, and visual explanation.</w:t>
      </w:r>
    </w:p>
    <w:p>
      <w:r>
        <w:rPr>
          <w:i w:val="0"/>
        </w:rPr>
        <w:t>Read Chapters 1–6 to settle product and research decisions. Chapters 7–12 define the data, verification, visual compiler, and engineering boundaries. Chapters 13–16 turn the design into a Codespaces work plan and measurable release gates. The appendices provide a repository skeleton, schemas, prompts, and a book-ingestion protocol.</w:t>
      </w:r>
    </w:p>
    <w:tbl>
      <w:tblPr>
        <w:tblW w:type="auto" w:w="0"/>
        <w:jc w:val="center"/>
        <w:tblLook w:firstColumn="1" w:firstRow="1" w:lastColumn="0" w:lastRow="0" w:noHBand="0" w:noVBand="1" w:val="04A0"/>
      </w:tblPr>
      <w:tblGrid>
        <w:gridCol w:w="9994"/>
      </w:tblGrid>
      <w:tr>
        <w:trPr>
          <w:tblHeader w:val="true"/>
        </w:trPr>
        <w:tc>
          <w:tcPr>
            <w:tcW w:type="dxa" w:w="9994"/>
            <w:shd w:fill="EEF5F8"/>
            <w:tcMar>
              <w:top w:w="150" w:type="dxa"/>
              <w:start w:w="180" w:type="dxa"/>
              <w:bottom w:w="150" w:type="dxa"/>
              <w:end w:w="180" w:type="dxa"/>
            </w:tcMar>
          </w:tcPr>
          <w:p>
            <w:pPr>
              <w:spacing w:after="60"/>
            </w:pPr>
            <w:r>
              <w:rPr>
                <w:b/>
                <w:color w:val="176B87"/>
                <w:sz w:val="17"/>
              </w:rPr>
              <w:t>SOURCE BOUNDARY AND HONESTY NOTE</w:t>
            </w:r>
          </w:p>
          <w:p>
            <w:pPr>
              <w:spacing w:after="0"/>
            </w:pPr>
            <w:r>
              <w:rPr>
                <w:sz w:val="18"/>
              </w:rPr>
              <w:t>The workspace available for this task contains two earlier SaemPhysics planning documents: “AI Animation Studio: Architecture, Engineering &amp; Production Workflow Textbook” and “Future Roadmap: Knowledge-to-Lecture Engine.” These are used as the project baseline. The separate reference books mentioned as uploaded to your profile were not visible as files in this conversation, so this edition does not pretend to quote or analyze them. Chapter 15 specifies exactly how to integrate those books when the files are attached. The literature list is based on established works known to the authoring model; links and editions should be verified before formal publication.</w:t>
            </w:r>
          </w:p>
        </w:tc>
      </w:tr>
    </w:tbl>
    <w:p>
      <w:pPr>
        <w:spacing w:after="20"/>
      </w:pPr>
    </w:p>
    <w:p>
      <w:pPr>
        <w:pStyle w:val="Heading2"/>
      </w:pPr>
      <w:r>
        <w:t>Research questions this book is designed to answer</w:t>
      </w:r>
    </w:p>
    <w:p>
      <w:pPr>
        <w:pStyle w:val="ListBullet"/>
        <w:spacing w:after="40"/>
      </w:pPr>
      <w:r>
        <w:rPr>
          <w:b/>
        </w:rPr>
        <w:t xml:space="preserve">Product: </w:t>
      </w:r>
      <w:r>
        <w:t>How can a question library, concept graph, adaptive learner model, scientific solver, and animation compiler become one coherent teaching platform?</w:t>
      </w:r>
    </w:p>
    <w:p>
      <w:pPr>
        <w:pStyle w:val="ListBullet"/>
        <w:spacing w:after="40"/>
      </w:pPr>
      <w:r>
        <w:rPr>
          <w:b/>
        </w:rPr>
        <w:t xml:space="preserve">“Quantum Cognitive Algorithm”: </w:t>
      </w:r>
      <w:r>
        <w:t>What could that phrase mean precisely, and how should a non-classical or quantum-inspired model be tested rather than assumed to be better?</w:t>
      </w:r>
    </w:p>
    <w:p>
      <w:pPr>
        <w:pStyle w:val="ListBullet"/>
        <w:spacing w:after="40"/>
      </w:pPr>
      <w:r>
        <w:rPr>
          <w:b/>
        </w:rPr>
        <w:t xml:space="preserve">Trust: </w:t>
      </w:r>
      <w:r>
        <w:t>How can the platform prevent plausible-looking but incorrect physics, invented citations, rights violations, and unreviewed generated lessons?</w:t>
      </w:r>
    </w:p>
    <w:p>
      <w:pPr>
        <w:pStyle w:val="ListBullet"/>
        <w:spacing w:after="40"/>
      </w:pPr>
      <w:r>
        <w:rPr>
          <w:b/>
        </w:rPr>
        <w:t xml:space="preserve">Engineering: </w:t>
      </w:r>
      <w:r>
        <w:t>How can the frontend be authored mainly in Python while the runtime backend remains C#, C++, and/or C?</w:t>
      </w:r>
    </w:p>
    <w:p>
      <w:pPr>
        <w:pStyle w:val="ListBullet"/>
        <w:spacing w:after="40"/>
      </w:pPr>
      <w:r>
        <w:rPr>
          <w:b/>
        </w:rPr>
        <w:t xml:space="preserve">Execution: </w:t>
      </w:r>
      <w:r>
        <w:t>What is the smallest end-to-end feature that proves the architecture before the project grows too large?</w:t>
      </w:r>
    </w:p>
    <w:p>
      <w:pPr>
        <w:pStyle w:val="Heading1"/>
      </w:pPr>
      <w:r>
        <w:t>Contents</w:t>
      </w:r>
    </w:p>
    <w:p>
      <w:pPr>
        <w:spacing w:after="100" w:before="0" w:line="252" w:lineRule="auto"/>
      </w:pPr>
      <w:r>
        <w:rPr>
          <w:sz w:val="17"/>
        </w:rPr>
        <w:t>PART I — Product thesis: 1. North star; 2. Three-engine architecture; 3. Language and deployment strategy</w:t>
      </w:r>
    </w:p>
    <w:p>
      <w:pPr>
        <w:spacing w:after="100" w:before="0" w:line="252" w:lineRule="auto"/>
      </w:pPr>
      <w:r>
        <w:rPr>
          <w:sz w:val="17"/>
        </w:rPr>
        <w:t>PART II — Learning intelligence: 4. Measurable learner model; 5. Define and test the Quantum Cognitive Algorithm</w:t>
      </w:r>
    </w:p>
    <w:p>
      <w:pPr>
        <w:spacing w:after="100" w:before="0" w:line="252" w:lineRule="auto"/>
      </w:pPr>
      <w:r>
        <w:rPr>
          <w:sz w:val="17"/>
        </w:rPr>
        <w:t>PART III — Scientific knowledge to lessons: 6. Exam-question ingestion; 7. Scientific verification; 8. Pedagogy; 9. Visual lesson compiler</w:t>
      </w:r>
    </w:p>
    <w:p>
      <w:pPr>
        <w:spacing w:after="100" w:before="0" w:line="252" w:lineRule="auto"/>
      </w:pPr>
      <w:r>
        <w:rPr>
          <w:sz w:val="17"/>
        </w:rPr>
        <w:t>PART IV — Build specification: 10. Data model and service contracts; 11. Codespaces workflow; 12. JEE mechanics vertical slice</w:t>
      </w:r>
    </w:p>
    <w:p>
      <w:pPr>
        <w:spacing w:after="100" w:before="0" w:line="252" w:lineRule="auto"/>
      </w:pPr>
      <w:r>
        <w:rPr>
          <w:sz w:val="17"/>
        </w:rPr>
        <w:t>13. Evaluation and release gates; 14. Twelve-month roadmap and risks; 15. Reference-book synthesis; 16. Governance and privacy</w:t>
      </w:r>
    </w:p>
    <w:p>
      <w:pPr>
        <w:spacing w:after="100" w:before="0" w:line="252" w:lineRule="auto"/>
      </w:pPr>
      <w:r>
        <w:rPr>
          <w:sz w:val="17"/>
        </w:rPr>
        <w:t>APPENDICES — A. Repository tree; B. Domain records; C. Coding-agent prompt; D. Acceptance tests; E. Bibliography; F. Glossary</w:t>
      </w:r>
    </w:p>
    <w:p>
      <w:r>
        <w:br w:type="page"/>
      </w:r>
    </w:p>
    <w:p>
      <w:pPr>
        <w:pStyle w:val="Heading1"/>
      </w:pPr>
      <w:r>
        <w:t>PART I — Product thesis and system boundaries</w:t>
      </w:r>
    </w:p>
    <w:p>
      <w:pPr>
        <w:pStyle w:val="Heading1"/>
      </w:pPr>
      <w:r>
        <w:t>1. The Saem EdTech north star</w:t>
      </w:r>
    </w:p>
    <w:p>
      <w:pPr>
        <w:pStyle w:val="Heading2"/>
      </w:pPr>
      <w:r>
        <w:t>1.1 Product thesis</w:t>
      </w:r>
    </w:p>
    <w:p>
      <w:r>
        <w:rPr>
          <w:i w:val="0"/>
        </w:rPr>
        <w:t>Saem EdTech should not begin as a giant “AI tutor that knows everything.” It should begin as a trusted scientific learning workbench: every question has a traceable source record; every computational answer has explicit assumptions and checks; every learner recommendation has a measurable basis; and every visual explanation is generated from a reviewable lesson specification.</w:t>
      </w:r>
    </w:p>
    <w:p>
      <w:r>
        <w:rPr>
          <w:i w:val="0"/>
        </w:rPr>
        <w:t>The product promise is not “AI replaces a teacher.” The promise is that a teacher can create, verify, adapt, and reuse high-quality explanations faster, while students receive practice and feedback that respond to evidence of their understanding.</w:t>
      </w:r>
    </w:p>
    <w:p>
      <w:pPr>
        <w:pStyle w:val="Heading2"/>
      </w:pPr>
      <w:r>
        <w:t>1.2 Target users and jobs to be done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shd w:fill="16324F"/>
            <w:vAlign w:val="center"/>
            <w:tcMar>
              <w:top w:w="90" w:type="dxa"/>
              <w:start w:w="100" w:type="dxa"/>
              <w:bottom w:w="90" w:type="dxa"/>
              <w:end w:w="100" w:type="dxa"/>
            </w:tcMar>
          </w:tcPr>
          <w:p>
            <w:pPr>
              <w:spacing w:after="0"/>
            </w:pPr>
            <w:r>
              <w:rPr>
                <w:b/>
                <w:color w:val="FFFFFF"/>
                <w:sz w:val="16"/>
              </w:rPr>
              <w:t>User</w:t>
            </w:r>
          </w:p>
        </w:tc>
        <w:tc>
          <w:tcPr>
            <w:tcW w:type="dxa" w:w="2498"/>
            <w:shd w:fill="16324F"/>
            <w:vAlign w:val="center"/>
            <w:tcMar>
              <w:top w:w="90" w:type="dxa"/>
              <w:start w:w="100" w:type="dxa"/>
              <w:bottom w:w="90" w:type="dxa"/>
              <w:end w:w="100" w:type="dxa"/>
            </w:tcMar>
          </w:tcPr>
          <w:p>
            <w:pPr>
              <w:spacing w:after="0"/>
            </w:pPr>
            <w:r>
              <w:rPr>
                <w:b/>
                <w:color w:val="FFFFFF"/>
                <w:sz w:val="16"/>
              </w:rPr>
              <w:t>Primary need</w:t>
            </w:r>
          </w:p>
        </w:tc>
        <w:tc>
          <w:tcPr>
            <w:tcW w:type="dxa" w:w="2498"/>
            <w:shd w:fill="16324F"/>
            <w:vAlign w:val="center"/>
            <w:tcMar>
              <w:top w:w="90" w:type="dxa"/>
              <w:start w:w="100" w:type="dxa"/>
              <w:bottom w:w="90" w:type="dxa"/>
              <w:end w:w="100" w:type="dxa"/>
            </w:tcMar>
          </w:tcPr>
          <w:p>
            <w:pPr>
              <w:spacing w:after="0"/>
            </w:pPr>
            <w:r>
              <w:rPr>
                <w:b/>
                <w:color w:val="FFFFFF"/>
                <w:sz w:val="16"/>
              </w:rPr>
              <w:t>Platform response</w:t>
            </w:r>
          </w:p>
        </w:tc>
        <w:tc>
          <w:tcPr>
            <w:tcW w:type="dxa" w:w="2498"/>
            <w:shd w:fill="16324F"/>
            <w:vAlign w:val="center"/>
            <w:tcMar>
              <w:top w:w="90" w:type="dxa"/>
              <w:start w:w="100" w:type="dxa"/>
              <w:bottom w:w="90" w:type="dxa"/>
              <w:end w:w="100" w:type="dxa"/>
            </w:tcMar>
          </w:tcPr>
          <w:p>
            <w:pPr>
              <w:spacing w:after="0"/>
            </w:pPr>
            <w:r>
              <w:rPr>
                <w:b/>
                <w:color w:val="FFFFFF"/>
                <w:sz w:val="16"/>
              </w:rPr>
              <w:t>What success looks like</w:t>
            </w:r>
          </w:p>
        </w:tc>
      </w:tr>
      <w:tr>
        <w:tc>
          <w:tcPr>
            <w:tcW w:type="dxa" w:w="2498"/>
            <w:vAlign w:val="center"/>
            <w:tcMar>
              <w:top w:w="90" w:type="dxa"/>
              <w:start w:w="100" w:type="dxa"/>
              <w:bottom w:w="90" w:type="dxa"/>
              <w:end w:w="100" w:type="dxa"/>
            </w:tcMar>
          </w:tcPr>
          <w:p>
            <w:pPr>
              <w:spacing w:after="0" w:line="240" w:lineRule="auto"/>
            </w:pPr>
            <w:r>
              <w:rPr>
                <w:color w:val="243447"/>
                <w:sz w:val="16"/>
              </w:rPr>
              <w:t>Student</w:t>
            </w:r>
          </w:p>
        </w:tc>
        <w:tc>
          <w:tcPr>
            <w:tcW w:type="dxa" w:w="2498"/>
            <w:vAlign w:val="center"/>
            <w:tcMar>
              <w:top w:w="90" w:type="dxa"/>
              <w:start w:w="100" w:type="dxa"/>
              <w:bottom w:w="90" w:type="dxa"/>
              <w:end w:w="100" w:type="dxa"/>
            </w:tcMar>
          </w:tcPr>
          <w:p>
            <w:pPr>
              <w:spacing w:after="0" w:line="240" w:lineRule="auto"/>
            </w:pPr>
            <w:r>
              <w:rPr>
                <w:color w:val="243447"/>
                <w:sz w:val="16"/>
              </w:rPr>
              <w:t>Understand a concept, solve a problem, know what to study next</w:t>
            </w:r>
          </w:p>
        </w:tc>
        <w:tc>
          <w:tcPr>
            <w:tcW w:type="dxa" w:w="2498"/>
            <w:vAlign w:val="center"/>
            <w:tcMar>
              <w:top w:w="90" w:type="dxa"/>
              <w:start w:w="100" w:type="dxa"/>
              <w:bottom w:w="90" w:type="dxa"/>
              <w:end w:w="100" w:type="dxa"/>
            </w:tcMar>
          </w:tcPr>
          <w:p>
            <w:pPr>
              <w:spacing w:after="0" w:line="240" w:lineRule="auto"/>
            </w:pPr>
            <w:r>
              <w:rPr>
                <w:color w:val="243447"/>
                <w:sz w:val="16"/>
              </w:rPr>
              <w:t>Stepwise solution, visual model, diagnostic question, next-practice recommendation</w:t>
            </w:r>
          </w:p>
        </w:tc>
        <w:tc>
          <w:tcPr>
            <w:tcW w:type="dxa" w:w="2498"/>
            <w:vAlign w:val="center"/>
            <w:tcMar>
              <w:top w:w="90" w:type="dxa"/>
              <w:start w:w="100" w:type="dxa"/>
              <w:bottom w:w="90" w:type="dxa"/>
              <w:end w:w="100" w:type="dxa"/>
            </w:tcMar>
          </w:tcPr>
          <w:p>
            <w:pPr>
              <w:spacing w:after="0" w:line="240" w:lineRule="auto"/>
            </w:pPr>
            <w:r>
              <w:rPr>
                <w:color w:val="243447"/>
                <w:sz w:val="16"/>
              </w:rPr>
              <w:t>Better transfer to new questions; durable recall; fewer repeated misconceptions</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Teacher / creator</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Create accurate lessons and reusable explanations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Source panel, solver checks, scene editor, review and release workflow</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Less production friction without loss of scientific control</w:t>
            </w:r>
          </w:p>
        </w:tc>
      </w:tr>
      <w:tr>
        <w:tc>
          <w:tcPr>
            <w:tcW w:type="dxa" w:w="2498"/>
            <w:vAlign w:val="center"/>
            <w:tcMar>
              <w:top w:w="90" w:type="dxa"/>
              <w:start w:w="100" w:type="dxa"/>
              <w:bottom w:w="90" w:type="dxa"/>
              <w:end w:w="100" w:type="dxa"/>
            </w:tcMar>
          </w:tcPr>
          <w:p>
            <w:pPr>
              <w:spacing w:after="0" w:line="240" w:lineRule="auto"/>
            </w:pPr>
            <w:r>
              <w:rPr>
                <w:color w:val="243447"/>
                <w:sz w:val="16"/>
              </w:rPr>
              <w:t>Content editor</w:t>
            </w:r>
          </w:p>
        </w:tc>
        <w:tc>
          <w:tcPr>
            <w:tcW w:type="dxa" w:w="2498"/>
            <w:vAlign w:val="center"/>
            <w:tcMar>
              <w:top w:w="90" w:type="dxa"/>
              <w:start w:w="100" w:type="dxa"/>
              <w:bottom w:w="90" w:type="dxa"/>
              <w:end w:w="100" w:type="dxa"/>
            </w:tcMar>
          </w:tcPr>
          <w:p>
            <w:pPr>
              <w:spacing w:after="0" w:line="240" w:lineRule="auto"/>
            </w:pPr>
            <w:r>
              <w:rPr>
                <w:color w:val="243447"/>
                <w:sz w:val="16"/>
              </w:rPr>
              <w:t>Maintain a large question bank with provenance</w:t>
            </w:r>
          </w:p>
        </w:tc>
        <w:tc>
          <w:tcPr>
            <w:tcW w:type="dxa" w:w="2498"/>
            <w:vAlign w:val="center"/>
            <w:tcMar>
              <w:top w:w="90" w:type="dxa"/>
              <w:start w:w="100" w:type="dxa"/>
              <w:bottom w:w="90" w:type="dxa"/>
              <w:end w:w="100" w:type="dxa"/>
            </w:tcMar>
          </w:tcPr>
          <w:p>
            <w:pPr>
              <w:spacing w:after="0" w:line="240" w:lineRule="auto"/>
            </w:pPr>
            <w:r>
              <w:rPr>
                <w:color w:val="243447"/>
                <w:sz w:val="16"/>
              </w:rPr>
              <w:t>Metadata, rights state, duplicate detection, review queue</w:t>
            </w:r>
          </w:p>
        </w:tc>
        <w:tc>
          <w:tcPr>
            <w:tcW w:type="dxa" w:w="2498"/>
            <w:vAlign w:val="center"/>
            <w:tcMar>
              <w:top w:w="90" w:type="dxa"/>
              <w:start w:w="100" w:type="dxa"/>
              <w:bottom w:w="90" w:type="dxa"/>
              <w:end w:w="100" w:type="dxa"/>
            </w:tcMar>
          </w:tcPr>
          <w:p>
            <w:pPr>
              <w:spacing w:after="0" w:line="240" w:lineRule="auto"/>
            </w:pPr>
            <w:r>
              <w:rPr>
                <w:color w:val="243447"/>
                <w:sz w:val="16"/>
              </w:rPr>
              <w:t>Each item traceable, permissioned, and auditable</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Researcher / platform owner</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Evaluate whether personalisation improves outcomes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Experiments, baseline comparisons, versioned metrics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Measured learning gain rather than unsupported marketing claims</w:t>
            </w:r>
          </w:p>
        </w:tc>
      </w:tr>
    </w:tbl>
    <w:p>
      <w:pPr>
        <w:spacing w:after="20"/>
      </w:pPr>
    </w:p>
    <w:p>
      <w:pPr>
        <w:pStyle w:val="Heading2"/>
      </w:pPr>
      <w:r>
        <w:t>1.3 Design invariants</w:t>
      </w:r>
    </w:p>
    <w:p>
      <w:pPr>
        <w:pStyle w:val="ListBullet"/>
        <w:spacing w:after="40"/>
      </w:pPr>
      <w:r>
        <w:rPr>
          <w:b/>
        </w:rPr>
        <w:t xml:space="preserve">Truth must not depend on the learner model. </w:t>
      </w:r>
      <w:r>
        <w:t>The learner model can choose which explanation to show; it cannot alter the correct physics answer.</w:t>
      </w:r>
    </w:p>
    <w:p>
      <w:pPr>
        <w:pStyle w:val="ListBullet"/>
        <w:spacing w:after="40"/>
      </w:pPr>
      <w:r>
        <w:rPr>
          <w:b/>
        </w:rPr>
        <w:t xml:space="preserve">Visual appeal must not overrule correctness. </w:t>
      </w:r>
      <w:r>
        <w:t>A rendering can be beautiful and still be rejected if its model, labels, vectors, units, or timing are wrong.</w:t>
      </w:r>
    </w:p>
    <w:p>
      <w:pPr>
        <w:pStyle w:val="ListBullet"/>
        <w:spacing w:after="40"/>
      </w:pPr>
      <w:r>
        <w:rPr>
          <w:b/>
        </w:rPr>
        <w:t xml:space="preserve">Generative models draft; deterministic tools check. </w:t>
      </w:r>
      <w:r>
        <w:t>A language model may propose a derivation, but the system should independently test symbolic relations, numerical cases, dimensions, and edge cases.</w:t>
      </w:r>
    </w:p>
    <w:p>
      <w:pPr>
        <w:pStyle w:val="ListBullet"/>
        <w:spacing w:after="40"/>
      </w:pPr>
      <w:r>
        <w:rPr>
          <w:b/>
        </w:rPr>
        <w:t xml:space="preserve">Every source-derived claim needs provenance. </w:t>
      </w:r>
      <w:r>
        <w:t>Record source, location, transformation, licence or permission status, and human reviewer.</w:t>
      </w:r>
    </w:p>
    <w:p>
      <w:pPr>
        <w:pStyle w:val="ListBullet"/>
        <w:spacing w:after="40"/>
      </w:pPr>
      <w:r>
        <w:rPr>
          <w:b/>
        </w:rPr>
        <w:t xml:space="preserve">Uncertainty must remain visible. </w:t>
      </w:r>
      <w:r>
        <w:t>When extraction, answer keys, model fit, or physics interpretation is ambiguous, the system must mark the item for review rather than silently decide.</w:t>
      </w:r>
    </w:p>
    <w:p>
      <w:pPr>
        <w:pStyle w:val="ListBullet"/>
        <w:spacing w:after="40"/>
      </w:pPr>
      <w:r>
        <w:rPr>
          <w:b/>
        </w:rPr>
        <w:t xml:space="preserve">Automate narrow tasks first. </w:t>
      </w:r>
      <w:r>
        <w:t>The first milestone is one complete, reviewable question-to-lesson path—not autonomous ingestion of thirty years of all subjects.</w:t>
      </w:r>
    </w:p>
    <w:p>
      <w:pPr>
        <w:pStyle w:val="Heading2"/>
      </w:pPr>
      <w:r>
        <w:t>1.4 Product scope: what to build first and what to defer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vAlign w:val="center"/>
            <w:tcMar>
              <w:top w:w="90" w:type="dxa"/>
              <w:start w:w="100" w:type="dxa"/>
              <w:bottom w:w="90" w:type="dxa"/>
              <w:end w:w="100" w:type="dxa"/>
            </w:tcMar>
          </w:tcPr>
          <w:p>
            <w:pPr>
              <w:spacing w:after="0"/>
            </w:pPr>
            <w:r>
              <w:rPr>
                <w:b/>
                <w:color w:val="FFFFFF"/>
                <w:sz w:val="16"/>
              </w:rPr>
              <w:t>Build first</w:t>
            </w:r>
          </w:p>
        </w:tc>
        <w:tc>
          <w:tcPr>
            <w:tcW w:type="dxa" w:w="4997"/>
            <w:shd w:fill="16324F"/>
            <w:vAlign w:val="center"/>
            <w:tcMar>
              <w:top w:w="90" w:type="dxa"/>
              <w:start w:w="100" w:type="dxa"/>
              <w:bottom w:w="90" w:type="dxa"/>
              <w:end w:w="100" w:type="dxa"/>
            </w:tcMar>
          </w:tcPr>
          <w:p>
            <w:pPr>
              <w:spacing w:after="0"/>
            </w:pPr>
            <w:r>
              <w:rPr>
                <w:b/>
                <w:color w:val="FFFFFF"/>
                <w:sz w:val="16"/>
              </w:rPr>
              <w:t>Defer until evidence exists</w:t>
            </w:r>
          </w:p>
        </w:tc>
      </w:tr>
      <w:tr>
        <w:tc>
          <w:tcPr>
            <w:tcW w:type="dxa" w:w="4997"/>
            <w:vAlign w:val="center"/>
            <w:tcMar>
              <w:top w:w="90" w:type="dxa"/>
              <w:start w:w="100" w:type="dxa"/>
              <w:bottom w:w="90" w:type="dxa"/>
              <w:end w:w="100" w:type="dxa"/>
            </w:tcMar>
          </w:tcPr>
          <w:p>
            <w:pPr>
              <w:spacing w:after="0" w:line="240" w:lineRule="auto"/>
            </w:pPr>
            <w:r>
              <w:rPr>
                <w:color w:val="243447"/>
                <w:sz w:val="16"/>
              </w:rPr>
              <w:t>One topic: JEE Advanced mechanics, initially 20–50 curated items</w:t>
            </w:r>
          </w:p>
        </w:tc>
        <w:tc>
          <w:tcPr>
            <w:tcW w:type="dxa" w:w="4997"/>
            <w:vAlign w:val="center"/>
            <w:tcMar>
              <w:top w:w="90" w:type="dxa"/>
              <w:start w:w="100" w:type="dxa"/>
              <w:bottom w:w="90" w:type="dxa"/>
              <w:end w:w="100" w:type="dxa"/>
            </w:tcMar>
          </w:tcPr>
          <w:p>
            <w:pPr>
              <w:spacing w:after="0" w:line="240" w:lineRule="auto"/>
            </w:pPr>
            <w:r>
              <w:rPr>
                <w:color w:val="243447"/>
                <w:sz w:val="16"/>
              </w:rPr>
              <w:t>Bulk ingestion of all exams and subjects</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Deterministic solvers for a small set of explicit problem families</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A universal physics solver that claims to understand every problem</w:t>
            </w:r>
          </w:p>
        </w:tc>
      </w:tr>
      <w:tr>
        <w:tc>
          <w:tcPr>
            <w:tcW w:type="dxa" w:w="4997"/>
            <w:vAlign w:val="center"/>
            <w:tcMar>
              <w:top w:w="90" w:type="dxa"/>
              <w:start w:w="100" w:type="dxa"/>
              <w:bottom w:w="90" w:type="dxa"/>
              <w:end w:w="100" w:type="dxa"/>
            </w:tcMar>
          </w:tcPr>
          <w:p>
            <w:pPr>
              <w:spacing w:after="0" w:line="240" w:lineRule="auto"/>
            </w:pPr>
            <w:r>
              <w:rPr>
                <w:color w:val="243447"/>
                <w:sz w:val="16"/>
              </w:rPr>
              <w:t>A concept graph reviewed by the teacher</w:t>
            </w:r>
          </w:p>
        </w:tc>
        <w:tc>
          <w:tcPr>
            <w:tcW w:type="dxa" w:w="4997"/>
            <w:vAlign w:val="center"/>
            <w:tcMar>
              <w:top w:w="90" w:type="dxa"/>
              <w:start w:w="100" w:type="dxa"/>
              <w:bottom w:w="90" w:type="dxa"/>
              <w:end w:w="100" w:type="dxa"/>
            </w:tcMar>
          </w:tcPr>
          <w:p>
            <w:pPr>
              <w:spacing w:after="0" w:line="240" w:lineRule="auto"/>
            </w:pPr>
            <w:r>
              <w:rPr>
                <w:color w:val="243447"/>
                <w:sz w:val="16"/>
              </w:rPr>
              <w:t>A fully automated ontology inferred from raw questions</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Classical learning model with transparent baselines</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Quantum-labelled production recommendation without evaluation</w:t>
            </w:r>
          </w:p>
        </w:tc>
      </w:tr>
      <w:tr>
        <w:tc>
          <w:tcPr>
            <w:tcW w:type="dxa" w:w="4997"/>
            <w:vAlign w:val="center"/>
            <w:tcMar>
              <w:top w:w="90" w:type="dxa"/>
              <w:start w:w="100" w:type="dxa"/>
              <w:bottom w:w="90" w:type="dxa"/>
              <w:end w:w="100" w:type="dxa"/>
            </w:tcMar>
          </w:tcPr>
          <w:p>
            <w:pPr>
              <w:spacing w:after="0" w:line="240" w:lineRule="auto"/>
            </w:pPr>
            <w:r>
              <w:rPr>
                <w:color w:val="243447"/>
                <w:sz w:val="16"/>
              </w:rPr>
              <w:t>One structured storyboard and one renderer</w:t>
            </w:r>
          </w:p>
        </w:tc>
        <w:tc>
          <w:tcPr>
            <w:tcW w:type="dxa" w:w="4997"/>
            <w:vAlign w:val="center"/>
            <w:tcMar>
              <w:top w:w="90" w:type="dxa"/>
              <w:start w:w="100" w:type="dxa"/>
              <w:bottom w:w="90" w:type="dxa"/>
              <w:end w:w="100" w:type="dxa"/>
            </w:tcMar>
          </w:tcPr>
          <w:p>
            <w:pPr>
              <w:spacing w:after="0" w:line="240" w:lineRule="auto"/>
            </w:pPr>
            <w:r>
              <w:rPr>
                <w:color w:val="243447"/>
                <w:sz w:val="16"/>
              </w:rPr>
              <w:t>One-click auto-generated long-form videos</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Manual approval and traceable revisions</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Fully autonomous publishing</w:t>
            </w:r>
          </w:p>
        </w:tc>
      </w:tr>
    </w:tbl>
    <w:p>
      <w:pPr>
        <w:spacing w:after="20"/>
      </w:pPr>
    </w:p>
    <w:tbl>
      <w:tblPr>
        <w:tblW w:type="auto" w:w="0"/>
        <w:jc w:val="center"/>
        <w:tblLook w:firstColumn="1" w:firstRow="1" w:lastColumn="0" w:lastRow="0" w:noHBand="0" w:noVBand="1" w:val="04A0"/>
      </w:tblPr>
      <w:tblGrid>
        <w:gridCol w:w="9994"/>
      </w:tblGrid>
      <w:tr>
        <w:trPr>
          <w:tblHeader w:val="true"/>
        </w:trPr>
        <w:tc>
          <w:tcPr>
            <w:tcW w:type="dxa" w:w="9994"/>
            <w:shd w:fill="EEF5F8"/>
            <w:tcMar>
              <w:top w:w="150" w:type="dxa"/>
              <w:start w:w="180" w:type="dxa"/>
              <w:bottom w:w="150" w:type="dxa"/>
              <w:end w:w="180" w:type="dxa"/>
            </w:tcMar>
          </w:tcPr>
          <w:p>
            <w:pPr>
              <w:spacing w:after="60"/>
            </w:pPr>
            <w:r>
              <w:rPr>
                <w:b/>
                <w:color w:val="176B87"/>
                <w:sz w:val="17"/>
              </w:rPr>
              <w:t>STRATEGIC RECOMMENDATION</w:t>
            </w:r>
          </w:p>
          <w:p>
            <w:pPr>
              <w:spacing w:after="0"/>
            </w:pPr>
            <w:r>
              <w:rPr>
                <w:sz w:val="18"/>
              </w:rPr>
              <w:t>Organise the product around a narrow, high-quality vertical slice. Scale the content volume only after the architecture proves provenance, correctness, repeatability, and learner value.</w:t>
            </w:r>
          </w:p>
        </w:tc>
      </w:tr>
    </w:tbl>
    <w:p>
      <w:pPr>
        <w:spacing w:after="20"/>
      </w:pPr>
    </w:p>
    <w:p>
      <w:pPr>
        <w:pStyle w:val="Heading1"/>
      </w:pPr>
      <w:r>
        <w:t>2. The three-engine architecture</w:t>
      </w:r>
    </w:p>
    <w:p>
      <w:r>
        <w:rPr>
          <w:i w:val="0"/>
        </w:rPr>
        <w:t>Keep three engines distinct and let the platform coordinate them. This boundary is more important than any individual language or framework.</w:t>
      </w:r>
    </w:p>
    <w:p>
      <w:pPr>
        <w:jc w:val="center"/>
      </w:pPr>
      <w:r>
        <w:drawing>
          <wp:inline xmlns:a="http://schemas.openxmlformats.org/drawingml/2006/main" xmlns:pic="http://schemas.openxmlformats.org/drawingml/2006/picture">
            <wp:extent cx="6309360" cy="3471371"/>
            <wp:docPr id="1" name="Picture 1" descr="Saem EdTech layered system architecture. Browser learner and teacher experiences connect to a C# platform API, learning intelligence service, and C++ scientific engine. Knowledge provenance, lesson compiler, visual build pipeline, evaluation, content repository, and observability services support the top layer. The three engines remain separate." title="Saem EdTech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471371"/>
                    </a:xfrm>
                    <a:prstGeom prst="rect"/>
                  </pic:spPr>
                </pic:pic>
              </a:graphicData>
            </a:graphic>
          </wp:inline>
        </w:drawing>
      </w:r>
    </w:p>
    <w:p>
      <w:pPr>
        <w:pStyle w:val="Heading2"/>
      </w:pPr>
      <w:r>
        <w:t>2.1 Scientific Intelligence Engine</w:t>
      </w:r>
    </w:p>
    <w:p>
      <w:r>
        <w:rPr>
          <w:i w:val="0"/>
        </w:rPr>
        <w:t>Purpose: determine what follows from the declared model and inputs. It owns symbolic algebra, numerical simulation, dimensional analysis, equation solving, uncertainty propagation where relevant, and verification reports. It should return a result plus assumptions, method identifiers, warnings, and machine-readable checks—not only a final number.</w:t>
      </w:r>
    </w:p>
    <w:p>
      <w:pPr>
        <w:pStyle w:val="ListBullet"/>
        <w:spacing w:after="40"/>
      </w:pPr>
      <w:r>
        <w:t>Inputs are typed problem records, not unstructured chat alone.</w:t>
      </w:r>
    </w:p>
    <w:p>
      <w:pPr>
        <w:pStyle w:val="ListBullet"/>
        <w:spacing w:after="40"/>
      </w:pPr>
      <w:r>
        <w:t>Outputs include values with units, intermediate expressions, assumptions, solver version, and test evidence.</w:t>
      </w:r>
    </w:p>
    <w:p>
      <w:pPr>
        <w:pStyle w:val="ListBullet"/>
        <w:spacing w:after="40"/>
      </w:pPr>
      <w:r>
        <w:t>Ambiguous modeling choices trigger a clarification or a flagged review state.</w:t>
      </w:r>
    </w:p>
    <w:p>
      <w:pPr>
        <w:pStyle w:val="ListBullet"/>
        <w:spacing w:after="40"/>
      </w:pPr>
      <w:r>
        <w:t>Independent checks should use a genuinely different route when practical: analytic derivation versus numeric evaluation, conservation law versus time integration, or one solver implementation versus a second formulation.</w:t>
      </w:r>
    </w:p>
    <w:p>
      <w:pPr>
        <w:pStyle w:val="Heading2"/>
      </w:pPr>
      <w:r>
        <w:t>2.2 Learning Intelligence Engine</w:t>
      </w:r>
    </w:p>
    <w:p>
      <w:r>
        <w:rPr>
          <w:i w:val="0"/>
        </w:rPr>
        <w:t>Purpose: estimate a learner’s likely mastery of concepts and choose the next instructional action. It may use question outcomes, hint requests, time-on-task with caution, self-explanations, repeated errors, and delayed recall. It does not infer a child’s identity or mental state beyond what is needed for learning, and it should communicate uncertainty.</w:t>
      </w:r>
    </w:p>
    <w:p>
      <w:pPr>
        <w:pStyle w:val="ListBullet"/>
        <w:spacing w:after="40"/>
      </w:pPr>
      <w:r>
        <w:t>Keep concept mastery separate from question difficulty and test performance.</w:t>
      </w:r>
    </w:p>
    <w:p>
      <w:pPr>
        <w:pStyle w:val="ListBullet"/>
        <w:spacing w:after="40"/>
      </w:pPr>
      <w:r>
        <w:t>Store evidence events rather than overwriting a single opaque “ability score.”</w:t>
      </w:r>
    </w:p>
    <w:p>
      <w:pPr>
        <w:pStyle w:val="ListBullet"/>
        <w:spacing w:after="40"/>
      </w:pPr>
      <w:r>
        <w:t>Treat response correctness as noisy evidence: guessing, careless slips, ambiguous items, and external help are possible.</w:t>
      </w:r>
    </w:p>
    <w:p>
      <w:pPr>
        <w:pStyle w:val="ListBullet"/>
        <w:spacing w:after="40"/>
      </w:pPr>
      <w:r>
        <w:t>Offer a teacher override and a “why this recommendation?” explanation.</w:t>
      </w:r>
    </w:p>
    <w:p>
      <w:pPr>
        <w:pStyle w:val="Heading2"/>
      </w:pPr>
      <w:r>
        <w:t>2.3 Visual Intelligence Engine</w:t>
      </w:r>
    </w:p>
    <w:p>
      <w:r>
        <w:rPr>
          <w:i w:val="0"/>
        </w:rPr>
        <w:t>Purpose: explain one idea through time, geometry, graphs, symbols, and narration. It converts a lesson specification into an animation, interactive diagram, or narrated video. It never decides scientific truth independently; it consumes approved equations, ranges, units, story beats, and assertions from the scientific engine.</w:t>
      </w:r>
    </w:p>
    <w:p>
      <w:pPr>
        <w:pStyle w:val="ListBullet"/>
        <w:spacing w:after="40"/>
      </w:pPr>
      <w:r>
        <w:t>The intermediate scene format must be renderer-independent.</w:t>
      </w:r>
    </w:p>
    <w:p>
      <w:pPr>
        <w:pStyle w:val="ListBullet"/>
        <w:spacing w:after="40"/>
      </w:pPr>
      <w:r>
        <w:t>Every scene has one learning purpose and one key visual claim.</w:t>
      </w:r>
    </w:p>
    <w:p>
      <w:pPr>
        <w:pStyle w:val="ListBullet"/>
        <w:spacing w:after="40"/>
      </w:pPr>
      <w:r>
        <w:t>Motion should expose structure, not decorate the screen.</w:t>
      </w:r>
    </w:p>
    <w:p>
      <w:pPr>
        <w:pStyle w:val="ListBullet"/>
        <w:spacing w:after="40"/>
      </w:pPr>
      <w:r>
        <w:t>A scene regression test checks coordinates, parameter values, labels, and visual invariants where possible.</w:t>
      </w:r>
    </w:p>
    <w:p>
      <w:pPr>
        <w:pStyle w:val="Heading2"/>
      </w:pPr>
      <w:r>
        <w:t>2.4 Platform shell and governance services</w:t>
      </w:r>
    </w:p>
    <w:p>
      <w:r>
        <w:rPr>
          <w:i w:val="0"/>
        </w:rPr>
        <w:t>The platform shell handles accounts, roles, courses, assignments, repositories, permissions, review queues, notifications, job status, audit logs, and release workflow. It is not another reasoning engine. The platform makes the engines usable and accountable.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Concern</w:t>
            </w:r>
          </w:p>
        </w:tc>
        <w:tc>
          <w:tcPr>
            <w:tcW w:type="dxa" w:w="3331"/>
            <w:shd w:fill="16324F"/>
            <w:vAlign w:val="center"/>
            <w:tcMar>
              <w:top w:w="90" w:type="dxa"/>
              <w:start w:w="100" w:type="dxa"/>
              <w:bottom w:w="90" w:type="dxa"/>
              <w:end w:w="100" w:type="dxa"/>
            </w:tcMar>
          </w:tcPr>
          <w:p>
            <w:pPr>
              <w:spacing w:after="0"/>
            </w:pPr>
            <w:r>
              <w:rPr>
                <w:b/>
                <w:color w:val="FFFFFF"/>
                <w:sz w:val="16"/>
              </w:rPr>
              <w:t>Owner</w:t>
            </w:r>
          </w:p>
        </w:tc>
        <w:tc>
          <w:tcPr>
            <w:tcW w:type="dxa" w:w="3331"/>
            <w:shd w:fill="16324F"/>
            <w:vAlign w:val="center"/>
            <w:tcMar>
              <w:top w:w="90" w:type="dxa"/>
              <w:start w:w="100" w:type="dxa"/>
              <w:bottom w:w="90" w:type="dxa"/>
              <w:end w:w="100" w:type="dxa"/>
            </w:tcMar>
          </w:tcPr>
          <w:p>
            <w:pPr>
              <w:spacing w:after="0"/>
            </w:pPr>
            <w:r>
              <w:rPr>
                <w:b/>
                <w:color w:val="FFFFFF"/>
                <w:sz w:val="16"/>
              </w:rPr>
              <w:t>Boundary</w:t>
            </w:r>
          </w:p>
        </w:tc>
      </w:tr>
      <w:tr>
        <w:tc>
          <w:tcPr>
            <w:tcW w:type="dxa" w:w="3331"/>
            <w:vAlign w:val="center"/>
            <w:tcMar>
              <w:top w:w="90" w:type="dxa"/>
              <w:start w:w="100" w:type="dxa"/>
              <w:bottom w:w="90" w:type="dxa"/>
              <w:end w:w="100" w:type="dxa"/>
            </w:tcMar>
          </w:tcPr>
          <w:p>
            <w:pPr>
              <w:spacing w:after="0" w:line="240" w:lineRule="auto"/>
            </w:pPr>
            <w:r>
              <w:rPr>
                <w:color w:val="243447"/>
                <w:sz w:val="16"/>
              </w:rPr>
              <w:t>Authentication, roles, course enrolment</w:t>
            </w:r>
          </w:p>
        </w:tc>
        <w:tc>
          <w:tcPr>
            <w:tcW w:type="dxa" w:w="3331"/>
            <w:vAlign w:val="center"/>
            <w:tcMar>
              <w:top w:w="90" w:type="dxa"/>
              <w:start w:w="100" w:type="dxa"/>
              <w:bottom w:w="90" w:type="dxa"/>
              <w:end w:w="100" w:type="dxa"/>
            </w:tcMar>
          </w:tcPr>
          <w:p>
            <w:pPr>
              <w:spacing w:after="0" w:line="240" w:lineRule="auto"/>
            </w:pPr>
            <w:r>
              <w:rPr>
                <w:color w:val="243447"/>
                <w:sz w:val="16"/>
              </w:rPr>
              <w:t>C# platform API</w:t>
            </w:r>
          </w:p>
        </w:tc>
        <w:tc>
          <w:tcPr>
            <w:tcW w:type="dxa" w:w="3331"/>
            <w:vAlign w:val="center"/>
            <w:tcMar>
              <w:top w:w="90" w:type="dxa"/>
              <w:start w:w="100" w:type="dxa"/>
              <w:bottom w:w="90" w:type="dxa"/>
              <w:end w:w="100" w:type="dxa"/>
            </w:tcMar>
          </w:tcPr>
          <w:p>
            <w:pPr>
              <w:spacing w:after="0" w:line="240" w:lineRule="auto"/>
            </w:pPr>
            <w:r>
              <w:rPr>
                <w:color w:val="243447"/>
                <w:sz w:val="16"/>
              </w:rPr>
              <w:t>Never store passwords or credentials in the repository</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Question sources and rights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Knowledge/provenance service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An item with unknown rights can be used privately for review but not assumed publishable</w:t>
            </w:r>
          </w:p>
        </w:tc>
      </w:tr>
      <w:tr>
        <w:tc>
          <w:tcPr>
            <w:tcW w:type="dxa" w:w="3331"/>
            <w:vAlign w:val="center"/>
            <w:tcMar>
              <w:top w:w="90" w:type="dxa"/>
              <w:start w:w="100" w:type="dxa"/>
              <w:bottom w:w="90" w:type="dxa"/>
              <w:end w:w="100" w:type="dxa"/>
            </w:tcMar>
          </w:tcPr>
          <w:p>
            <w:pPr>
              <w:spacing w:after="0" w:line="240" w:lineRule="auto"/>
            </w:pPr>
            <w:r>
              <w:rPr>
                <w:color w:val="243447"/>
                <w:sz w:val="16"/>
              </w:rPr>
              <w:t>Scientific calculations</w:t>
            </w:r>
          </w:p>
        </w:tc>
        <w:tc>
          <w:tcPr>
            <w:tcW w:type="dxa" w:w="3331"/>
            <w:vAlign w:val="center"/>
            <w:tcMar>
              <w:top w:w="90" w:type="dxa"/>
              <w:start w:w="100" w:type="dxa"/>
              <w:bottom w:w="90" w:type="dxa"/>
              <w:end w:w="100" w:type="dxa"/>
            </w:tcMar>
          </w:tcPr>
          <w:p>
            <w:pPr>
              <w:spacing w:after="0" w:line="240" w:lineRule="auto"/>
            </w:pPr>
            <w:r>
              <w:rPr>
                <w:color w:val="243447"/>
                <w:sz w:val="16"/>
              </w:rPr>
              <w:t>C++ scientific engine; C# adapter</w:t>
            </w:r>
          </w:p>
        </w:tc>
        <w:tc>
          <w:tcPr>
            <w:tcW w:type="dxa" w:w="3331"/>
            <w:vAlign w:val="center"/>
            <w:tcMar>
              <w:top w:w="90" w:type="dxa"/>
              <w:start w:w="100" w:type="dxa"/>
              <w:bottom w:w="90" w:type="dxa"/>
              <w:end w:w="100" w:type="dxa"/>
            </w:tcMar>
          </w:tcPr>
          <w:p>
            <w:pPr>
              <w:spacing w:after="0" w:line="240" w:lineRule="auto"/>
            </w:pPr>
            <w:r>
              <w:rPr>
                <w:color w:val="243447"/>
                <w:sz w:val="16"/>
              </w:rPr>
              <w:t>Return typed results and structured failures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Learner state and recommendations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C# learning service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Version each model and preserve evidence history</w:t>
            </w:r>
          </w:p>
        </w:tc>
      </w:tr>
      <w:tr>
        <w:tc>
          <w:tcPr>
            <w:tcW w:type="dxa" w:w="3331"/>
            <w:vAlign w:val="center"/>
            <w:tcMar>
              <w:top w:w="90" w:type="dxa"/>
              <w:start w:w="100" w:type="dxa"/>
              <w:bottom w:w="90" w:type="dxa"/>
              <w:end w:w="100" w:type="dxa"/>
            </w:tcMar>
          </w:tcPr>
          <w:p>
            <w:pPr>
              <w:spacing w:after="0" w:line="240" w:lineRule="auto"/>
            </w:pPr>
            <w:r>
              <w:rPr>
                <w:color w:val="243447"/>
                <w:sz w:val="16"/>
              </w:rPr>
              <w:t>Scene building</w:t>
            </w:r>
          </w:p>
        </w:tc>
        <w:tc>
          <w:tcPr>
            <w:tcW w:type="dxa" w:w="3331"/>
            <w:vAlign w:val="center"/>
            <w:tcMar>
              <w:top w:w="90" w:type="dxa"/>
              <w:start w:w="100" w:type="dxa"/>
              <w:bottom w:w="90" w:type="dxa"/>
              <w:end w:w="100" w:type="dxa"/>
            </w:tcMar>
          </w:tcPr>
          <w:p>
            <w:pPr>
              <w:spacing w:after="0" w:line="240" w:lineRule="auto"/>
            </w:pPr>
            <w:r>
              <w:rPr>
                <w:color w:val="243447"/>
                <w:sz w:val="16"/>
              </w:rPr>
              <w:t>Compiler + renderer adapter</w:t>
            </w:r>
          </w:p>
        </w:tc>
        <w:tc>
          <w:tcPr>
            <w:tcW w:type="dxa" w:w="3331"/>
            <w:vAlign w:val="center"/>
            <w:tcMar>
              <w:top w:w="90" w:type="dxa"/>
              <w:start w:w="100" w:type="dxa"/>
              <w:bottom w:w="90" w:type="dxa"/>
              <w:end w:w="100" w:type="dxa"/>
            </w:tcMar>
          </w:tcPr>
          <w:p>
            <w:pPr>
              <w:spacing w:after="0" w:line="240" w:lineRule="auto"/>
            </w:pPr>
            <w:r>
              <w:rPr>
                <w:color w:val="243447"/>
                <w:sz w:val="16"/>
              </w:rPr>
              <w:t>Consume a validated scene IR; reject malformed specs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Publishing</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Release orchestrator</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Requires checks and explicit human approval for consequential outputs</w:t>
            </w:r>
          </w:p>
        </w:tc>
      </w:tr>
    </w:tbl>
    <w:p>
      <w:pPr>
        <w:spacing w:after="20"/>
      </w:pPr>
    </w:p>
    <w:p>
      <w:pPr>
        <w:pStyle w:val="Heading1"/>
      </w:pPr>
      <w:r>
        <w:t>3. Language and deployment strategy</w:t>
      </w:r>
    </w:p>
    <w:p>
      <w:pPr>
        <w:pStyle w:val="Heading2"/>
      </w:pPr>
      <w:r>
        <w:t>3.1 The requirement and the trade-off</w:t>
      </w:r>
    </w:p>
    <w:p>
      <w:r>
        <w:rPr>
          <w:i w:val="0"/>
        </w:rPr>
        <w:t>Your stated preference is a Python-authored frontend, a C/C++/C# backend, and modern graphics where Python alone would be limiting. This is possible in a hybrid architecture, but “frontend written in Python” needs an exact definition: Python can execute in a browser runtime, or it can generate server-side HTML through a Python server. The second choice would violate a strict no-Python-backend rule.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shd w:fill="16324F"/>
            <w:vAlign w:val="center"/>
            <w:tcMar>
              <w:top w:w="90" w:type="dxa"/>
              <w:start w:w="100" w:type="dxa"/>
              <w:bottom w:w="90" w:type="dxa"/>
              <w:end w:w="100" w:type="dxa"/>
            </w:tcMar>
          </w:tcPr>
          <w:p>
            <w:pPr>
              <w:spacing w:after="0"/>
            </w:pPr>
            <w:r>
              <w:rPr>
                <w:b/>
                <w:color w:val="FFFFFF"/>
                <w:sz w:val="16"/>
              </w:rPr>
              <w:t>Layer</w:t>
            </w:r>
          </w:p>
        </w:tc>
        <w:tc>
          <w:tcPr>
            <w:tcW w:type="dxa" w:w="2498"/>
            <w:shd w:fill="16324F"/>
            <w:vAlign w:val="center"/>
            <w:tcMar>
              <w:top w:w="90" w:type="dxa"/>
              <w:start w:w="100" w:type="dxa"/>
              <w:bottom w:w="90" w:type="dxa"/>
              <w:end w:w="100" w:type="dxa"/>
            </w:tcMar>
          </w:tcPr>
          <w:p>
            <w:pPr>
              <w:spacing w:after="0"/>
            </w:pPr>
            <w:r>
              <w:rPr>
                <w:b/>
                <w:color w:val="FFFFFF"/>
                <w:sz w:val="16"/>
              </w:rPr>
              <w:t>Recommended starting choice</w:t>
            </w:r>
          </w:p>
        </w:tc>
        <w:tc>
          <w:tcPr>
            <w:tcW w:type="dxa" w:w="2498"/>
            <w:shd w:fill="16324F"/>
            <w:vAlign w:val="center"/>
            <w:tcMar>
              <w:top w:w="90" w:type="dxa"/>
              <w:start w:w="100" w:type="dxa"/>
              <w:bottom w:w="90" w:type="dxa"/>
              <w:end w:w="100" w:type="dxa"/>
            </w:tcMar>
          </w:tcPr>
          <w:p>
            <w:pPr>
              <w:spacing w:after="0"/>
            </w:pPr>
            <w:r>
              <w:rPr>
                <w:b/>
                <w:color w:val="FFFFFF"/>
                <w:sz w:val="16"/>
              </w:rPr>
              <w:t>Why</w:t>
            </w:r>
          </w:p>
        </w:tc>
        <w:tc>
          <w:tcPr>
            <w:tcW w:type="dxa" w:w="2498"/>
            <w:shd w:fill="16324F"/>
            <w:vAlign w:val="center"/>
            <w:tcMar>
              <w:top w:w="90" w:type="dxa"/>
              <w:start w:w="100" w:type="dxa"/>
              <w:bottom w:w="90" w:type="dxa"/>
              <w:end w:w="100" w:type="dxa"/>
            </w:tcMar>
          </w:tcPr>
          <w:p>
            <w:pPr>
              <w:spacing w:after="0"/>
            </w:pPr>
            <w:r>
              <w:rPr>
                <w:b/>
                <w:color w:val="FFFFFF"/>
                <w:sz w:val="16"/>
              </w:rPr>
              <w:t>Constraint</w:t>
            </w:r>
          </w:p>
        </w:tc>
      </w:tr>
      <w:tr>
        <w:tc>
          <w:tcPr>
            <w:tcW w:type="dxa" w:w="2498"/>
            <w:vAlign w:val="center"/>
            <w:tcMar>
              <w:top w:w="90" w:type="dxa"/>
              <w:start w:w="100" w:type="dxa"/>
              <w:bottom w:w="90" w:type="dxa"/>
              <w:end w:w="100" w:type="dxa"/>
            </w:tcMar>
          </w:tcPr>
          <w:p>
            <w:pPr>
              <w:spacing w:after="0" w:line="240" w:lineRule="auto"/>
            </w:pPr>
            <w:r>
              <w:rPr>
                <w:color w:val="243447"/>
                <w:sz w:val="16"/>
              </w:rPr>
              <w:t>Browser application logic</w:t>
            </w:r>
          </w:p>
        </w:tc>
        <w:tc>
          <w:tcPr>
            <w:tcW w:type="dxa" w:w="2498"/>
            <w:vAlign w:val="center"/>
            <w:tcMar>
              <w:top w:w="90" w:type="dxa"/>
              <w:start w:w="100" w:type="dxa"/>
              <w:bottom w:w="90" w:type="dxa"/>
              <w:end w:w="100" w:type="dxa"/>
            </w:tcMar>
          </w:tcPr>
          <w:p>
            <w:pPr>
              <w:spacing w:after="0" w:line="240" w:lineRule="auto"/>
            </w:pPr>
            <w:r>
              <w:rPr>
                <w:color w:val="243447"/>
                <w:sz w:val="16"/>
              </w:rPr>
              <w:t>Python running client-side via Pyodide/PyScript-style runtime</w:t>
            </w:r>
          </w:p>
        </w:tc>
        <w:tc>
          <w:tcPr>
            <w:tcW w:type="dxa" w:w="2498"/>
            <w:vAlign w:val="center"/>
            <w:tcMar>
              <w:top w:w="90" w:type="dxa"/>
              <w:start w:w="100" w:type="dxa"/>
              <w:bottom w:w="90" w:type="dxa"/>
              <w:end w:w="100" w:type="dxa"/>
            </w:tcMar>
          </w:tcPr>
          <w:p>
            <w:pPr>
              <w:spacing w:after="0" w:line="240" w:lineRule="auto"/>
            </w:pPr>
            <w:r>
              <w:rPr>
                <w:color w:val="243447"/>
                <w:sz w:val="16"/>
              </w:rPr>
              <w:t>Keeps much UI logic authored in Python</w:t>
            </w:r>
          </w:p>
        </w:tc>
        <w:tc>
          <w:tcPr>
            <w:tcW w:type="dxa" w:w="2498"/>
            <w:vAlign w:val="center"/>
            <w:tcMar>
              <w:top w:w="90" w:type="dxa"/>
              <w:start w:w="100" w:type="dxa"/>
              <w:bottom w:w="90" w:type="dxa"/>
              <w:end w:w="100" w:type="dxa"/>
            </w:tcMar>
          </w:tcPr>
          <w:p>
            <w:pPr>
              <w:spacing w:after="0" w:line="240" w:lineRule="auto"/>
            </w:pPr>
            <w:r>
              <w:rPr>
                <w:color w:val="243447"/>
                <w:sz w:val="16"/>
              </w:rPr>
              <w:t>Browser startup, package compatibility, and debugging may be harder than TypeScript</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High-performance graphics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TypeScript/JavaScript + Canvas/WebGL/WebGPU as appropriate</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Modern browser graphics ecosystem and responsive interaction</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Use a stable interface so graphics implementation can evolve separately</w:t>
            </w:r>
          </w:p>
        </w:tc>
      </w:tr>
      <w:tr>
        <w:tc>
          <w:tcPr>
            <w:tcW w:type="dxa" w:w="2498"/>
            <w:vAlign w:val="center"/>
            <w:tcMar>
              <w:top w:w="90" w:type="dxa"/>
              <w:start w:w="100" w:type="dxa"/>
              <w:bottom w:w="90" w:type="dxa"/>
              <w:end w:w="100" w:type="dxa"/>
            </w:tcMar>
          </w:tcPr>
          <w:p>
            <w:pPr>
              <w:spacing w:after="0" w:line="240" w:lineRule="auto"/>
            </w:pPr>
            <w:r>
              <w:rPr>
                <w:color w:val="243447"/>
                <w:sz w:val="16"/>
              </w:rPr>
              <w:t>Main API and platform services</w:t>
            </w:r>
          </w:p>
        </w:tc>
        <w:tc>
          <w:tcPr>
            <w:tcW w:type="dxa" w:w="2498"/>
            <w:vAlign w:val="center"/>
            <w:tcMar>
              <w:top w:w="90" w:type="dxa"/>
              <w:start w:w="100" w:type="dxa"/>
              <w:bottom w:w="90" w:type="dxa"/>
              <w:end w:w="100" w:type="dxa"/>
            </w:tcMar>
          </w:tcPr>
          <w:p>
            <w:pPr>
              <w:spacing w:after="0" w:line="240" w:lineRule="auto"/>
            </w:pPr>
            <w:r>
              <w:rPr>
                <w:color w:val="243447"/>
                <w:sz w:val="16"/>
              </w:rPr>
              <w:t>C# / ASP.NET Core</w:t>
            </w:r>
          </w:p>
        </w:tc>
        <w:tc>
          <w:tcPr>
            <w:tcW w:type="dxa" w:w="2498"/>
            <w:vAlign w:val="center"/>
            <w:tcMar>
              <w:top w:w="90" w:type="dxa"/>
              <w:start w:w="100" w:type="dxa"/>
              <w:bottom w:w="90" w:type="dxa"/>
              <w:end w:w="100" w:type="dxa"/>
            </w:tcMar>
          </w:tcPr>
          <w:p>
            <w:pPr>
              <w:spacing w:after="0" w:line="240" w:lineRule="auto"/>
            </w:pPr>
            <w:r>
              <w:rPr>
                <w:color w:val="243447"/>
                <w:sz w:val="16"/>
              </w:rPr>
              <w:t>Strong fit for auth, typed domain services, APIs, background orchestration</w:t>
            </w:r>
          </w:p>
        </w:tc>
        <w:tc>
          <w:tcPr>
            <w:tcW w:type="dxa" w:w="2498"/>
            <w:vAlign w:val="center"/>
            <w:tcMar>
              <w:top w:w="90" w:type="dxa"/>
              <w:start w:w="100" w:type="dxa"/>
              <w:bottom w:w="90" w:type="dxa"/>
              <w:end w:w="100" w:type="dxa"/>
            </w:tcMar>
          </w:tcPr>
          <w:p>
            <w:pPr>
              <w:spacing w:after="0" w:line="240" w:lineRule="auto"/>
            </w:pPr>
            <w:r>
              <w:rPr>
                <w:color w:val="243447"/>
                <w:sz w:val="16"/>
              </w:rPr>
              <w:t>Requires clean API contracts and automated integration tests</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Numerical/scientific hot paths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C++ library or service, exposed through stable C ABI or service protocol</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Suitable for performance-sensitive algorithms and native libraries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Avoid passing complex object graphs across a native boundary</w:t>
            </w:r>
          </w:p>
        </w:tc>
      </w:tr>
      <w:tr>
        <w:tc>
          <w:tcPr>
            <w:tcW w:type="dxa" w:w="2498"/>
            <w:vAlign w:val="center"/>
            <w:tcMar>
              <w:top w:w="90" w:type="dxa"/>
              <w:start w:w="100" w:type="dxa"/>
              <w:bottom w:w="90" w:type="dxa"/>
              <w:end w:w="100" w:type="dxa"/>
            </w:tcMar>
          </w:tcPr>
          <w:p>
            <w:pPr>
              <w:spacing w:after="0" w:line="240" w:lineRule="auto"/>
            </w:pPr>
            <w:r>
              <w:rPr>
                <w:color w:val="243447"/>
                <w:sz w:val="16"/>
              </w:rPr>
              <w:t>Persistent storage</w:t>
            </w:r>
          </w:p>
        </w:tc>
        <w:tc>
          <w:tcPr>
            <w:tcW w:type="dxa" w:w="2498"/>
            <w:vAlign w:val="center"/>
            <w:tcMar>
              <w:top w:w="90" w:type="dxa"/>
              <w:start w:w="100" w:type="dxa"/>
              <w:bottom w:w="90" w:type="dxa"/>
              <w:end w:w="100" w:type="dxa"/>
            </w:tcMar>
          </w:tcPr>
          <w:p>
            <w:pPr>
              <w:spacing w:after="0" w:line="240" w:lineRule="auto"/>
            </w:pPr>
            <w:r>
              <w:rPr>
                <w:color w:val="243447"/>
                <w:sz w:val="16"/>
              </w:rPr>
              <w:t>PostgreSQL + versioned object storage</w:t>
            </w:r>
          </w:p>
        </w:tc>
        <w:tc>
          <w:tcPr>
            <w:tcW w:type="dxa" w:w="2498"/>
            <w:vAlign w:val="center"/>
            <w:tcMar>
              <w:top w:w="90" w:type="dxa"/>
              <w:start w:w="100" w:type="dxa"/>
              <w:bottom w:w="90" w:type="dxa"/>
              <w:end w:w="100" w:type="dxa"/>
            </w:tcMar>
          </w:tcPr>
          <w:p>
            <w:pPr>
              <w:spacing w:after="0" w:line="240" w:lineRule="auto"/>
            </w:pPr>
            <w:r>
              <w:rPr>
                <w:color w:val="243447"/>
                <w:sz w:val="16"/>
              </w:rPr>
              <w:t>Transactions and structured metadata plus large media/source files</w:t>
            </w:r>
          </w:p>
        </w:tc>
        <w:tc>
          <w:tcPr>
            <w:tcW w:type="dxa" w:w="2498"/>
            <w:vAlign w:val="center"/>
            <w:tcMar>
              <w:top w:w="90" w:type="dxa"/>
              <w:start w:w="100" w:type="dxa"/>
              <w:bottom w:w="90" w:type="dxa"/>
              <w:end w:w="100" w:type="dxa"/>
            </w:tcMar>
          </w:tcPr>
          <w:p>
            <w:pPr>
              <w:spacing w:after="0" w:line="240" w:lineRule="auto"/>
            </w:pPr>
            <w:r>
              <w:rPr>
                <w:color w:val="243447"/>
                <w:sz w:val="16"/>
              </w:rPr>
              <w:t>Backups, migrations, permissions, and retention need explicit policy</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Animation build</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Isolated build worker using Manim, if Python is allowed as tooling</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Leverages established mathematical animation workflows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If no Python process is allowed anywhere server-side, use a non-Python renderer or build videos outside the runtime platform</w:t>
            </w:r>
          </w:p>
        </w:tc>
      </w:tr>
    </w:tbl>
    <w:p>
      <w:pPr>
        <w:spacing w:after="20"/>
      </w:pPr>
    </w:p>
    <w:p>
      <w:pPr>
        <w:pStyle w:val="Heading2"/>
      </w:pPr>
      <w:r>
        <w:t>3.2 Recommended architecture under a strict runtime-backend rule</w:t>
      </w:r>
    </w:p>
    <w:p>
      <w:pPr>
        <w:pStyle w:val="ListNumber"/>
        <w:spacing w:after="40"/>
      </w:pPr>
      <w:r>
        <w:t>Browser: Python-authored UI modules run client-side; JavaScript/TypeScript components handle demanding graphics and browser integration.</w:t>
      </w:r>
    </w:p>
    <w:p>
      <w:pPr>
        <w:pStyle w:val="ListNumber"/>
        <w:spacing w:after="40"/>
      </w:pPr>
      <w:r>
        <w:t>Runtime API: C# only for authentication, courses, question services, learner events, recommendations, jobs, and release workflows.</w:t>
      </w:r>
    </w:p>
    <w:p>
      <w:pPr>
        <w:pStyle w:val="ListNumber"/>
        <w:spacing w:after="40"/>
      </w:pPr>
      <w:r>
        <w:t>Scientific engine: C++ native library called through a small C ABI from C# for local deployments, or a versioned local/network service if isolation is preferred.</w:t>
      </w:r>
    </w:p>
    <w:p>
      <w:pPr>
        <w:pStyle w:val="ListNumber"/>
        <w:spacing w:after="40"/>
      </w:pPr>
      <w:r>
        <w:t>Batch authoring: animation/video generation runs as a controlled build tool. If policy defines every rendering worker as a backend, Manim is not compliant with the strict language rule; explicitly approve the exception or choose a different renderer.</w:t>
      </w:r>
    </w:p>
    <w:p>
      <w:pPr>
        <w:pStyle w:val="ListNumber"/>
        <w:spacing w:after="40"/>
      </w:pPr>
      <w:r>
        <w:t>Communication: OpenAPI/JSON for service contracts; Protobuf/gRPC only if profiling shows it is useful. Start with the simpler boundary.</w:t>
      </w:r>
    </w:p>
    <w:p>
      <w:pPr>
        <w:pStyle w:val="Heading2"/>
      </w:pPr>
      <w:r>
        <w:t>3.3 Why not make every component C++?</w:t>
      </w:r>
    </w:p>
    <w:p>
      <w:r>
        <w:rPr>
          <w:i w:val="0"/>
        </w:rPr>
        <w:t>The goal is reliable product delivery, not maximum language uniformity. C# is a reasonable home for product workflows and application security; C++ is justified for measured numerical or performance needs; browser graphics can use the web platform. Prematurely moving all business logic to C++ increases development and safety burden without automatically improving learning outcomes.</w:t>
      </w:r>
    </w:p>
    <w:p>
      <w:pPr>
        <w:pStyle w:val="Heading2"/>
      </w:pPr>
      <w:r>
        <w:t>3.4 Codespaces as the development environment</w:t>
      </w:r>
    </w:p>
    <w:p>
      <w:r>
        <w:rPr>
          <w:i w:val="0"/>
        </w:rPr>
        <w:t>Use GitHub Codespaces as a reproducible development shell, not as a substitute for architecture. A devcontainer should install pinned development tools, expose only needed ports, run formatting and tests, and document any GPU or video-rendering limitation. Large renders can later move to a dedicated worker or CI runner; source code and small test renders should remain reproducible from the repository.</w:t>
      </w:r>
    </w:p>
    <w:p>
      <w:pPr>
        <w:pStyle w:val="ListBullet"/>
        <w:spacing w:after="40"/>
      </w:pPr>
      <w:r>
        <w:t>Pin dependency versions and capture the runtime versions in build artifacts.</w:t>
      </w:r>
    </w:p>
    <w:p>
      <w:pPr>
        <w:pStyle w:val="ListBullet"/>
        <w:spacing w:after="40"/>
      </w:pPr>
      <w:r>
        <w:t>Never commit API keys, model-provider secrets, exam scans with unclear rights, student records, or large generated media by default.</w:t>
      </w:r>
    </w:p>
    <w:p>
      <w:pPr>
        <w:pStyle w:val="ListBullet"/>
        <w:spacing w:after="40"/>
      </w:pPr>
      <w:r>
        <w:t>Use small deterministic fixtures in continuous integration; reserve long video renders for an explicit build job.</w:t>
      </w:r>
    </w:p>
    <w:p>
      <w:pPr>
        <w:pStyle w:val="ListBullet"/>
        <w:spacing w:after="40"/>
      </w:pPr>
      <w:r>
        <w:t>Make one command run the unit test suite and another command run the end-to-end demonstration.</w:t>
      </w:r>
    </w:p>
    <w:p>
      <w:r>
        <w:br w:type="page"/>
      </w:r>
    </w:p>
    <w:p>
      <w:pPr>
        <w:pStyle w:val="Heading1"/>
      </w:pPr>
      <w:r>
        <w:t>PART II — Learning intelligence and the quantum-cognition research track</w:t>
      </w:r>
    </w:p>
    <w:p>
      <w:pPr>
        <w:pStyle w:val="Heading1"/>
      </w:pPr>
      <w:r>
        <w:t>4. A measurable learner model</w:t>
      </w:r>
    </w:p>
    <w:p>
      <w:pPr>
        <w:pStyle w:val="Heading2"/>
      </w:pPr>
      <w:r>
        <w:t>4.1 Start with a transparent baseline</w:t>
      </w:r>
    </w:p>
    <w:p>
      <w:r>
        <w:rPr>
          <w:i w:val="0"/>
        </w:rPr>
        <w:t>The initial cognitive engine should be a transparent, falsifiable model, not a branded “quantum” formula. Start with a reviewed concept graph and a simple learner-state model. Candidate baselines include Bayesian Knowledge Tracing (BKT) for skill mastery, Item Response Theory (IRT) for item/learner response patterns, and an explicitly evaluated forgetting/review scheduler. These models answer different questions and should not be collapsed into one unexplained score [R4, R5].</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Signal or model</w:t>
            </w:r>
          </w:p>
        </w:tc>
        <w:tc>
          <w:tcPr>
            <w:tcW w:type="dxa" w:w="3331"/>
            <w:shd w:fill="16324F"/>
            <w:vAlign w:val="center"/>
            <w:tcMar>
              <w:top w:w="90" w:type="dxa"/>
              <w:start w:w="100" w:type="dxa"/>
              <w:bottom w:w="90" w:type="dxa"/>
              <w:end w:w="100" w:type="dxa"/>
            </w:tcMar>
          </w:tcPr>
          <w:p>
            <w:pPr>
              <w:spacing w:after="0"/>
            </w:pPr>
            <w:r>
              <w:rPr>
                <w:b/>
                <w:color w:val="FFFFFF"/>
                <w:sz w:val="16"/>
              </w:rPr>
              <w:t>What it contributes</w:t>
            </w:r>
          </w:p>
        </w:tc>
        <w:tc>
          <w:tcPr>
            <w:tcW w:type="dxa" w:w="3331"/>
            <w:shd w:fill="16324F"/>
            <w:vAlign w:val="center"/>
            <w:tcMar>
              <w:top w:w="90" w:type="dxa"/>
              <w:start w:w="100" w:type="dxa"/>
              <w:bottom w:w="90" w:type="dxa"/>
              <w:end w:w="100" w:type="dxa"/>
            </w:tcMar>
          </w:tcPr>
          <w:p>
            <w:pPr>
              <w:spacing w:after="0"/>
            </w:pPr>
            <w:r>
              <w:rPr>
                <w:b/>
                <w:color w:val="FFFFFF"/>
                <w:sz w:val="16"/>
              </w:rPr>
              <w:t>What it cannot establish alone</w:t>
            </w:r>
          </w:p>
        </w:tc>
      </w:tr>
      <w:tr>
        <w:tc>
          <w:tcPr>
            <w:tcW w:type="dxa" w:w="3331"/>
            <w:vAlign w:val="center"/>
            <w:tcMar>
              <w:top w:w="90" w:type="dxa"/>
              <w:start w:w="100" w:type="dxa"/>
              <w:bottom w:w="90" w:type="dxa"/>
              <w:end w:w="100" w:type="dxa"/>
            </w:tcMar>
          </w:tcPr>
          <w:p>
            <w:pPr>
              <w:spacing w:after="0" w:line="240" w:lineRule="auto"/>
            </w:pPr>
            <w:r>
              <w:rPr>
                <w:color w:val="243447"/>
                <w:sz w:val="16"/>
              </w:rPr>
              <w:t>Concept graph</w:t>
            </w:r>
          </w:p>
        </w:tc>
        <w:tc>
          <w:tcPr>
            <w:tcW w:type="dxa" w:w="3331"/>
            <w:vAlign w:val="center"/>
            <w:tcMar>
              <w:top w:w="90" w:type="dxa"/>
              <w:start w:w="100" w:type="dxa"/>
              <w:bottom w:w="90" w:type="dxa"/>
              <w:end w:w="100" w:type="dxa"/>
            </w:tcMar>
          </w:tcPr>
          <w:p>
            <w:pPr>
              <w:spacing w:after="0" w:line="240" w:lineRule="auto"/>
            </w:pPr>
            <w:r>
              <w:rPr>
                <w:color w:val="243447"/>
                <w:sz w:val="16"/>
              </w:rPr>
              <w:t>Prerequisite relationships; links questions to skills</w:t>
            </w:r>
          </w:p>
        </w:tc>
        <w:tc>
          <w:tcPr>
            <w:tcW w:type="dxa" w:w="3331"/>
            <w:vAlign w:val="center"/>
            <w:tcMar>
              <w:top w:w="90" w:type="dxa"/>
              <w:start w:w="100" w:type="dxa"/>
              <w:bottom w:w="90" w:type="dxa"/>
              <w:end w:w="100" w:type="dxa"/>
            </w:tcMar>
          </w:tcPr>
          <w:p>
            <w:pPr>
              <w:spacing w:after="0" w:line="240" w:lineRule="auto"/>
            </w:pPr>
            <w:r>
              <w:rPr>
                <w:color w:val="243447"/>
                <w:sz w:val="16"/>
              </w:rPr>
              <w:t>Whether a particular student has mastered a node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BKT</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Posterior estimate of mastery from a sequence of responses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A complete psychological description or guaranteed individual diagnosis</w:t>
            </w:r>
          </w:p>
        </w:tc>
      </w:tr>
      <w:tr>
        <w:tc>
          <w:tcPr>
            <w:tcW w:type="dxa" w:w="3331"/>
            <w:vAlign w:val="center"/>
            <w:tcMar>
              <w:top w:w="90" w:type="dxa"/>
              <w:start w:w="100" w:type="dxa"/>
              <w:bottom w:w="90" w:type="dxa"/>
              <w:end w:w="100" w:type="dxa"/>
            </w:tcMar>
          </w:tcPr>
          <w:p>
            <w:pPr>
              <w:spacing w:after="0" w:line="240" w:lineRule="auto"/>
            </w:pPr>
            <w:r>
              <w:rPr>
                <w:color w:val="243447"/>
                <w:sz w:val="16"/>
              </w:rPr>
              <w:t>IRT</w:t>
            </w:r>
          </w:p>
        </w:tc>
        <w:tc>
          <w:tcPr>
            <w:tcW w:type="dxa" w:w="3331"/>
            <w:vAlign w:val="center"/>
            <w:tcMar>
              <w:top w:w="90" w:type="dxa"/>
              <w:start w:w="100" w:type="dxa"/>
              <w:bottom w:w="90" w:type="dxa"/>
              <w:end w:w="100" w:type="dxa"/>
            </w:tcMar>
          </w:tcPr>
          <w:p>
            <w:pPr>
              <w:spacing w:after="0" w:line="240" w:lineRule="auto"/>
            </w:pPr>
            <w:r>
              <w:rPr>
                <w:color w:val="243447"/>
                <w:sz w:val="16"/>
              </w:rPr>
              <w:t>Separates item difficulty and discrimination from learner response tendencies</w:t>
            </w:r>
          </w:p>
        </w:tc>
        <w:tc>
          <w:tcPr>
            <w:tcW w:type="dxa" w:w="3331"/>
            <w:vAlign w:val="center"/>
            <w:tcMar>
              <w:top w:w="90" w:type="dxa"/>
              <w:start w:w="100" w:type="dxa"/>
              <w:bottom w:w="90" w:type="dxa"/>
              <w:end w:w="100" w:type="dxa"/>
            </w:tcMar>
          </w:tcPr>
          <w:p>
            <w:pPr>
              <w:spacing w:after="0" w:line="240" w:lineRule="auto"/>
            </w:pPr>
            <w:r>
              <w:rPr>
                <w:color w:val="243447"/>
                <w:sz w:val="16"/>
              </w:rPr>
              <w:t>Conceptual understanding of every skill; quality depends on model assumptions and data</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Forgetting / spaced review</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Schedules retrieval practice based on previous evidence and elapsed time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Exact biological memory state or a universal optimal interval</w:t>
            </w:r>
          </w:p>
        </w:tc>
      </w:tr>
      <w:tr>
        <w:tc>
          <w:tcPr>
            <w:tcW w:type="dxa" w:w="3331"/>
            <w:vAlign w:val="center"/>
            <w:tcMar>
              <w:top w:w="90" w:type="dxa"/>
              <w:start w:w="100" w:type="dxa"/>
              <w:bottom w:w="90" w:type="dxa"/>
              <w:end w:w="100" w:type="dxa"/>
            </w:tcMar>
          </w:tcPr>
          <w:p>
            <w:pPr>
              <w:spacing w:after="0" w:line="240" w:lineRule="auto"/>
            </w:pPr>
            <w:r>
              <w:rPr>
                <w:color w:val="243447"/>
                <w:sz w:val="16"/>
              </w:rPr>
              <w:t>Error and hint features</w:t>
            </w:r>
          </w:p>
        </w:tc>
        <w:tc>
          <w:tcPr>
            <w:tcW w:type="dxa" w:w="3331"/>
            <w:vAlign w:val="center"/>
            <w:tcMar>
              <w:top w:w="90" w:type="dxa"/>
              <w:start w:w="100" w:type="dxa"/>
              <w:bottom w:w="90" w:type="dxa"/>
              <w:end w:w="100" w:type="dxa"/>
            </w:tcMar>
          </w:tcPr>
          <w:p>
            <w:pPr>
              <w:spacing w:after="0" w:line="240" w:lineRule="auto"/>
            </w:pPr>
            <w:r>
              <w:rPr>
                <w:color w:val="243447"/>
                <w:sz w:val="16"/>
              </w:rPr>
              <w:t>Can identify likely misconception patterns and support targeted feedback</w:t>
            </w:r>
          </w:p>
        </w:tc>
        <w:tc>
          <w:tcPr>
            <w:tcW w:type="dxa" w:w="3331"/>
            <w:vAlign w:val="center"/>
            <w:tcMar>
              <w:top w:w="90" w:type="dxa"/>
              <w:start w:w="100" w:type="dxa"/>
              <w:bottom w:w="90" w:type="dxa"/>
              <w:end w:w="100" w:type="dxa"/>
            </w:tcMar>
          </w:tcPr>
          <w:p>
            <w:pPr>
              <w:spacing w:after="0" w:line="240" w:lineRule="auto"/>
            </w:pPr>
            <w:r>
              <w:rPr>
                <w:color w:val="243447"/>
                <w:sz w:val="16"/>
              </w:rPr>
              <w:t>Causal proof that the learner holds a misconception</w:t>
            </w:r>
          </w:p>
        </w:tc>
      </w:tr>
    </w:tbl>
    <w:p>
      <w:pPr>
        <w:spacing w:after="20"/>
      </w:pPr>
    </w:p>
    <w:p>
      <w:pPr>
        <w:pStyle w:val="Heading2"/>
      </w:pPr>
      <w:r>
        <w:t>4.2 Concept graph design</w:t>
      </w:r>
    </w:p>
    <w:p>
      <w:r>
        <w:rPr>
          <w:i w:val="0"/>
        </w:rPr>
        <w:t>Represent each concept as a versioned node with a definition, learning objectives, prerequisite edges, equations, representations, canonical question families, misconceptions, source references, and teacher review status. A directed edge such as “requires” should include a strength or confidence and a justification. Prerequisites are hypotheses to validate against curriculum expertise and learner data, not immutable truths.</w:t>
      </w:r>
    </w:p>
    <w:p>
      <w:r>
        <w:rPr>
          <w:i w:val="0"/>
        </w:rPr>
        <w:t>Example chain for mechanics: vectors → position and displacement → velocity → acceleration → Newton’s laws → work-energy methods → momentum and collisions → rotation. Cross-links matter: energy methods and Newton’s laws are alternative solution tools for many problems rather than a simple one-way ladder.</w:t>
      </w:r>
    </w:p>
    <w:p>
      <w:pPr>
        <w:pStyle w:val="Heading2"/>
      </w:pPr>
      <w:r>
        <w:t>4.3 Bayesian Knowledge Tracing as a starting model</w:t>
      </w:r>
    </w:p>
    <w:p>
      <w:r>
        <w:rPr>
          <w:i w:val="0"/>
        </w:rPr>
        <w:t>Classic BKT represents mastery as a hidden state with a probability of knowing a skill. Its commonly described parameters are initial mastery, transition/learning probability, slip probability, and guess probability [R4]. In production, use the model as an estimate whose calibration must be tested, not as a truth label.</w:t>
      </w:r>
    </w:p>
    <w:tbl>
      <w:tblPr>
        <w:tblW w:type="auto" w:w="0"/>
        <w:jc w:val="center"/>
        <w:tblLook w:firstColumn="1" w:firstRow="1" w:lastColumn="0" w:lastRow="0" w:noHBand="0" w:noVBand="1" w:val="04A0"/>
      </w:tblPr>
      <w:tblGrid>
        <w:gridCol w:w="9994"/>
      </w:tblGrid>
      <w:tr>
        <w:trPr>
          <w:tblHeader w:val="true"/>
        </w:trPr>
        <w:tc>
          <w:tcPr>
            <w:tcW w:type="dxa" w:w="9994"/>
            <w:shd w:fill="EEF5F8"/>
            <w:tcMar>
              <w:top w:w="150" w:type="dxa"/>
              <w:start w:w="180" w:type="dxa"/>
              <w:bottom w:w="150" w:type="dxa"/>
              <w:end w:w="180" w:type="dxa"/>
            </w:tcMar>
          </w:tcPr>
          <w:p>
            <w:pPr>
              <w:spacing w:after="60"/>
            </w:pPr>
            <w:r>
              <w:rPr>
                <w:b/>
                <w:color w:val="176B87"/>
                <w:sz w:val="17"/>
              </w:rPr>
              <w:t>CONCEPTUAL UPDATE RULE</w:t>
            </w:r>
          </w:p>
          <w:p>
            <w:pPr>
              <w:spacing w:after="0"/>
            </w:pPr>
            <w:r>
              <w:rPr>
                <w:sz w:val="18"/>
              </w:rPr>
              <w:t>Given a prior mastery probability P(K), a response likelihood under “known” and “not known,” and an explicit transition model, update the posterior P(K | response). Keep the parameters versioned and fit them only when enough appropriate data exists. Do not copy a formula into production without tests for edge cases, missing responses, item ambiguity, and calibration.</w:t>
            </w:r>
          </w:p>
        </w:tc>
      </w:tr>
    </w:tbl>
    <w:p>
      <w:pPr>
        <w:spacing w:after="20"/>
      </w:pPr>
    </w:p>
    <w:p>
      <w:pPr>
        <w:pStyle w:val="Heading2"/>
      </w:pPr>
      <w:r>
        <w:t>4.4 Question tags need confidence and evidence</w:t>
      </w:r>
    </w:p>
    <w:p>
      <w:r>
        <w:rPr>
          <w:i w:val="0"/>
        </w:rPr>
        <w:t>A question can involve several concepts, but the platform should distinguish primary skill, supporting skill, prerequisite, and incidental context. Store mapping confidence and the source of the decision (teacher, rule, model suggestion). A model-generated tag is a draft; it should not silently become ground truth.</w:t>
      </w:r>
    </w:p>
    <w:p>
      <w:pPr>
        <w:pStyle w:val="Heading2"/>
      </w:pPr>
      <w:r>
        <w:t>4.5 Personalisation without manipulation</w:t>
      </w:r>
    </w:p>
    <w:p>
      <w:pPr>
        <w:pStyle w:val="ListBullet"/>
        <w:spacing w:after="40"/>
      </w:pPr>
      <w:r>
        <w:t>Show the student why a concept or practice set is recommended.</w:t>
      </w:r>
    </w:p>
    <w:p>
      <w:pPr>
        <w:pStyle w:val="ListBullet"/>
        <w:spacing w:after="40"/>
      </w:pPr>
      <w:r>
        <w:t>Allow “too easy,” “too hard,” and “this explanation did not help” feedback.</w:t>
      </w:r>
    </w:p>
    <w:p>
      <w:pPr>
        <w:pStyle w:val="ListBullet"/>
        <w:spacing w:after="40"/>
      </w:pPr>
      <w:r>
        <w:t>Use time-on-question as a weak signal because reading speed, interruptions, accessibility needs, and device latency vary.</w:t>
      </w:r>
    </w:p>
    <w:p>
      <w:pPr>
        <w:pStyle w:val="ListBullet"/>
        <w:spacing w:after="40"/>
      </w:pPr>
      <w:r>
        <w:t>Do not infer sensitive traits or use dark patterns to maximise time spent. Optimize for learning outcomes, not endless engagement.</w:t>
      </w:r>
    </w:p>
    <w:p>
      <w:pPr>
        <w:pStyle w:val="ListBullet"/>
        <w:spacing w:after="40"/>
      </w:pPr>
      <w:r>
        <w:t>Track calibration: when the model predicts 70% success, roughly that rate should occur in comparable evaluated cases.</w:t>
      </w:r>
    </w:p>
    <w:p>
      <w:pPr>
        <w:pStyle w:val="Heading1"/>
      </w:pPr>
      <w:r>
        <w:t>5. Define and test the Quantum Cognitive Algorithm</w:t>
      </w:r>
    </w:p>
    <w:p>
      <w:pPr>
        <w:pStyle w:val="Heading2"/>
      </w:pPr>
      <w:r>
        <w:t>5.1 Resolve the phrase before coding it</w:t>
      </w:r>
    </w:p>
    <w:p>
      <w:pPr>
        <w:jc w:val="center"/>
      </w:pPr>
      <w:r>
        <w:drawing>
          <wp:inline xmlns:a="http://schemas.openxmlformats.org/drawingml/2006/main" xmlns:pic="http://schemas.openxmlformats.org/drawingml/2006/picture">
            <wp:extent cx="6035040" cy="2492990"/>
            <wp:docPr id="2" name="Picture 2" descr="Comparison of classical cognitive models, quantum-inspired cognition, and quantum computing. Classical models are the production baseline; quantum-inspired cognition is an experimental branch; quantum computing is a distinct approach. Promotion requires fair held-out evaluation against baselines." title="Quantum cognition research distinctions"/>
            <wp:cNvGraphicFramePr>
              <a:graphicFrameLocks noChangeAspect="1"/>
            </wp:cNvGraphicFramePr>
            <a:graphic>
              <a:graphicData uri="http://schemas.openxmlformats.org/drawingml/2006/picture">
                <pic:pic>
                  <pic:nvPicPr>
                    <pic:cNvPr id="0" name="quantum.png"/>
                    <pic:cNvPicPr/>
                  </pic:nvPicPr>
                  <pic:blipFill>
                    <a:blip r:embed="rId12"/>
                    <a:stretch>
                      <a:fillRect/>
                    </a:stretch>
                  </pic:blipFill>
                  <pic:spPr>
                    <a:xfrm>
                      <a:off x="0" y="0"/>
                      <a:ext cx="6035040" cy="2492990"/>
                    </a:xfrm>
                    <a:prstGeom prst="rect"/>
                  </pic:spPr>
                </pic:pic>
              </a:graphicData>
            </a:graphic>
          </wp:inline>
        </w:drawing>
      </w:r>
    </w:p>
    <w:p>
      <w:r>
        <w:rPr>
          <w:i w:val="0"/>
        </w:rPr>
        <w:t>“Quantum cognition” often refers to using the mathematics of quantum probability to model human judgments, decisions, contextuality, or order effects. It does not necessarily use a quantum computer. “Quantum-inspired” algorithms can run on classical hardware. Quantum computing is a separate claim about algorithms and hardware. These three meanings must not be conflated [R6, R7].</w:t>
      </w:r>
    </w:p>
    <w:p>
      <w:pPr>
        <w:pStyle w:val="Heading2"/>
      </w:pPr>
      <w:r>
        <w:t>5.2 A research hypothesis, not a product promise</w:t>
      </w:r>
    </w:p>
    <w:p>
      <w:r>
        <w:rPr>
          <w:i w:val="0"/>
        </w:rPr>
        <w:t>Working hypothesis Q1: in some learning contexts, response probabilities may depend on question order or contextual framing in a way that a particular classical model captures poorly, and a quantum-probability model may predict held-out behavior better. This is a research hypothesis to test; it is not established as a general advantage for adaptive education. The platform should not advertise an accuracy or learning advantage before evidence supports it.</w:t>
      </w:r>
    </w:p>
    <w:p>
      <w:pPr>
        <w:pStyle w:val="Heading2"/>
      </w:pPr>
      <w:r>
        <w:t>5.3 A fair comparison protocol</w:t>
      </w:r>
    </w:p>
    <w:p>
      <w:pPr>
        <w:pStyle w:val="ListNumber"/>
        <w:spacing w:after="40"/>
      </w:pPr>
      <w:r>
        <w:t>Choose a narrowly defined outcome first: for example, predict whether a learner will correctly answer a new question from a specific concept family, or whether a delayed-retention check will be passed.</w:t>
      </w:r>
    </w:p>
    <w:p>
      <w:pPr>
        <w:pStyle w:val="ListNumber"/>
        <w:spacing w:after="40"/>
      </w:pPr>
      <w:r>
        <w:t>Create a data dictionary and freeze the train/validation/test split by learner and time. Prevent near-duplicate questions and future responses from leaking into training.</w:t>
      </w:r>
    </w:p>
    <w:p>
      <w:pPr>
        <w:pStyle w:val="ListNumber"/>
        <w:spacing w:after="40"/>
      </w:pPr>
      <w:r>
        <w:t>Compare against strong and transparent baselines: prevalence-only, logistic regression, BKT, and/or IRT as appropriate to the outcome.</w:t>
      </w:r>
    </w:p>
    <w:p>
      <w:pPr>
        <w:pStyle w:val="ListNumber"/>
        <w:spacing w:after="40"/>
      </w:pPr>
      <w:r>
        <w:t>Implement the quantum-inspired candidate with its assumptions documented mathematically. State what it can represent that the baseline cannot.</w:t>
      </w:r>
    </w:p>
    <w:p>
      <w:pPr>
        <w:pStyle w:val="ListNumber"/>
        <w:spacing w:after="40"/>
      </w:pPr>
      <w:r>
        <w:t>Use the same held-out data, comparable tuning effort, and documented compute budget. Predefine primary metrics and stopping criteria.</w:t>
      </w:r>
    </w:p>
    <w:p>
      <w:pPr>
        <w:pStyle w:val="ListNumber"/>
        <w:spacing w:after="40"/>
      </w:pPr>
      <w:r>
        <w:t>Report predictive quality, calibration, subgroup performance, robustness to sparse histories, latency, maintainability, and failure modes—not accuracy alone.</w:t>
      </w:r>
    </w:p>
    <w:p>
      <w:pPr>
        <w:pStyle w:val="ListNumber"/>
        <w:spacing w:after="40"/>
      </w:pPr>
      <w:r>
        <w:t>Repeat across topics and cohorts before making claims. A tiny improvement on one dataset may be noise or overfitting.</w:t>
      </w:r>
    </w:p>
    <w:p>
      <w:pPr>
        <w:pStyle w:val="Heading2"/>
      </w:pPr>
      <w:r>
        <w:t>5.4 Metrics to report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Metric</w:t>
            </w:r>
          </w:p>
        </w:tc>
        <w:tc>
          <w:tcPr>
            <w:tcW w:type="dxa" w:w="3331"/>
            <w:shd w:fill="16324F"/>
            <w:vAlign w:val="center"/>
            <w:tcMar>
              <w:top w:w="90" w:type="dxa"/>
              <w:start w:w="100" w:type="dxa"/>
              <w:bottom w:w="90" w:type="dxa"/>
              <w:end w:w="100" w:type="dxa"/>
            </w:tcMar>
          </w:tcPr>
          <w:p>
            <w:pPr>
              <w:spacing w:after="0"/>
            </w:pPr>
            <w:r>
              <w:rPr>
                <w:b/>
                <w:color w:val="FFFFFF"/>
                <w:sz w:val="16"/>
              </w:rPr>
              <w:t>Use</w:t>
            </w:r>
          </w:p>
        </w:tc>
        <w:tc>
          <w:tcPr>
            <w:tcW w:type="dxa" w:w="3331"/>
            <w:shd w:fill="16324F"/>
            <w:vAlign w:val="center"/>
            <w:tcMar>
              <w:top w:w="90" w:type="dxa"/>
              <w:start w:w="100" w:type="dxa"/>
              <w:bottom w:w="90" w:type="dxa"/>
              <w:end w:w="100" w:type="dxa"/>
            </w:tcMar>
          </w:tcPr>
          <w:p>
            <w:pPr>
              <w:spacing w:after="0"/>
            </w:pPr>
            <w:r>
              <w:rPr>
                <w:b/>
                <w:color w:val="FFFFFF"/>
                <w:sz w:val="16"/>
              </w:rPr>
              <w:t>Caution</w:t>
            </w:r>
          </w:p>
        </w:tc>
      </w:tr>
      <w:tr>
        <w:tc>
          <w:tcPr>
            <w:tcW w:type="dxa" w:w="3331"/>
            <w:vAlign w:val="center"/>
            <w:tcMar>
              <w:top w:w="90" w:type="dxa"/>
              <w:start w:w="100" w:type="dxa"/>
              <w:bottom w:w="90" w:type="dxa"/>
              <w:end w:w="100" w:type="dxa"/>
            </w:tcMar>
          </w:tcPr>
          <w:p>
            <w:pPr>
              <w:spacing w:after="0" w:line="240" w:lineRule="auto"/>
            </w:pPr>
            <w:r>
              <w:rPr>
                <w:color w:val="243447"/>
                <w:sz w:val="16"/>
              </w:rPr>
              <w:t>Log loss / cross-entropy</w:t>
            </w:r>
          </w:p>
        </w:tc>
        <w:tc>
          <w:tcPr>
            <w:tcW w:type="dxa" w:w="3331"/>
            <w:vAlign w:val="center"/>
            <w:tcMar>
              <w:top w:w="90" w:type="dxa"/>
              <w:start w:w="100" w:type="dxa"/>
              <w:bottom w:w="90" w:type="dxa"/>
              <w:end w:w="100" w:type="dxa"/>
            </w:tcMar>
          </w:tcPr>
          <w:p>
            <w:pPr>
              <w:spacing w:after="0" w:line="240" w:lineRule="auto"/>
            </w:pPr>
            <w:r>
              <w:rPr>
                <w:color w:val="243447"/>
                <w:sz w:val="16"/>
              </w:rPr>
              <w:t>Quality of probabilistic predictions</w:t>
            </w:r>
          </w:p>
        </w:tc>
        <w:tc>
          <w:tcPr>
            <w:tcW w:type="dxa" w:w="3331"/>
            <w:vAlign w:val="center"/>
            <w:tcMar>
              <w:top w:w="90" w:type="dxa"/>
              <w:start w:w="100" w:type="dxa"/>
              <w:bottom w:w="90" w:type="dxa"/>
              <w:end w:w="100" w:type="dxa"/>
            </w:tcMar>
          </w:tcPr>
          <w:p>
            <w:pPr>
              <w:spacing w:after="0" w:line="240" w:lineRule="auto"/>
            </w:pPr>
            <w:r>
              <w:rPr>
                <w:color w:val="243447"/>
                <w:sz w:val="16"/>
              </w:rPr>
              <w:t>Penalises overconfident wrong predictions; inspect alongside calibration</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Brier score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Mean squared probabilistic error for binary outcomes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Can vary with event prevalence</w:t>
            </w:r>
          </w:p>
        </w:tc>
      </w:tr>
      <w:tr>
        <w:tc>
          <w:tcPr>
            <w:tcW w:type="dxa" w:w="3331"/>
            <w:vAlign w:val="center"/>
            <w:tcMar>
              <w:top w:w="90" w:type="dxa"/>
              <w:start w:w="100" w:type="dxa"/>
              <w:bottom w:w="90" w:type="dxa"/>
              <w:end w:w="100" w:type="dxa"/>
            </w:tcMar>
          </w:tcPr>
          <w:p>
            <w:pPr>
              <w:spacing w:after="0" w:line="240" w:lineRule="auto"/>
            </w:pPr>
            <w:r>
              <w:rPr>
                <w:color w:val="243447"/>
                <w:sz w:val="16"/>
              </w:rPr>
              <w:t>Calibration plot / expected calibration error</w:t>
            </w:r>
          </w:p>
        </w:tc>
        <w:tc>
          <w:tcPr>
            <w:tcW w:type="dxa" w:w="3331"/>
            <w:vAlign w:val="center"/>
            <w:tcMar>
              <w:top w:w="90" w:type="dxa"/>
              <w:start w:w="100" w:type="dxa"/>
              <w:bottom w:w="90" w:type="dxa"/>
              <w:end w:w="100" w:type="dxa"/>
            </w:tcMar>
          </w:tcPr>
          <w:p>
            <w:pPr>
              <w:spacing w:after="0" w:line="240" w:lineRule="auto"/>
            </w:pPr>
            <w:r>
              <w:rPr>
                <w:color w:val="243447"/>
                <w:sz w:val="16"/>
              </w:rPr>
              <w:t>Do predicted probabilities match observed outcomes?</w:t>
            </w:r>
          </w:p>
        </w:tc>
        <w:tc>
          <w:tcPr>
            <w:tcW w:type="dxa" w:w="3331"/>
            <w:vAlign w:val="center"/>
            <w:tcMar>
              <w:top w:w="90" w:type="dxa"/>
              <w:start w:w="100" w:type="dxa"/>
              <w:bottom w:w="90" w:type="dxa"/>
              <w:end w:w="100" w:type="dxa"/>
            </w:tcMar>
          </w:tcPr>
          <w:p>
            <w:pPr>
              <w:spacing w:after="0" w:line="240" w:lineRule="auto"/>
            </w:pPr>
            <w:r>
              <w:rPr>
                <w:color w:val="243447"/>
                <w:sz w:val="16"/>
              </w:rPr>
              <w:t>ECE depends on binning; show plot and confidence intervals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AUC / PR-AUC</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Ranking discrimination</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Does not show calibration and may hide poor absolute predictions</w:t>
            </w:r>
          </w:p>
        </w:tc>
      </w:tr>
      <w:tr>
        <w:tc>
          <w:tcPr>
            <w:tcW w:type="dxa" w:w="3331"/>
            <w:vAlign w:val="center"/>
            <w:tcMar>
              <w:top w:w="90" w:type="dxa"/>
              <w:start w:w="100" w:type="dxa"/>
              <w:bottom w:w="90" w:type="dxa"/>
              <w:end w:w="100" w:type="dxa"/>
            </w:tcMar>
          </w:tcPr>
          <w:p>
            <w:pPr>
              <w:spacing w:after="0" w:line="240" w:lineRule="auto"/>
            </w:pPr>
            <w:r>
              <w:rPr>
                <w:color w:val="243447"/>
                <w:sz w:val="16"/>
              </w:rPr>
              <w:t>Delayed-retention outcome</w:t>
            </w:r>
          </w:p>
        </w:tc>
        <w:tc>
          <w:tcPr>
            <w:tcW w:type="dxa" w:w="3331"/>
            <w:vAlign w:val="center"/>
            <w:tcMar>
              <w:top w:w="90" w:type="dxa"/>
              <w:start w:w="100" w:type="dxa"/>
              <w:bottom w:w="90" w:type="dxa"/>
              <w:end w:w="100" w:type="dxa"/>
            </w:tcMar>
          </w:tcPr>
          <w:p>
            <w:pPr>
              <w:spacing w:after="0" w:line="240" w:lineRule="auto"/>
            </w:pPr>
            <w:r>
              <w:rPr>
                <w:color w:val="243447"/>
                <w:sz w:val="16"/>
              </w:rPr>
              <w:t>Learning durability after a planned interval</w:t>
            </w:r>
          </w:p>
        </w:tc>
        <w:tc>
          <w:tcPr>
            <w:tcW w:type="dxa" w:w="3331"/>
            <w:vAlign w:val="center"/>
            <w:tcMar>
              <w:top w:w="90" w:type="dxa"/>
              <w:start w:w="100" w:type="dxa"/>
              <w:bottom w:w="90" w:type="dxa"/>
              <w:end w:w="100" w:type="dxa"/>
            </w:tcMar>
          </w:tcPr>
          <w:p>
            <w:pPr>
              <w:spacing w:after="0" w:line="240" w:lineRule="auto"/>
            </w:pPr>
            <w:r>
              <w:rPr>
                <w:color w:val="243447"/>
                <w:sz w:val="16"/>
              </w:rPr>
              <w:t>Needs a valid comparison design and adequate sample size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Teacher review burden</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Operational cost of wrong or ambiguous recommendations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Define the unit of review and count disagreements consistently</w:t>
            </w:r>
          </w:p>
        </w:tc>
      </w:tr>
      <w:tr>
        <w:tc>
          <w:tcPr>
            <w:tcW w:type="dxa" w:w="3331"/>
            <w:vAlign w:val="center"/>
            <w:tcMar>
              <w:top w:w="90" w:type="dxa"/>
              <w:start w:w="100" w:type="dxa"/>
              <w:bottom w:w="90" w:type="dxa"/>
              <w:end w:w="100" w:type="dxa"/>
            </w:tcMar>
          </w:tcPr>
          <w:p>
            <w:pPr>
              <w:spacing w:after="0" w:line="240" w:lineRule="auto"/>
            </w:pPr>
            <w:r>
              <w:rPr>
                <w:color w:val="243447"/>
                <w:sz w:val="16"/>
              </w:rPr>
              <w:t>Latency and complexity</w:t>
            </w:r>
          </w:p>
        </w:tc>
        <w:tc>
          <w:tcPr>
            <w:tcW w:type="dxa" w:w="3331"/>
            <w:vAlign w:val="center"/>
            <w:tcMar>
              <w:top w:w="90" w:type="dxa"/>
              <w:start w:w="100" w:type="dxa"/>
              <w:bottom w:w="90" w:type="dxa"/>
              <w:end w:w="100" w:type="dxa"/>
            </w:tcMar>
          </w:tcPr>
          <w:p>
            <w:pPr>
              <w:spacing w:after="0" w:line="240" w:lineRule="auto"/>
            </w:pPr>
            <w:r>
              <w:rPr>
                <w:color w:val="243447"/>
                <w:sz w:val="16"/>
              </w:rPr>
              <w:t>Serving costs and maintainability</w:t>
            </w:r>
          </w:p>
        </w:tc>
        <w:tc>
          <w:tcPr>
            <w:tcW w:type="dxa" w:w="3331"/>
            <w:vAlign w:val="center"/>
            <w:tcMar>
              <w:top w:w="90" w:type="dxa"/>
              <w:start w:w="100" w:type="dxa"/>
              <w:bottom w:w="90" w:type="dxa"/>
              <w:end w:w="100" w:type="dxa"/>
            </w:tcMar>
          </w:tcPr>
          <w:p>
            <w:pPr>
              <w:spacing w:after="0" w:line="240" w:lineRule="auto"/>
            </w:pPr>
            <w:r>
              <w:rPr>
                <w:color w:val="243447"/>
                <w:sz w:val="16"/>
              </w:rPr>
              <w:t>An academic model may be too expensive or opaque for production</w:t>
            </w:r>
          </w:p>
        </w:tc>
      </w:tr>
    </w:tbl>
    <w:p>
      <w:pPr>
        <w:spacing w:after="20"/>
      </w:pPr>
    </w:p>
    <w:p>
      <w:pPr>
        <w:pStyle w:val="Heading2"/>
      </w:pPr>
      <w:r>
        <w:t>5.5 Promotion gates for the quantum track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Gate</w:t>
            </w:r>
          </w:p>
        </w:tc>
        <w:tc>
          <w:tcPr>
            <w:tcW w:type="dxa" w:w="3331"/>
            <w:shd w:fill="16324F"/>
            <w:vAlign w:val="center"/>
            <w:tcMar>
              <w:top w:w="90" w:type="dxa"/>
              <w:start w:w="100" w:type="dxa"/>
              <w:bottom w:w="90" w:type="dxa"/>
              <w:end w:w="100" w:type="dxa"/>
            </w:tcMar>
          </w:tcPr>
          <w:p>
            <w:pPr>
              <w:spacing w:after="0"/>
            </w:pPr>
            <w:r>
              <w:rPr>
                <w:b/>
                <w:color w:val="FFFFFF"/>
                <w:sz w:val="16"/>
              </w:rPr>
              <w:t>Evidence required</w:t>
            </w:r>
          </w:p>
        </w:tc>
        <w:tc>
          <w:tcPr>
            <w:tcW w:type="dxa" w:w="3331"/>
            <w:shd w:fill="16324F"/>
            <w:vAlign w:val="center"/>
            <w:tcMar>
              <w:top w:w="90" w:type="dxa"/>
              <w:start w:w="100" w:type="dxa"/>
              <w:bottom w:w="90" w:type="dxa"/>
              <w:end w:w="100" w:type="dxa"/>
            </w:tcMar>
          </w:tcPr>
          <w:p>
            <w:pPr>
              <w:spacing w:after="0"/>
            </w:pPr>
            <w:r>
              <w:rPr>
                <w:b/>
                <w:color w:val="FFFFFF"/>
                <w:sz w:val="16"/>
              </w:rPr>
              <w:t>Decision</w:t>
            </w:r>
          </w:p>
        </w:tc>
      </w:tr>
      <w:tr>
        <w:tc>
          <w:tcPr>
            <w:tcW w:type="dxa" w:w="3331"/>
            <w:vAlign w:val="center"/>
            <w:tcMar>
              <w:top w:w="90" w:type="dxa"/>
              <w:start w:w="100" w:type="dxa"/>
              <w:bottom w:w="90" w:type="dxa"/>
              <w:end w:w="100" w:type="dxa"/>
            </w:tcMar>
          </w:tcPr>
          <w:p>
            <w:pPr>
              <w:spacing w:after="0" w:line="240" w:lineRule="auto"/>
            </w:pPr>
            <w:r>
              <w:rPr>
                <w:color w:val="243447"/>
                <w:sz w:val="16"/>
              </w:rPr>
              <w:t>Q0: definition</w:t>
            </w:r>
          </w:p>
        </w:tc>
        <w:tc>
          <w:tcPr>
            <w:tcW w:type="dxa" w:w="3331"/>
            <w:vAlign w:val="center"/>
            <w:tcMar>
              <w:top w:w="90" w:type="dxa"/>
              <w:start w:w="100" w:type="dxa"/>
              <w:bottom w:w="90" w:type="dxa"/>
              <w:end w:w="100" w:type="dxa"/>
            </w:tcMar>
          </w:tcPr>
          <w:p>
            <w:pPr>
              <w:spacing w:after="0" w:line="240" w:lineRule="auto"/>
            </w:pPr>
            <w:r>
              <w:rPr>
                <w:color w:val="243447"/>
                <w:sz w:val="16"/>
              </w:rPr>
              <w:t>Model specification, intended phenomenon, predicted advantage, failure conditions</w:t>
            </w:r>
          </w:p>
        </w:tc>
        <w:tc>
          <w:tcPr>
            <w:tcW w:type="dxa" w:w="3331"/>
            <w:vAlign w:val="center"/>
            <w:tcMar>
              <w:top w:w="90" w:type="dxa"/>
              <w:start w:w="100" w:type="dxa"/>
              <w:bottom w:w="90" w:type="dxa"/>
              <w:end w:w="100" w:type="dxa"/>
            </w:tcMar>
          </w:tcPr>
          <w:p>
            <w:pPr>
              <w:spacing w:after="0" w:line="240" w:lineRule="auto"/>
            </w:pPr>
            <w:r>
              <w:rPr>
                <w:color w:val="243447"/>
                <w:sz w:val="16"/>
              </w:rPr>
              <w:t>Do not start coding until the claim is precise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Q1: reproducibility</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Reference implementation, synthetic tests, fixed random seeds where applicable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Reject if results cannot be reproduced</w:t>
            </w:r>
          </w:p>
        </w:tc>
      </w:tr>
      <w:tr>
        <w:tc>
          <w:tcPr>
            <w:tcW w:type="dxa" w:w="3331"/>
            <w:vAlign w:val="center"/>
            <w:tcMar>
              <w:top w:w="90" w:type="dxa"/>
              <w:start w:w="100" w:type="dxa"/>
              <w:bottom w:w="90" w:type="dxa"/>
              <w:end w:w="100" w:type="dxa"/>
            </w:tcMar>
          </w:tcPr>
          <w:p>
            <w:pPr>
              <w:spacing w:after="0" w:line="240" w:lineRule="auto"/>
            </w:pPr>
            <w:r>
              <w:rPr>
                <w:color w:val="243447"/>
                <w:sz w:val="16"/>
              </w:rPr>
              <w:t>Q2: offline benchmark</w:t>
            </w:r>
          </w:p>
        </w:tc>
        <w:tc>
          <w:tcPr>
            <w:tcW w:type="dxa" w:w="3331"/>
            <w:vAlign w:val="center"/>
            <w:tcMar>
              <w:top w:w="90" w:type="dxa"/>
              <w:start w:w="100" w:type="dxa"/>
              <w:bottom w:w="90" w:type="dxa"/>
              <w:end w:w="100" w:type="dxa"/>
            </w:tcMar>
          </w:tcPr>
          <w:p>
            <w:pPr>
              <w:spacing w:after="0" w:line="240" w:lineRule="auto"/>
            </w:pPr>
            <w:r>
              <w:rPr>
                <w:color w:val="243447"/>
                <w:sz w:val="16"/>
              </w:rPr>
              <w:t>Held-out comparison against classical baselines; confidence intervals</w:t>
            </w:r>
          </w:p>
        </w:tc>
        <w:tc>
          <w:tcPr>
            <w:tcW w:type="dxa" w:w="3331"/>
            <w:vAlign w:val="center"/>
            <w:tcMar>
              <w:top w:w="90" w:type="dxa"/>
              <w:start w:w="100" w:type="dxa"/>
              <w:bottom w:w="90" w:type="dxa"/>
              <w:end w:w="100" w:type="dxa"/>
            </w:tcMar>
          </w:tcPr>
          <w:p>
            <w:pPr>
              <w:spacing w:after="0" w:line="240" w:lineRule="auto"/>
            </w:pPr>
            <w:r>
              <w:rPr>
                <w:color w:val="243447"/>
                <w:sz w:val="16"/>
              </w:rPr>
              <w:t>Keep as research if no credible improvement</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Q3: educational pilot</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Ethically reviewed, consented pilot with a preregistered outcome when feasible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No causal claims without a sound design</w:t>
            </w:r>
          </w:p>
        </w:tc>
      </w:tr>
      <w:tr>
        <w:tc>
          <w:tcPr>
            <w:tcW w:type="dxa" w:w="3331"/>
            <w:vAlign w:val="center"/>
            <w:tcMar>
              <w:top w:w="90" w:type="dxa"/>
              <w:start w:w="100" w:type="dxa"/>
              <w:bottom w:w="90" w:type="dxa"/>
              <w:end w:w="100" w:type="dxa"/>
            </w:tcMar>
          </w:tcPr>
          <w:p>
            <w:pPr>
              <w:spacing w:after="0" w:line="240" w:lineRule="auto"/>
            </w:pPr>
            <w:r>
              <w:rPr>
                <w:color w:val="243447"/>
                <w:sz w:val="16"/>
              </w:rPr>
              <w:t>Q4: production approval</w:t>
            </w:r>
          </w:p>
        </w:tc>
        <w:tc>
          <w:tcPr>
            <w:tcW w:type="dxa" w:w="3331"/>
            <w:vAlign w:val="center"/>
            <w:tcMar>
              <w:top w:w="90" w:type="dxa"/>
              <w:start w:w="100" w:type="dxa"/>
              <w:bottom w:w="90" w:type="dxa"/>
              <w:end w:w="100" w:type="dxa"/>
            </w:tcMar>
          </w:tcPr>
          <w:p>
            <w:pPr>
              <w:spacing w:after="0" w:line="240" w:lineRule="auto"/>
            </w:pPr>
            <w:r>
              <w:rPr>
                <w:color w:val="243447"/>
                <w:sz w:val="16"/>
              </w:rPr>
              <w:t>Benefit exceeds complexity and privacy cost; monitoring and rollback exist</w:t>
            </w:r>
          </w:p>
        </w:tc>
        <w:tc>
          <w:tcPr>
            <w:tcW w:type="dxa" w:w="3331"/>
            <w:vAlign w:val="center"/>
            <w:tcMar>
              <w:top w:w="90" w:type="dxa"/>
              <w:start w:w="100" w:type="dxa"/>
              <w:bottom w:w="90" w:type="dxa"/>
              <w:end w:w="100" w:type="dxa"/>
            </w:tcMar>
          </w:tcPr>
          <w:p>
            <w:pPr>
              <w:spacing w:after="0" w:line="240" w:lineRule="auto"/>
            </w:pPr>
            <w:r>
              <w:rPr>
                <w:color w:val="243447"/>
                <w:sz w:val="16"/>
              </w:rPr>
              <w:t>Deploy behind a feature flag, not as an irreversible architecture choice</w:t>
            </w:r>
          </w:p>
        </w:tc>
      </w:tr>
    </w:tbl>
    <w:p>
      <w:pPr>
        <w:spacing w:after="20"/>
      </w:pPr>
    </w:p>
    <w:tbl>
      <w:tblPr>
        <w:tblW w:type="auto" w:w="0"/>
        <w:jc w:val="center"/>
        <w:tblLook w:firstColumn="1" w:firstRow="1" w:lastColumn="0" w:lastRow="0" w:noHBand="0" w:noVBand="1" w:val="04A0"/>
      </w:tblPr>
      <w:tblGrid>
        <w:gridCol w:w="9994"/>
      </w:tblGrid>
      <w:tr>
        <w:trPr>
          <w:tblHeader w:val="true"/>
        </w:trPr>
        <w:tc>
          <w:tcPr>
            <w:tcW w:type="dxa" w:w="9994"/>
            <w:shd w:fill="EEF5F8"/>
            <w:tcMar>
              <w:top w:w="150" w:type="dxa"/>
              <w:start w:w="180" w:type="dxa"/>
              <w:bottom w:w="150" w:type="dxa"/>
              <w:end w:w="180" w:type="dxa"/>
            </w:tcMar>
          </w:tcPr>
          <w:p>
            <w:pPr>
              <w:spacing w:after="60"/>
            </w:pPr>
            <w:r>
              <w:rPr>
                <w:b/>
                <w:color w:val="176B87"/>
                <w:sz w:val="17"/>
              </w:rPr>
              <w:t>RECOMMENDED DECISION</w:t>
            </w:r>
          </w:p>
          <w:p>
            <w:pPr>
              <w:spacing w:after="0"/>
            </w:pPr>
            <w:r>
              <w:rPr>
                <w:sz w:val="18"/>
              </w:rPr>
              <w:t>Build the product using classical models first, but design a pluggable model interface. The “quantum” research track should be allowed to win by evidence—or to remain a research experiment without delaying the core platform.</w:t>
            </w:r>
          </w:p>
        </w:tc>
      </w:tr>
    </w:tbl>
    <w:p>
      <w:pPr>
        <w:spacing w:after="20"/>
      </w:pPr>
    </w:p>
    <w:p>
      <w:r>
        <w:br w:type="page"/>
      </w:r>
    </w:p>
    <w:p>
      <w:pPr>
        <w:pStyle w:val="Heading1"/>
      </w:pPr>
      <w:r>
        <w:t>PART III — Scientific knowledge to original lessons</w:t>
      </w:r>
    </w:p>
    <w:p>
      <w:pPr>
        <w:pStyle w:val="Heading1"/>
      </w:pPr>
      <w:r>
        <w:t>6. Thirty years of exam questions: ingest, map, and govern</w:t>
      </w:r>
    </w:p>
    <w:p>
      <w:pPr>
        <w:pStyle w:val="Heading2"/>
      </w:pPr>
      <w:r>
        <w:t>6.1 Treat the exam archive as a rights-aware dataset</w:t>
      </w:r>
    </w:p>
    <w:p>
      <w:r>
        <w:rPr>
          <w:i w:val="0"/>
        </w:rPr>
        <w:t>An exam question is both educational content and a data object with provenance and legal status. The fact that an old question appears online does not automatically make it public domain or free to republish. Store only what the platform is permitted to store and publish. Where rights are uncertain, retain source metadata and an internal review flag; do not distribute the scanned question or question text by default.</w:t>
      </w:r>
    </w:p>
    <w:p>
      <w:pPr>
        <w:pStyle w:val="Heading2"/>
      </w:pPr>
      <w:r>
        <w:t>6.2 Ingestion pipeline</w:t>
      </w:r>
    </w:p>
    <w:p>
      <w:pPr>
        <w:pStyle w:val="ListNumber"/>
        <w:spacing w:after="40"/>
      </w:pPr>
      <w:r>
        <w:t>Discover and register the source: exam name, year, session, paper, source URL or repository location, retrieval date, licence/permission statement, and known restrictions.</w:t>
      </w:r>
    </w:p>
    <w:p>
      <w:pPr>
        <w:pStyle w:val="ListNumber"/>
        <w:spacing w:after="40"/>
      </w:pPr>
      <w:r>
        <w:t>Preserve the original privately and securely only where allowed. Calculate a checksum and record page or question location.</w:t>
      </w:r>
    </w:p>
    <w:p>
      <w:pPr>
        <w:pStyle w:val="ListNumber"/>
        <w:spacing w:after="40"/>
      </w:pPr>
      <w:r>
        <w:t>Extract text, maths, diagrams, and answer keys. Mark OCR confidence and preserve the source image for reviewer inspection where permitted.</w:t>
      </w:r>
    </w:p>
    <w:p>
      <w:pPr>
        <w:pStyle w:val="ListNumber"/>
        <w:spacing w:after="40"/>
      </w:pPr>
      <w:r>
        <w:t>Normalize into a typed question record without discarding the original transcription. Keep a diff between extracted text and reviewed text.</w:t>
      </w:r>
    </w:p>
    <w:p>
      <w:pPr>
        <w:pStyle w:val="ListNumber"/>
        <w:spacing w:after="40"/>
      </w:pPr>
      <w:r>
        <w:t>Detect duplicates and variants using source IDs, hashes, and semantic similarity; never auto-merge near-duplicates without review.</w:t>
      </w:r>
    </w:p>
    <w:p>
      <w:pPr>
        <w:pStyle w:val="ListNumber"/>
        <w:spacing w:after="40"/>
      </w:pPr>
      <w:r>
        <w:t>Attach candidate concepts and problem-family tags with confidence and evidence. Keep teacher-verified tags separate.</w:t>
      </w:r>
    </w:p>
    <w:p>
      <w:pPr>
        <w:pStyle w:val="ListNumber"/>
        <w:spacing w:after="40"/>
      </w:pPr>
      <w:r>
        <w:t>Run the appropriate solver family and verification suite. Preserve the official key, computed answer, and reviewer-approved answer as distinct fields.</w:t>
      </w:r>
    </w:p>
    <w:p>
      <w:pPr>
        <w:pStyle w:val="ListNumber"/>
        <w:spacing w:after="40"/>
      </w:pPr>
      <w:r>
        <w:t>Publish or expose only after rights, correctness, accessibility, and review gates pass.</w:t>
      </w:r>
    </w:p>
    <w:p>
      <w:pPr>
        <w:pStyle w:val="Heading2"/>
      </w:pPr>
      <w:r>
        <w:t>6.3 Source and answer truth are separate dimensions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Field</w:t>
            </w:r>
          </w:p>
        </w:tc>
        <w:tc>
          <w:tcPr>
            <w:tcW w:type="dxa" w:w="3331"/>
            <w:shd w:fill="16324F"/>
            <w:vAlign w:val="center"/>
            <w:tcMar>
              <w:top w:w="90" w:type="dxa"/>
              <w:start w:w="100" w:type="dxa"/>
              <w:bottom w:w="90" w:type="dxa"/>
              <w:end w:w="100" w:type="dxa"/>
            </w:tcMar>
          </w:tcPr>
          <w:p>
            <w:pPr>
              <w:spacing w:after="0"/>
            </w:pPr>
            <w:r>
              <w:rPr>
                <w:b/>
                <w:color w:val="FFFFFF"/>
                <w:sz w:val="16"/>
              </w:rPr>
              <w:t>Meaning</w:t>
            </w:r>
          </w:p>
        </w:tc>
        <w:tc>
          <w:tcPr>
            <w:tcW w:type="dxa" w:w="3331"/>
            <w:shd w:fill="16324F"/>
            <w:vAlign w:val="center"/>
            <w:tcMar>
              <w:top w:w="90" w:type="dxa"/>
              <w:start w:w="100" w:type="dxa"/>
              <w:bottom w:w="90" w:type="dxa"/>
              <w:end w:w="100" w:type="dxa"/>
            </w:tcMar>
          </w:tcPr>
          <w:p>
            <w:pPr>
              <w:spacing w:after="0"/>
            </w:pPr>
            <w:r>
              <w:rPr>
                <w:b/>
                <w:color w:val="FFFFFF"/>
                <w:sz w:val="16"/>
              </w:rPr>
              <w:t>Rule</w:t>
            </w:r>
          </w:p>
        </w:tc>
      </w:tr>
      <w:tr>
        <w:tc>
          <w:tcPr>
            <w:tcW w:type="dxa" w:w="3331"/>
            <w:vAlign w:val="center"/>
            <w:tcMar>
              <w:top w:w="90" w:type="dxa"/>
              <w:start w:w="100" w:type="dxa"/>
              <w:bottom w:w="90" w:type="dxa"/>
              <w:end w:w="100" w:type="dxa"/>
            </w:tcMar>
          </w:tcPr>
          <w:p>
            <w:pPr>
              <w:spacing w:after="0" w:line="240" w:lineRule="auto"/>
            </w:pPr>
            <w:r>
              <w:rPr>
                <w:color w:val="243447"/>
                <w:sz w:val="16"/>
              </w:rPr>
              <w:t>official_answer</w:t>
            </w:r>
          </w:p>
        </w:tc>
        <w:tc>
          <w:tcPr>
            <w:tcW w:type="dxa" w:w="3331"/>
            <w:vAlign w:val="center"/>
            <w:tcMar>
              <w:top w:w="90" w:type="dxa"/>
              <w:start w:w="100" w:type="dxa"/>
              <w:bottom w:w="90" w:type="dxa"/>
              <w:end w:w="100" w:type="dxa"/>
            </w:tcMar>
          </w:tcPr>
          <w:p>
            <w:pPr>
              <w:spacing w:after="0" w:line="240" w:lineRule="auto"/>
            </w:pPr>
            <w:r>
              <w:rPr>
                <w:color w:val="243447"/>
                <w:sz w:val="16"/>
              </w:rPr>
              <w:t>What the official key says, with source location</w:t>
            </w:r>
          </w:p>
        </w:tc>
        <w:tc>
          <w:tcPr>
            <w:tcW w:type="dxa" w:w="3331"/>
            <w:vAlign w:val="center"/>
            <w:tcMar>
              <w:top w:w="90" w:type="dxa"/>
              <w:start w:w="100" w:type="dxa"/>
              <w:bottom w:w="90" w:type="dxa"/>
              <w:end w:w="100" w:type="dxa"/>
            </w:tcMar>
          </w:tcPr>
          <w:p>
            <w:pPr>
              <w:spacing w:after="0" w:line="240" w:lineRule="auto"/>
            </w:pPr>
            <w:r>
              <w:rPr>
                <w:color w:val="243447"/>
                <w:sz w:val="16"/>
              </w:rPr>
              <w:t>Never overwrite; allow discrepancy annotations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computed_answer</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What the implemented model/solver produced</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Includes method, assumptions, units, checks, software version</w:t>
            </w:r>
          </w:p>
        </w:tc>
      </w:tr>
      <w:tr>
        <w:tc>
          <w:tcPr>
            <w:tcW w:type="dxa" w:w="3331"/>
            <w:vAlign w:val="center"/>
            <w:tcMar>
              <w:top w:w="90" w:type="dxa"/>
              <w:start w:w="100" w:type="dxa"/>
              <w:bottom w:w="90" w:type="dxa"/>
              <w:end w:w="100" w:type="dxa"/>
            </w:tcMar>
          </w:tcPr>
          <w:p>
            <w:pPr>
              <w:spacing w:after="0" w:line="240" w:lineRule="auto"/>
            </w:pPr>
            <w:r>
              <w:rPr>
                <w:color w:val="243447"/>
                <w:sz w:val="16"/>
              </w:rPr>
              <w:t>reviewed_answer</w:t>
            </w:r>
          </w:p>
        </w:tc>
        <w:tc>
          <w:tcPr>
            <w:tcW w:type="dxa" w:w="3331"/>
            <w:vAlign w:val="center"/>
            <w:tcMar>
              <w:top w:w="90" w:type="dxa"/>
              <w:start w:w="100" w:type="dxa"/>
              <w:bottom w:w="90" w:type="dxa"/>
              <w:end w:w="100" w:type="dxa"/>
            </w:tcMar>
          </w:tcPr>
          <w:p>
            <w:pPr>
              <w:spacing w:after="0" w:line="240" w:lineRule="auto"/>
            </w:pPr>
            <w:r>
              <w:rPr>
                <w:color w:val="243447"/>
                <w:sz w:val="16"/>
              </w:rPr>
              <w:t>Human-approved answer for the platform’s stated interpretation</w:t>
            </w:r>
          </w:p>
        </w:tc>
        <w:tc>
          <w:tcPr>
            <w:tcW w:type="dxa" w:w="3331"/>
            <w:vAlign w:val="center"/>
            <w:tcMar>
              <w:top w:w="90" w:type="dxa"/>
              <w:start w:w="100" w:type="dxa"/>
              <w:bottom w:w="90" w:type="dxa"/>
              <w:end w:w="100" w:type="dxa"/>
            </w:tcMar>
          </w:tcPr>
          <w:p>
            <w:pPr>
              <w:spacing w:after="0" w:line="240" w:lineRule="auto"/>
            </w:pPr>
            <w:r>
              <w:rPr>
                <w:color w:val="243447"/>
                <w:sz w:val="16"/>
              </w:rPr>
              <w:t>May differ from the official key if a documented key error exists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rights_status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Permission/licence state for storage, adaptation, and public display</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Rights for ingestion, training, adaptation, and publication may differ</w:t>
            </w:r>
          </w:p>
        </w:tc>
      </w:tr>
      <w:tr>
        <w:tc>
          <w:tcPr>
            <w:tcW w:type="dxa" w:w="3331"/>
            <w:vAlign w:val="center"/>
            <w:tcMar>
              <w:top w:w="90" w:type="dxa"/>
              <w:start w:w="100" w:type="dxa"/>
              <w:bottom w:w="90" w:type="dxa"/>
              <w:end w:w="100" w:type="dxa"/>
            </w:tcMar>
          </w:tcPr>
          <w:p>
            <w:pPr>
              <w:spacing w:after="0" w:line="240" w:lineRule="auto"/>
            </w:pPr>
            <w:r>
              <w:rPr>
                <w:color w:val="243447"/>
                <w:sz w:val="16"/>
              </w:rPr>
              <w:t>extraction_status</w:t>
            </w:r>
          </w:p>
        </w:tc>
        <w:tc>
          <w:tcPr>
            <w:tcW w:type="dxa" w:w="3331"/>
            <w:vAlign w:val="center"/>
            <w:tcMar>
              <w:top w:w="90" w:type="dxa"/>
              <w:start w:w="100" w:type="dxa"/>
              <w:bottom w:w="90" w:type="dxa"/>
              <w:end w:w="100" w:type="dxa"/>
            </w:tcMar>
          </w:tcPr>
          <w:p>
            <w:pPr>
              <w:spacing w:after="0" w:line="240" w:lineRule="auto"/>
            </w:pPr>
            <w:r>
              <w:rPr>
                <w:color w:val="243447"/>
                <w:sz w:val="16"/>
              </w:rPr>
              <w:t>OCR/parser state and confidence</w:t>
            </w:r>
          </w:p>
        </w:tc>
        <w:tc>
          <w:tcPr>
            <w:tcW w:type="dxa" w:w="3331"/>
            <w:vAlign w:val="center"/>
            <w:tcMar>
              <w:top w:w="90" w:type="dxa"/>
              <w:start w:w="100" w:type="dxa"/>
              <w:bottom w:w="90" w:type="dxa"/>
              <w:end w:w="100" w:type="dxa"/>
            </w:tcMar>
          </w:tcPr>
          <w:p>
            <w:pPr>
              <w:spacing w:after="0" w:line="240" w:lineRule="auto"/>
            </w:pPr>
            <w:r>
              <w:rPr>
                <w:color w:val="243447"/>
                <w:sz w:val="16"/>
              </w:rPr>
              <w:t>Low-confidence content blocks automatic solution generation</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review_status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Draft, physics checked, rights checked, approved, retired</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State transitions must be auditable</w:t>
            </w:r>
          </w:p>
        </w:tc>
      </w:tr>
    </w:tbl>
    <w:p>
      <w:pPr>
        <w:spacing w:after="20"/>
      </w:pPr>
    </w:p>
    <w:p>
      <w:pPr>
        <w:pStyle w:val="Heading2"/>
      </w:pPr>
      <w:r>
        <w:t>6.4 Question families are the bridge to a solver</w:t>
      </w:r>
    </w:p>
    <w:p>
      <w:r>
        <w:rPr>
          <w:i w:val="0"/>
        </w:rPr>
        <w:t>Do not map every question straight to a single generic “AI solver.” First classify the problem family: 1D constant acceleration, projectile motion, Newton-law free-body model, work-energy, momentum/impulse, circular motion, rigid-body rotation, gravitation, oscillation, etc. Each solver family should declare its supported assumptions, input schema, equations, and known failure modes.</w:t>
      </w:r>
    </w:p>
    <w:p>
      <w:pPr>
        <w:pStyle w:val="Heading2"/>
      </w:pPr>
      <w:r>
        <w:t>6.5 Concept graph and Feynman map</w:t>
      </w:r>
    </w:p>
    <w:p>
      <w:r>
        <w:rPr>
          <w:i w:val="0"/>
        </w:rPr>
        <w:t>For each question, attach: primary learning objective; required concepts; supporting concepts; common wrong turns; a “teach before solve” concept; the minimum mathematical prerequisites; and one possible visual metaphor. The metaphor is an explanatory hypothesis, not a source fact. It must be tested against student misunderstanding and scientific fidelity.</w:t>
      </w:r>
    </w:p>
    <w:p>
      <w:pPr>
        <w:pStyle w:val="Heading2"/>
      </w:pPr>
      <w:r>
        <w:t>6.6 Licensing operations checklist</w:t>
      </w:r>
    </w:p>
    <w:p>
      <w:pPr>
        <w:pStyle w:val="ListBullet"/>
        <w:spacing w:after="40"/>
      </w:pPr>
      <w:r>
        <w:t>Record rights for text, diagrams, official solutions, and derivative explanations separately where needed.</w:t>
      </w:r>
    </w:p>
    <w:p>
      <w:pPr>
        <w:pStyle w:val="ListBullet"/>
        <w:spacing w:after="40"/>
      </w:pPr>
      <w:r>
        <w:t>Do not scrape at scale from sites when terms or robots/publisher restrictions forbid it.</w:t>
      </w:r>
    </w:p>
    <w:p>
      <w:pPr>
        <w:pStyle w:val="ListBullet"/>
        <w:spacing w:after="40"/>
      </w:pPr>
      <w:r>
        <w:t>Do not assume that a question being an exam item makes it public-domain content.</w:t>
      </w:r>
    </w:p>
    <w:p>
      <w:pPr>
        <w:pStyle w:val="ListBullet"/>
        <w:spacing w:after="40"/>
      </w:pPr>
      <w:r>
        <w:t>Keep source attribution attached to every adapted explanation.</w:t>
      </w:r>
    </w:p>
    <w:p>
      <w:pPr>
        <w:pStyle w:val="ListBullet"/>
        <w:spacing w:after="40"/>
      </w:pPr>
      <w:r>
        <w:t>Use teacher-created variants and synthetic practice items to fill gaps when question-bank rights are uncertain.</w:t>
      </w:r>
    </w:p>
    <w:p>
      <w:pPr>
        <w:pStyle w:val="ListBullet"/>
        <w:spacing w:after="40"/>
      </w:pPr>
      <w:r>
        <w:t>Keep a takedown/contact process and support retiring content without destroying the audit record.</w:t>
      </w:r>
    </w:p>
    <w:p>
      <w:pPr>
        <w:pStyle w:val="Heading1"/>
      </w:pPr>
      <w:r>
        <w:t>7. Scientific verification: a multi-layer proof gate</w:t>
      </w:r>
    </w:p>
    <w:p>
      <w:pPr>
        <w:pStyle w:val="Heading2"/>
      </w:pPr>
      <w:r>
        <w:t>7.1 Verification is layered evidence, not a single green tick</w:t>
      </w:r>
    </w:p>
    <w:p>
      <w:r>
        <w:rPr>
          <w:i w:val="0"/>
        </w:rPr>
        <w:t>A unit test that checks a result against the same formula that generated it is a consistency check, not an independent proof. The Saem scientific engine should combine tests that fail for different reasons. Different checks should be represented separately and their scope stated clearly.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shd w:fill="16324F"/>
            <w:vAlign w:val="center"/>
            <w:tcMar>
              <w:top w:w="90" w:type="dxa"/>
              <w:start w:w="100" w:type="dxa"/>
              <w:bottom w:w="90" w:type="dxa"/>
              <w:end w:w="100" w:type="dxa"/>
            </w:tcMar>
          </w:tcPr>
          <w:p>
            <w:pPr>
              <w:spacing w:after="0"/>
            </w:pPr>
            <w:r>
              <w:rPr>
                <w:b/>
                <w:color w:val="FFFFFF"/>
                <w:sz w:val="16"/>
              </w:rPr>
              <w:t>Layer</w:t>
            </w:r>
          </w:p>
        </w:tc>
        <w:tc>
          <w:tcPr>
            <w:tcW w:type="dxa" w:w="2498"/>
            <w:shd w:fill="16324F"/>
            <w:vAlign w:val="center"/>
            <w:tcMar>
              <w:top w:w="90" w:type="dxa"/>
              <w:start w:w="100" w:type="dxa"/>
              <w:bottom w:w="90" w:type="dxa"/>
              <w:end w:w="100" w:type="dxa"/>
            </w:tcMar>
          </w:tcPr>
          <w:p>
            <w:pPr>
              <w:spacing w:after="0"/>
            </w:pPr>
            <w:r>
              <w:rPr>
                <w:b/>
                <w:color w:val="FFFFFF"/>
                <w:sz w:val="16"/>
              </w:rPr>
              <w:t>Example in mechanics</w:t>
            </w:r>
          </w:p>
        </w:tc>
        <w:tc>
          <w:tcPr>
            <w:tcW w:type="dxa" w:w="2498"/>
            <w:shd w:fill="16324F"/>
            <w:vAlign w:val="center"/>
            <w:tcMar>
              <w:top w:w="90" w:type="dxa"/>
              <w:start w:w="100" w:type="dxa"/>
              <w:bottom w:w="90" w:type="dxa"/>
              <w:end w:w="100" w:type="dxa"/>
            </w:tcMar>
          </w:tcPr>
          <w:p>
            <w:pPr>
              <w:spacing w:after="0"/>
            </w:pPr>
            <w:r>
              <w:rPr>
                <w:b/>
                <w:color w:val="FFFFFF"/>
                <w:sz w:val="16"/>
              </w:rPr>
              <w:t>Failure caught</w:t>
            </w:r>
          </w:p>
        </w:tc>
        <w:tc>
          <w:tcPr>
            <w:tcW w:type="dxa" w:w="2498"/>
            <w:shd w:fill="16324F"/>
            <w:vAlign w:val="center"/>
            <w:tcMar>
              <w:top w:w="90" w:type="dxa"/>
              <w:start w:w="100" w:type="dxa"/>
              <w:bottom w:w="90" w:type="dxa"/>
              <w:end w:w="100" w:type="dxa"/>
            </w:tcMar>
          </w:tcPr>
          <w:p>
            <w:pPr>
              <w:spacing w:after="0"/>
            </w:pPr>
            <w:r>
              <w:rPr>
                <w:b/>
                <w:color w:val="FFFFFF"/>
                <w:sz w:val="16"/>
              </w:rPr>
              <w:t>Limit</w:t>
            </w:r>
          </w:p>
        </w:tc>
      </w:tr>
      <w:tr>
        <w:tc>
          <w:tcPr>
            <w:tcW w:type="dxa" w:w="2498"/>
            <w:vAlign w:val="center"/>
            <w:tcMar>
              <w:top w:w="90" w:type="dxa"/>
              <w:start w:w="100" w:type="dxa"/>
              <w:bottom w:w="90" w:type="dxa"/>
              <w:end w:w="100" w:type="dxa"/>
            </w:tcMar>
          </w:tcPr>
          <w:p>
            <w:pPr>
              <w:spacing w:after="0" w:line="240" w:lineRule="auto"/>
            </w:pPr>
            <w:r>
              <w:rPr>
                <w:color w:val="243447"/>
                <w:sz w:val="16"/>
              </w:rPr>
              <w:t>Input/model validation</w:t>
            </w:r>
          </w:p>
        </w:tc>
        <w:tc>
          <w:tcPr>
            <w:tcW w:type="dxa" w:w="2498"/>
            <w:vAlign w:val="center"/>
            <w:tcMar>
              <w:top w:w="90" w:type="dxa"/>
              <w:start w:w="100" w:type="dxa"/>
              <w:bottom w:w="90" w:type="dxa"/>
              <w:end w:w="100" w:type="dxa"/>
            </w:tcMar>
          </w:tcPr>
          <w:p>
            <w:pPr>
              <w:spacing w:after="0" w:line="240" w:lineRule="auto"/>
            </w:pPr>
            <w:r>
              <w:rPr>
                <w:color w:val="243447"/>
                <w:sz w:val="16"/>
              </w:rPr>
              <w:t>Require units, valid mass/time, clear frame and assumptions</w:t>
            </w:r>
          </w:p>
        </w:tc>
        <w:tc>
          <w:tcPr>
            <w:tcW w:type="dxa" w:w="2498"/>
            <w:vAlign w:val="center"/>
            <w:tcMar>
              <w:top w:w="90" w:type="dxa"/>
              <w:start w:w="100" w:type="dxa"/>
              <w:bottom w:w="90" w:type="dxa"/>
              <w:end w:w="100" w:type="dxa"/>
            </w:tcMar>
          </w:tcPr>
          <w:p>
            <w:pPr>
              <w:spacing w:after="0" w:line="240" w:lineRule="auto"/>
            </w:pPr>
            <w:r>
              <w:rPr>
                <w:color w:val="243447"/>
                <w:sz w:val="16"/>
              </w:rPr>
              <w:t>Malformed or underspecified problem</w:t>
            </w:r>
          </w:p>
        </w:tc>
        <w:tc>
          <w:tcPr>
            <w:tcW w:type="dxa" w:w="2498"/>
            <w:vAlign w:val="center"/>
            <w:tcMar>
              <w:top w:w="90" w:type="dxa"/>
              <w:start w:w="100" w:type="dxa"/>
              <w:bottom w:w="90" w:type="dxa"/>
              <w:end w:w="100" w:type="dxa"/>
            </w:tcMar>
          </w:tcPr>
          <w:p>
            <w:pPr>
              <w:spacing w:after="0" w:line="240" w:lineRule="auto"/>
            </w:pPr>
            <w:r>
              <w:rPr>
                <w:color w:val="243447"/>
                <w:sz w:val="16"/>
              </w:rPr>
              <w:t>Cannot prove the selected physical model is appropriate</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Symbolic check</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Simplify the residual of an equation or verify derivative relations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Algebraic inconsistency</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May reproduce assumptions or share a bug with source code</w:t>
            </w:r>
          </w:p>
        </w:tc>
      </w:tr>
      <w:tr>
        <w:tc>
          <w:tcPr>
            <w:tcW w:type="dxa" w:w="2498"/>
            <w:vAlign w:val="center"/>
            <w:tcMar>
              <w:top w:w="90" w:type="dxa"/>
              <w:start w:w="100" w:type="dxa"/>
              <w:bottom w:w="90" w:type="dxa"/>
              <w:end w:w="100" w:type="dxa"/>
            </w:tcMar>
          </w:tcPr>
          <w:p>
            <w:pPr>
              <w:spacing w:after="0" w:line="240" w:lineRule="auto"/>
            </w:pPr>
            <w:r>
              <w:rPr>
                <w:color w:val="243447"/>
                <w:sz w:val="16"/>
              </w:rPr>
              <w:t>Dimensional check</w:t>
            </w:r>
          </w:p>
        </w:tc>
        <w:tc>
          <w:tcPr>
            <w:tcW w:type="dxa" w:w="2498"/>
            <w:vAlign w:val="center"/>
            <w:tcMar>
              <w:top w:w="90" w:type="dxa"/>
              <w:start w:w="100" w:type="dxa"/>
              <w:bottom w:w="90" w:type="dxa"/>
              <w:end w:w="100" w:type="dxa"/>
            </w:tcMar>
          </w:tcPr>
          <w:p>
            <w:pPr>
              <w:spacing w:after="0" w:line="240" w:lineRule="auto"/>
            </w:pPr>
            <w:r>
              <w:rPr>
                <w:color w:val="243447"/>
                <w:sz w:val="16"/>
              </w:rPr>
              <w:t>Compare dimensions of every sum and equation</w:t>
            </w:r>
          </w:p>
        </w:tc>
        <w:tc>
          <w:tcPr>
            <w:tcW w:type="dxa" w:w="2498"/>
            <w:vAlign w:val="center"/>
            <w:tcMar>
              <w:top w:w="90" w:type="dxa"/>
              <w:start w:w="100" w:type="dxa"/>
              <w:bottom w:w="90" w:type="dxa"/>
              <w:end w:w="100" w:type="dxa"/>
            </w:tcMar>
          </w:tcPr>
          <w:p>
            <w:pPr>
              <w:spacing w:after="0" w:line="240" w:lineRule="auto"/>
            </w:pPr>
            <w:r>
              <w:rPr>
                <w:color w:val="243447"/>
                <w:sz w:val="16"/>
              </w:rPr>
              <w:t>Unit and dimensional errors</w:t>
            </w:r>
          </w:p>
        </w:tc>
        <w:tc>
          <w:tcPr>
            <w:tcW w:type="dxa" w:w="2498"/>
            <w:vAlign w:val="center"/>
            <w:tcMar>
              <w:top w:w="90" w:type="dxa"/>
              <w:start w:w="100" w:type="dxa"/>
              <w:bottom w:w="90" w:type="dxa"/>
              <w:end w:w="100" w:type="dxa"/>
            </w:tcMar>
          </w:tcPr>
          <w:p>
            <w:pPr>
              <w:spacing w:after="0" w:line="240" w:lineRule="auto"/>
            </w:pPr>
            <w:r>
              <w:rPr>
                <w:color w:val="243447"/>
                <w:sz w:val="16"/>
              </w:rPr>
              <w:t>Dimensionally valid expressions can still be physically wrong</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Numerical test</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Compare analytic solution with independent numerical integration over test cases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Implementation or sign errors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Numerics can hide errors at low precision or chosen cases</w:t>
            </w:r>
          </w:p>
        </w:tc>
      </w:tr>
      <w:tr>
        <w:tc>
          <w:tcPr>
            <w:tcW w:type="dxa" w:w="2498"/>
            <w:vAlign w:val="center"/>
            <w:tcMar>
              <w:top w:w="90" w:type="dxa"/>
              <w:start w:w="100" w:type="dxa"/>
              <w:bottom w:w="90" w:type="dxa"/>
              <w:end w:w="100" w:type="dxa"/>
            </w:tcMar>
          </w:tcPr>
          <w:p>
            <w:pPr>
              <w:spacing w:after="0" w:line="240" w:lineRule="auto"/>
            </w:pPr>
            <w:r>
              <w:rPr>
                <w:color w:val="243447"/>
                <w:sz w:val="16"/>
              </w:rPr>
              <w:t>Invariant / limiting case</w:t>
            </w:r>
          </w:p>
        </w:tc>
        <w:tc>
          <w:tcPr>
            <w:tcW w:type="dxa" w:w="2498"/>
            <w:vAlign w:val="center"/>
            <w:tcMar>
              <w:top w:w="90" w:type="dxa"/>
              <w:start w:w="100" w:type="dxa"/>
              <w:bottom w:w="90" w:type="dxa"/>
              <w:end w:w="100" w:type="dxa"/>
            </w:tcMar>
          </w:tcPr>
          <w:p>
            <w:pPr>
              <w:spacing w:after="0" w:line="240" w:lineRule="auto"/>
            </w:pPr>
            <w:r>
              <w:rPr>
                <w:color w:val="243447"/>
                <w:sz w:val="16"/>
              </w:rPr>
              <w:t>Zero acceleration, zero time, conserved energy/momentum where applicable</w:t>
            </w:r>
          </w:p>
        </w:tc>
        <w:tc>
          <w:tcPr>
            <w:tcW w:type="dxa" w:w="2498"/>
            <w:vAlign w:val="center"/>
            <w:tcMar>
              <w:top w:w="90" w:type="dxa"/>
              <w:start w:w="100" w:type="dxa"/>
              <w:bottom w:w="90" w:type="dxa"/>
              <w:end w:w="100" w:type="dxa"/>
            </w:tcMar>
          </w:tcPr>
          <w:p>
            <w:pPr>
              <w:spacing w:after="0" w:line="240" w:lineRule="auto"/>
            </w:pPr>
            <w:r>
              <w:rPr>
                <w:color w:val="243447"/>
                <w:sz w:val="16"/>
              </w:rPr>
              <w:t>Boundary and model errors</w:t>
            </w:r>
          </w:p>
        </w:tc>
        <w:tc>
          <w:tcPr>
            <w:tcW w:type="dxa" w:w="2498"/>
            <w:vAlign w:val="center"/>
            <w:tcMar>
              <w:top w:w="90" w:type="dxa"/>
              <w:start w:w="100" w:type="dxa"/>
              <w:bottom w:w="90" w:type="dxa"/>
              <w:end w:w="100" w:type="dxa"/>
            </w:tcMar>
          </w:tcPr>
          <w:p>
            <w:pPr>
              <w:spacing w:after="0" w:line="240" w:lineRule="auto"/>
            </w:pPr>
            <w:r>
              <w:rPr>
                <w:color w:val="243447"/>
                <w:sz w:val="16"/>
              </w:rPr>
              <w:t>Only checks the specific invariant/limit used</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Alternate formulation</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Energy method vs Newton-law solution when both apply</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Shared implementation errors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Not independent if both routes share the same incorrect assumptions</w:t>
            </w:r>
          </w:p>
        </w:tc>
      </w:tr>
      <w:tr>
        <w:tc>
          <w:tcPr>
            <w:tcW w:type="dxa" w:w="2498"/>
            <w:vAlign w:val="center"/>
            <w:tcMar>
              <w:top w:w="90" w:type="dxa"/>
              <w:start w:w="100" w:type="dxa"/>
              <w:bottom w:w="90" w:type="dxa"/>
              <w:end w:w="100" w:type="dxa"/>
            </w:tcMar>
          </w:tcPr>
          <w:p>
            <w:pPr>
              <w:spacing w:after="0" w:line="240" w:lineRule="auto"/>
            </w:pPr>
            <w:r>
              <w:rPr>
                <w:color w:val="243447"/>
                <w:sz w:val="16"/>
              </w:rPr>
              <w:t>Reference comparison</w:t>
            </w:r>
          </w:p>
        </w:tc>
        <w:tc>
          <w:tcPr>
            <w:tcW w:type="dxa" w:w="2498"/>
            <w:vAlign w:val="center"/>
            <w:tcMar>
              <w:top w:w="90" w:type="dxa"/>
              <w:start w:w="100" w:type="dxa"/>
              <w:bottom w:w="90" w:type="dxa"/>
              <w:end w:w="100" w:type="dxa"/>
            </w:tcMar>
          </w:tcPr>
          <w:p>
            <w:pPr>
              <w:spacing w:after="0" w:line="240" w:lineRule="auto"/>
            </w:pPr>
            <w:r>
              <w:rPr>
                <w:color w:val="243447"/>
                <w:sz w:val="16"/>
              </w:rPr>
              <w:t>Compare against an approved worked solution or trusted benchmark</w:t>
            </w:r>
          </w:p>
        </w:tc>
        <w:tc>
          <w:tcPr>
            <w:tcW w:type="dxa" w:w="2498"/>
            <w:vAlign w:val="center"/>
            <w:tcMar>
              <w:top w:w="90" w:type="dxa"/>
              <w:start w:w="100" w:type="dxa"/>
              <w:bottom w:w="90" w:type="dxa"/>
              <w:end w:w="100" w:type="dxa"/>
            </w:tcMar>
          </w:tcPr>
          <w:p>
            <w:pPr>
              <w:spacing w:after="0" w:line="240" w:lineRule="auto"/>
            </w:pPr>
            <w:r>
              <w:rPr>
                <w:color w:val="243447"/>
                <w:sz w:val="16"/>
              </w:rPr>
              <w:t>Mismatch with a known result</w:t>
            </w:r>
          </w:p>
        </w:tc>
        <w:tc>
          <w:tcPr>
            <w:tcW w:type="dxa" w:w="2498"/>
            <w:vAlign w:val="center"/>
            <w:tcMar>
              <w:top w:w="90" w:type="dxa"/>
              <w:start w:w="100" w:type="dxa"/>
              <w:bottom w:w="90" w:type="dxa"/>
              <w:end w:w="100" w:type="dxa"/>
            </w:tcMar>
          </w:tcPr>
          <w:p>
            <w:pPr>
              <w:spacing w:after="0" w:line="240" w:lineRule="auto"/>
            </w:pPr>
            <w:r>
              <w:rPr>
                <w:color w:val="243447"/>
                <w:sz w:val="16"/>
              </w:rPr>
              <w:t>Reference itself may contain error or use different conventions</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Human review</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Teacher checks modeling, pedagogy, and interpretation</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Contextual and conceptual errors</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Needs a documented checklist and reviewer accountability</w:t>
            </w:r>
          </w:p>
        </w:tc>
      </w:tr>
    </w:tbl>
    <w:p>
      <w:pPr>
        <w:spacing w:after="20"/>
      </w:pPr>
    </w:p>
    <w:p>
      <w:pPr>
        <w:pStyle w:val="Heading2"/>
      </w:pPr>
      <w:r>
        <w:t>7.2 Verified result record</w:t>
      </w:r>
    </w:p>
    <w:p>
      <w:r>
        <w:rPr>
          <w:i w:val="0"/>
        </w:rPr>
        <w:t>Every calculation should return a structure similar to this conceptual contract:</w:t>
      </w:r>
    </w:p>
    <w:p>
      <w:pPr>
        <w:pStyle w:val="CodeBlock"/>
        <w:keepLines/>
        <w:shd w:fill="F3F6F9"/>
      </w:pPr>
      <w:r>
        <w:t>{</w:t>
      </w:r>
    </w:p>
    <w:p>
      <w:pPr>
        <w:pStyle w:val="CodeBlock"/>
        <w:keepLines/>
        <w:shd w:fill="F3F6F9"/>
      </w:pPr>
      <w:r>
        <w:t xml:space="preserve">  "status": "verified_within_declared_checks",</w:t>
      </w:r>
    </w:p>
    <w:p>
      <w:pPr>
        <w:pStyle w:val="CodeBlock"/>
        <w:keepLines/>
        <w:shd w:fill="F3F6F9"/>
      </w:pPr>
      <w:r>
        <w:t xml:space="preserve">  "problem_family": "constant_acceleration_1d",</w:t>
      </w:r>
    </w:p>
    <w:p>
      <w:pPr>
        <w:pStyle w:val="CodeBlock"/>
        <w:keepLines/>
        <w:shd w:fill="F3F6F9"/>
      </w:pPr>
      <w:r>
        <w:t xml:space="preserve">  "assumptions": ["constant acceleration", "one-dimensional motion"],</w:t>
      </w:r>
    </w:p>
    <w:p>
      <w:pPr>
        <w:pStyle w:val="CodeBlock"/>
        <w:keepLines/>
        <w:shd w:fill="F3F6F9"/>
      </w:pPr>
      <w:r>
        <w:t xml:space="preserve">  "result": {"symbol": "x", "value": 30.0, "unit": "m"},</w:t>
      </w:r>
    </w:p>
    <w:p>
      <w:pPr>
        <w:pStyle w:val="CodeBlock"/>
        <w:keepLines/>
        <w:shd w:fill="F3F6F9"/>
      </w:pPr>
      <w:r>
        <w:t xml:space="preserve">  "checks": [</w:t>
      </w:r>
    </w:p>
    <w:p>
      <w:pPr>
        <w:pStyle w:val="CodeBlock"/>
        <w:keepLines/>
        <w:shd w:fill="F3F6F9"/>
      </w:pPr>
      <w:r>
        <w:t xml:space="preserve">    {"id": "dimensions", "status": "passed"},</w:t>
      </w:r>
    </w:p>
    <w:p>
      <w:pPr>
        <w:pStyle w:val="CodeBlock"/>
        <w:keepLines/>
        <w:shd w:fill="F3F6F9"/>
      </w:pPr>
      <w:r>
        <w:t xml:space="preserve">    {"id": "limiting_case_zero_time", "status": "passed"},</w:t>
      </w:r>
    </w:p>
    <w:p>
      <w:pPr>
        <w:pStyle w:val="CodeBlock"/>
        <w:keepLines/>
        <w:shd w:fill="F3F6F9"/>
      </w:pPr>
      <w:r>
        <w:t xml:space="preserve">    {"id": "analytic_vs_numeric", "status": "passed"}</w:t>
      </w:r>
    </w:p>
    <w:p>
      <w:pPr>
        <w:pStyle w:val="CodeBlock"/>
        <w:keepLines/>
        <w:shd w:fill="F3F6F9"/>
      </w:pPr>
      <w:r>
        <w:t xml:space="preserve">  ],</w:t>
      </w:r>
    </w:p>
    <w:p>
      <w:pPr>
        <w:pStyle w:val="CodeBlock"/>
        <w:keepLines/>
        <w:shd w:fill="F3F6F9"/>
      </w:pPr>
      <w:r>
        <w:t xml:space="preserve">  "warnings": [],</w:t>
      </w:r>
    </w:p>
    <w:p>
      <w:pPr>
        <w:pStyle w:val="CodeBlock"/>
        <w:keepLines/>
        <w:shd w:fill="F3F6F9"/>
      </w:pPr>
      <w:r>
        <w:t xml:space="preserve">  "solver_version": "mechanics-1d/0.1.0",</w:t>
      </w:r>
    </w:p>
    <w:p>
      <w:pPr>
        <w:pStyle w:val="CodeBlock"/>
        <w:keepLines/>
        <w:shd w:fill="F3F6F9"/>
      </w:pPr>
      <w:r>
        <w:t xml:space="preserve">  "review_state": "awaiting_teacher_review"</w:t>
      </w:r>
    </w:p>
    <w:p>
      <w:pPr>
        <w:pStyle w:val="CodeBlock"/>
        <w:keepLines/>
        <w:shd w:fill="F3F6F9"/>
      </w:pPr>
      <w:r>
        <w:t>}</w:t>
      </w:r>
    </w:p>
    <w:p>
      <w:pPr>
        <w:pStyle w:val="Heading2"/>
      </w:pPr>
      <w:r>
        <w:t>7.3 Example: constant-acceleration motion</w:t>
      </w:r>
    </w:p>
    <w:p>
      <w:r>
        <w:rPr>
          <w:i w:val="0"/>
        </w:rPr>
        <w:t>For the model x(t) = x₀ + v₀t + ½at², a test set should include t = 0, a = 0, positive and negative initial velocity, units, and a domain with negative time only if the model permits it. To test more independently, compute velocity from the derivative and compare it with v(t) = v₀ + at; use a numerical integrator on selected parameters; and verify limiting cases. Avoid “verify” code that merely repeats the same expression with the same inputs and then compares the expression with itself.</w:t>
      </w:r>
    </w:p>
    <w:p>
      <w:pPr>
        <w:pStyle w:val="Heading2"/>
      </w:pPr>
      <w:r>
        <w:t>7.4 Property-based and metamorphic testing</w:t>
      </w:r>
    </w:p>
    <w:p>
      <w:r>
        <w:rPr>
          <w:i w:val="0"/>
        </w:rPr>
        <w:t>When exact expected values are scarce, test properties that should hold over many generated inputs. Examples: doubling all lengths and positions while holding time and velocity scales consistent should scale the output predictably; adding a constant offset to position should shift position by the same offset while leaving velocity unchanged; conservation laws should hold within a stated numeric tolerance in a closed model. Define tolerances and the domain of validity explicitly.</w:t>
      </w:r>
    </w:p>
    <w:p>
      <w:pPr>
        <w:pStyle w:val="Heading2"/>
      </w:pPr>
      <w:r>
        <w:t>7.5 AI as a challenger, not the verifier</w:t>
      </w:r>
    </w:p>
    <w:p>
      <w:r>
        <w:rPr>
          <w:i w:val="0"/>
        </w:rPr>
        <w:t>A language model can act as an adversarial reviewer by searching for hidden assumptions, sign errors, alternative solution methods, edge cases, or misleading wording. Agreement between two language models is not proof. If two models share training data or systematic biases, they can agree on the same wrong answer. The release gate must rely on typed models, executable checks, approved references, and human review.</w:t>
      </w:r>
    </w:p>
    <w:p>
      <w:pPr>
        <w:pStyle w:val="Heading1"/>
      </w:pPr>
      <w:r>
        <w:t>8. Pedagogy: Feynman-inspired clarity without imitation</w:t>
      </w:r>
    </w:p>
    <w:p>
      <w:pPr>
        <w:pStyle w:val="Heading2"/>
      </w:pPr>
      <w:r>
        <w:t>8.1 Convert intellectual traditions into explicit teaching methods</w:t>
      </w:r>
    </w:p>
    <w:p>
      <w:r>
        <w:rPr>
          <w:i w:val="0"/>
        </w:rPr>
        <w:t>The system can encode teaching practices associated with conceptual explanation, mathematical structure, worked examples, active recall, and visual reasoning without copying a living creator’s distinctive presentation. The goal is a method library rather than a “write exactly like this person” feature.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Teaching principle</w:t>
            </w:r>
          </w:p>
        </w:tc>
        <w:tc>
          <w:tcPr>
            <w:tcW w:type="dxa" w:w="3331"/>
            <w:shd w:fill="16324F"/>
            <w:vAlign w:val="center"/>
            <w:tcMar>
              <w:top w:w="90" w:type="dxa"/>
              <w:start w:w="100" w:type="dxa"/>
              <w:bottom w:w="90" w:type="dxa"/>
              <w:end w:w="100" w:type="dxa"/>
            </w:tcMar>
          </w:tcPr>
          <w:p>
            <w:pPr>
              <w:spacing w:after="0"/>
            </w:pPr>
            <w:r>
              <w:rPr>
                <w:b/>
                <w:color w:val="FFFFFF"/>
                <w:sz w:val="16"/>
              </w:rPr>
              <w:t>Executable design pattern</w:t>
            </w:r>
          </w:p>
        </w:tc>
        <w:tc>
          <w:tcPr>
            <w:tcW w:type="dxa" w:w="3331"/>
            <w:shd w:fill="16324F"/>
            <w:vAlign w:val="center"/>
            <w:tcMar>
              <w:top w:w="90" w:type="dxa"/>
              <w:start w:w="100" w:type="dxa"/>
              <w:bottom w:w="90" w:type="dxa"/>
              <w:end w:w="100" w:type="dxa"/>
            </w:tcMar>
          </w:tcPr>
          <w:p>
            <w:pPr>
              <w:spacing w:after="0"/>
            </w:pPr>
            <w:r>
              <w:rPr>
                <w:b/>
                <w:color w:val="FFFFFF"/>
                <w:sz w:val="16"/>
              </w:rPr>
              <w:t>Evidence to collect</w:t>
            </w:r>
          </w:p>
        </w:tc>
      </w:tr>
      <w:tr>
        <w:tc>
          <w:tcPr>
            <w:tcW w:type="dxa" w:w="3331"/>
            <w:vAlign w:val="center"/>
            <w:tcMar>
              <w:top w:w="90" w:type="dxa"/>
              <w:start w:w="100" w:type="dxa"/>
              <w:bottom w:w="90" w:type="dxa"/>
              <w:end w:w="100" w:type="dxa"/>
            </w:tcMar>
          </w:tcPr>
          <w:p>
            <w:pPr>
              <w:spacing w:after="0" w:line="240" w:lineRule="auto"/>
            </w:pPr>
            <w:r>
              <w:rPr>
                <w:color w:val="243447"/>
                <w:sz w:val="16"/>
              </w:rPr>
              <w:t>Explain the mechanism, not only the result</w:t>
            </w:r>
          </w:p>
        </w:tc>
        <w:tc>
          <w:tcPr>
            <w:tcW w:type="dxa" w:w="3331"/>
            <w:vAlign w:val="center"/>
            <w:tcMar>
              <w:top w:w="90" w:type="dxa"/>
              <w:start w:w="100" w:type="dxa"/>
              <w:bottom w:w="90" w:type="dxa"/>
              <w:end w:w="100" w:type="dxa"/>
            </w:tcMar>
          </w:tcPr>
          <w:p>
            <w:pPr>
              <w:spacing w:after="0" w:line="240" w:lineRule="auto"/>
            </w:pPr>
            <w:r>
              <w:rPr>
                <w:color w:val="243447"/>
                <w:sz w:val="16"/>
              </w:rPr>
              <w:t>State the physical model, assumptions, and causal sequence before algebra</w:t>
            </w:r>
          </w:p>
        </w:tc>
        <w:tc>
          <w:tcPr>
            <w:tcW w:type="dxa" w:w="3331"/>
            <w:vAlign w:val="center"/>
            <w:tcMar>
              <w:top w:w="90" w:type="dxa"/>
              <w:start w:w="100" w:type="dxa"/>
              <w:bottom w:w="90" w:type="dxa"/>
              <w:end w:w="100" w:type="dxa"/>
            </w:tcMar>
          </w:tcPr>
          <w:p>
            <w:pPr>
              <w:spacing w:after="0" w:line="240" w:lineRule="auto"/>
            </w:pPr>
            <w:r>
              <w:rPr>
                <w:color w:val="243447"/>
                <w:sz w:val="16"/>
              </w:rPr>
              <w:t>Learner can predict an outcome in a changed scenario</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Move between representations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Connect verbal statement, equation, diagram, graph, and limiting case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Learner can translate between representations</w:t>
            </w:r>
          </w:p>
        </w:tc>
      </w:tr>
      <w:tr>
        <w:tc>
          <w:tcPr>
            <w:tcW w:type="dxa" w:w="3331"/>
            <w:vAlign w:val="center"/>
            <w:tcMar>
              <w:top w:w="90" w:type="dxa"/>
              <w:start w:w="100" w:type="dxa"/>
              <w:bottom w:w="90" w:type="dxa"/>
              <w:end w:w="100" w:type="dxa"/>
            </w:tcMar>
          </w:tcPr>
          <w:p>
            <w:pPr>
              <w:spacing w:after="0" w:line="240" w:lineRule="auto"/>
            </w:pPr>
            <w:r>
              <w:rPr>
                <w:color w:val="243447"/>
                <w:sz w:val="16"/>
              </w:rPr>
              <w:t>Worked example followed by fading</w:t>
            </w:r>
          </w:p>
        </w:tc>
        <w:tc>
          <w:tcPr>
            <w:tcW w:type="dxa" w:w="3331"/>
            <w:vAlign w:val="center"/>
            <w:tcMar>
              <w:top w:w="90" w:type="dxa"/>
              <w:start w:w="100" w:type="dxa"/>
              <w:bottom w:w="90" w:type="dxa"/>
              <w:end w:w="100" w:type="dxa"/>
            </w:tcMar>
          </w:tcPr>
          <w:p>
            <w:pPr>
              <w:spacing w:after="0" w:line="240" w:lineRule="auto"/>
            </w:pPr>
            <w:r>
              <w:rPr>
                <w:color w:val="243447"/>
                <w:sz w:val="16"/>
              </w:rPr>
              <w:t>Show a complete solution, then hide selected steps, then present a transfer problem</w:t>
            </w:r>
          </w:p>
        </w:tc>
        <w:tc>
          <w:tcPr>
            <w:tcW w:type="dxa" w:w="3331"/>
            <w:vAlign w:val="center"/>
            <w:tcMar>
              <w:top w:w="90" w:type="dxa"/>
              <w:start w:w="100" w:type="dxa"/>
              <w:bottom w:w="90" w:type="dxa"/>
              <w:end w:w="100" w:type="dxa"/>
            </w:tcMar>
          </w:tcPr>
          <w:p>
            <w:pPr>
              <w:spacing w:after="0" w:line="240" w:lineRule="auto"/>
            </w:pPr>
            <w:r>
              <w:rPr>
                <w:color w:val="243447"/>
                <w:sz w:val="16"/>
              </w:rPr>
              <w:t>Independent success improves on a new item</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Retrieval practice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Ask for a prediction or explanation before revealing the next step</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Correct recall and retention after a delay</w:t>
            </w:r>
          </w:p>
        </w:tc>
      </w:tr>
      <w:tr>
        <w:tc>
          <w:tcPr>
            <w:tcW w:type="dxa" w:w="3331"/>
            <w:vAlign w:val="center"/>
            <w:tcMar>
              <w:top w:w="90" w:type="dxa"/>
              <w:start w:w="100" w:type="dxa"/>
              <w:bottom w:w="90" w:type="dxa"/>
              <w:end w:w="100" w:type="dxa"/>
            </w:tcMar>
          </w:tcPr>
          <w:p>
            <w:pPr>
              <w:spacing w:after="0" w:line="240" w:lineRule="auto"/>
            </w:pPr>
            <w:r>
              <w:rPr>
                <w:color w:val="243447"/>
                <w:sz w:val="16"/>
              </w:rPr>
              <w:t>Spaced practice</w:t>
            </w:r>
          </w:p>
        </w:tc>
        <w:tc>
          <w:tcPr>
            <w:tcW w:type="dxa" w:w="3331"/>
            <w:vAlign w:val="center"/>
            <w:tcMar>
              <w:top w:w="90" w:type="dxa"/>
              <w:start w:w="100" w:type="dxa"/>
              <w:bottom w:w="90" w:type="dxa"/>
              <w:end w:w="100" w:type="dxa"/>
            </w:tcMar>
          </w:tcPr>
          <w:p>
            <w:pPr>
              <w:spacing w:after="0" w:line="240" w:lineRule="auto"/>
            </w:pPr>
            <w:r>
              <w:rPr>
                <w:color w:val="243447"/>
                <w:sz w:val="16"/>
              </w:rPr>
              <w:t>Revisit concepts after increasing or evidence-based intervals</w:t>
            </w:r>
          </w:p>
        </w:tc>
        <w:tc>
          <w:tcPr>
            <w:tcW w:type="dxa" w:w="3331"/>
            <w:vAlign w:val="center"/>
            <w:tcMar>
              <w:top w:w="90" w:type="dxa"/>
              <w:start w:w="100" w:type="dxa"/>
              <w:bottom w:w="90" w:type="dxa"/>
              <w:end w:w="100" w:type="dxa"/>
            </w:tcMar>
          </w:tcPr>
          <w:p>
            <w:pPr>
              <w:spacing w:after="0" w:line="240" w:lineRule="auto"/>
            </w:pPr>
            <w:r>
              <w:rPr>
                <w:color w:val="243447"/>
                <w:sz w:val="16"/>
              </w:rPr>
              <w:t>Delayed retention, not merely immediate fluency</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Misconception contrast</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Display a plausible wrong model next to a checked model and explain the difference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Reduced recurrence of the identified error</w:t>
            </w:r>
          </w:p>
        </w:tc>
      </w:tr>
      <w:tr>
        <w:tc>
          <w:tcPr>
            <w:tcW w:type="dxa" w:w="3331"/>
            <w:vAlign w:val="center"/>
            <w:tcMar>
              <w:top w:w="90" w:type="dxa"/>
              <w:start w:w="100" w:type="dxa"/>
              <w:bottom w:w="90" w:type="dxa"/>
              <w:end w:w="100" w:type="dxa"/>
            </w:tcMar>
          </w:tcPr>
          <w:p>
            <w:pPr>
              <w:spacing w:after="0" w:line="240" w:lineRule="auto"/>
            </w:pPr>
            <w:r>
              <w:rPr>
                <w:color w:val="243447"/>
                <w:sz w:val="16"/>
              </w:rPr>
              <w:t>Alternate solution routes</w:t>
            </w:r>
          </w:p>
        </w:tc>
        <w:tc>
          <w:tcPr>
            <w:tcW w:type="dxa" w:w="3331"/>
            <w:vAlign w:val="center"/>
            <w:tcMar>
              <w:top w:w="90" w:type="dxa"/>
              <w:start w:w="100" w:type="dxa"/>
              <w:bottom w:w="90" w:type="dxa"/>
              <w:end w:w="100" w:type="dxa"/>
            </w:tcMar>
          </w:tcPr>
          <w:p>
            <w:pPr>
              <w:spacing w:after="0" w:line="240" w:lineRule="auto"/>
            </w:pPr>
            <w:r>
              <w:rPr>
                <w:color w:val="243447"/>
                <w:sz w:val="16"/>
              </w:rPr>
              <w:t>Show when Newton’s laws, energy, or momentum is the efficient method and why</w:t>
            </w:r>
          </w:p>
        </w:tc>
        <w:tc>
          <w:tcPr>
            <w:tcW w:type="dxa" w:w="3331"/>
            <w:vAlign w:val="center"/>
            <w:tcMar>
              <w:top w:w="90" w:type="dxa"/>
              <w:start w:w="100" w:type="dxa"/>
              <w:bottom w:w="90" w:type="dxa"/>
              <w:end w:w="100" w:type="dxa"/>
            </w:tcMar>
          </w:tcPr>
          <w:p>
            <w:pPr>
              <w:spacing w:after="0" w:line="240" w:lineRule="auto"/>
            </w:pPr>
            <w:r>
              <w:rPr>
                <w:color w:val="243447"/>
                <w:sz w:val="16"/>
              </w:rPr>
              <w:t>Learner chooses an appropriate method on new problems</w:t>
            </w:r>
          </w:p>
        </w:tc>
      </w:tr>
    </w:tbl>
    <w:p>
      <w:pPr>
        <w:spacing w:after="20"/>
      </w:pPr>
    </w:p>
    <w:p>
      <w:r>
        <w:rPr>
          <w:i w:val="0"/>
        </w:rPr>
        <w:t>Retrieval practice and distributed practice have a substantial evidence base in learning research [R1, R2, R3]. That does not mean any particular interface automatically produces those benefits. The platform must evaluate whether its implementation improves retention and transfer for its actual users.</w:t>
      </w:r>
    </w:p>
    <w:p>
      <w:pPr>
        <w:pStyle w:val="Heading2"/>
      </w:pPr>
      <w:r>
        <w:t>8.2 A lesson specification</w:t>
      </w:r>
    </w:p>
    <w:p>
      <w:r>
        <w:rPr>
          <w:i w:val="0"/>
        </w:rPr>
        <w:t>A high-quality lesson should contain a learning objective, target learner level, prior knowledge, central question, assumptions, conceptual model, misconception to confront, derivation, visual plan, worked example, transfer question, source record, and review state. A “Feynman-like” label should not replace these fields.</w:t>
      </w:r>
    </w:p>
    <w:p>
      <w:pPr>
        <w:pStyle w:val="Heading2"/>
      </w:pPr>
      <w:r>
        <w:t>8.3 Audience adaptations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Mode</w:t>
            </w:r>
          </w:p>
        </w:tc>
        <w:tc>
          <w:tcPr>
            <w:tcW w:type="dxa" w:w="3331"/>
            <w:shd w:fill="16324F"/>
            <w:vAlign w:val="center"/>
            <w:tcMar>
              <w:top w:w="90" w:type="dxa"/>
              <w:start w:w="100" w:type="dxa"/>
              <w:bottom w:w="90" w:type="dxa"/>
              <w:end w:w="100" w:type="dxa"/>
            </w:tcMar>
          </w:tcPr>
          <w:p>
            <w:pPr>
              <w:spacing w:after="0"/>
            </w:pPr>
            <w:r>
              <w:rPr>
                <w:b/>
                <w:color w:val="FFFFFF"/>
                <w:sz w:val="16"/>
              </w:rPr>
              <w:t>Prioritise</w:t>
            </w:r>
          </w:p>
        </w:tc>
        <w:tc>
          <w:tcPr>
            <w:tcW w:type="dxa" w:w="3331"/>
            <w:shd w:fill="16324F"/>
            <w:vAlign w:val="center"/>
            <w:tcMar>
              <w:top w:w="90" w:type="dxa"/>
              <w:start w:w="100" w:type="dxa"/>
              <w:bottom w:w="90" w:type="dxa"/>
              <w:end w:w="100" w:type="dxa"/>
            </w:tcMar>
          </w:tcPr>
          <w:p>
            <w:pPr>
              <w:spacing w:after="0"/>
            </w:pPr>
            <w:r>
              <w:rPr>
                <w:b/>
                <w:color w:val="FFFFFF"/>
                <w:sz w:val="16"/>
              </w:rPr>
              <w:t>Avoid</w:t>
            </w:r>
          </w:p>
        </w:tc>
      </w:tr>
      <w:tr>
        <w:tc>
          <w:tcPr>
            <w:tcW w:type="dxa" w:w="3331"/>
            <w:vAlign w:val="center"/>
            <w:tcMar>
              <w:top w:w="90" w:type="dxa"/>
              <w:start w:w="100" w:type="dxa"/>
              <w:bottom w:w="90" w:type="dxa"/>
              <w:end w:w="100" w:type="dxa"/>
            </w:tcMar>
          </w:tcPr>
          <w:p>
            <w:pPr>
              <w:spacing w:after="0" w:line="240" w:lineRule="auto"/>
            </w:pPr>
            <w:r>
              <w:rPr>
                <w:color w:val="243447"/>
                <w:sz w:val="16"/>
              </w:rPr>
              <w:t>NEET</w:t>
            </w:r>
          </w:p>
        </w:tc>
        <w:tc>
          <w:tcPr>
            <w:tcW w:type="dxa" w:w="3331"/>
            <w:vAlign w:val="center"/>
            <w:tcMar>
              <w:top w:w="90" w:type="dxa"/>
              <w:start w:w="100" w:type="dxa"/>
              <w:bottom w:w="90" w:type="dxa"/>
              <w:end w:w="100" w:type="dxa"/>
            </w:tcMar>
          </w:tcPr>
          <w:p>
            <w:pPr>
              <w:spacing w:after="0" w:line="240" w:lineRule="auto"/>
            </w:pPr>
            <w:r>
              <w:rPr>
                <w:color w:val="243447"/>
                <w:sz w:val="16"/>
              </w:rPr>
              <w:t>Conceptual intuition, graphs, standard models, units, quick justified solution paths</w:t>
            </w:r>
          </w:p>
        </w:tc>
        <w:tc>
          <w:tcPr>
            <w:tcW w:type="dxa" w:w="3331"/>
            <w:vAlign w:val="center"/>
            <w:tcMar>
              <w:top w:w="90" w:type="dxa"/>
              <w:start w:w="100" w:type="dxa"/>
              <w:bottom w:w="90" w:type="dxa"/>
              <w:end w:w="100" w:type="dxa"/>
            </w:tcMar>
          </w:tcPr>
          <w:p>
            <w:pPr>
              <w:spacing w:after="0" w:line="240" w:lineRule="auto"/>
            </w:pPr>
            <w:r>
              <w:rPr>
                <w:color w:val="243447"/>
                <w:sz w:val="16"/>
              </w:rPr>
              <w:t>Unexplained shortcuts or too many advanced branches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JEE Main</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Model selection, robust algebra, standard traps, efficient reasoning</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Memorising patterns without assumptions</w:t>
            </w:r>
          </w:p>
        </w:tc>
      </w:tr>
      <w:tr>
        <w:tc>
          <w:tcPr>
            <w:tcW w:type="dxa" w:w="3331"/>
            <w:vAlign w:val="center"/>
            <w:tcMar>
              <w:top w:w="90" w:type="dxa"/>
              <w:start w:w="100" w:type="dxa"/>
              <w:bottom w:w="90" w:type="dxa"/>
              <w:end w:w="100" w:type="dxa"/>
            </w:tcMar>
          </w:tcPr>
          <w:p>
            <w:pPr>
              <w:spacing w:after="0" w:line="240" w:lineRule="auto"/>
            </w:pPr>
            <w:r>
              <w:rPr>
                <w:color w:val="243447"/>
                <w:sz w:val="16"/>
              </w:rPr>
              <w:t>JEE Advanced</w:t>
            </w:r>
          </w:p>
        </w:tc>
        <w:tc>
          <w:tcPr>
            <w:tcW w:type="dxa" w:w="3331"/>
            <w:vAlign w:val="center"/>
            <w:tcMar>
              <w:top w:w="90" w:type="dxa"/>
              <w:start w:w="100" w:type="dxa"/>
              <w:bottom w:w="90" w:type="dxa"/>
              <w:end w:w="100" w:type="dxa"/>
            </w:tcMar>
          </w:tcPr>
          <w:p>
            <w:pPr>
              <w:spacing w:after="0" w:line="240" w:lineRule="auto"/>
            </w:pPr>
            <w:r>
              <w:rPr>
                <w:color w:val="243447"/>
                <w:sz w:val="16"/>
              </w:rPr>
              <w:t>Multiple constraints, hidden assumptions, alternate methods, limiting cases</w:t>
            </w:r>
          </w:p>
        </w:tc>
        <w:tc>
          <w:tcPr>
            <w:tcW w:type="dxa" w:w="3331"/>
            <w:vAlign w:val="center"/>
            <w:tcMar>
              <w:top w:w="90" w:type="dxa"/>
              <w:start w:w="100" w:type="dxa"/>
              <w:bottom w:w="90" w:type="dxa"/>
              <w:end w:w="100" w:type="dxa"/>
            </w:tcMar>
          </w:tcPr>
          <w:p>
            <w:pPr>
              <w:spacing w:after="0" w:line="240" w:lineRule="auto"/>
            </w:pPr>
            <w:r>
              <w:rPr>
                <w:color w:val="243447"/>
                <w:sz w:val="16"/>
              </w:rPr>
              <w:t>Treating one method as universally best</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Olympiad</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Model construction, estimation, proof, unusual transfer, approximation validity</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Reducing every task to a multiple-choice template</w:t>
            </w:r>
          </w:p>
        </w:tc>
      </w:tr>
      <w:tr>
        <w:tc>
          <w:tcPr>
            <w:tcW w:type="dxa" w:w="3331"/>
            <w:vAlign w:val="center"/>
            <w:tcMar>
              <w:top w:w="90" w:type="dxa"/>
              <w:start w:w="100" w:type="dxa"/>
              <w:bottom w:w="90" w:type="dxa"/>
              <w:end w:w="100" w:type="dxa"/>
            </w:tcMar>
          </w:tcPr>
          <w:p>
            <w:pPr>
              <w:spacing w:after="0" w:line="240" w:lineRule="auto"/>
            </w:pPr>
            <w:r>
              <w:rPr>
                <w:color w:val="243447"/>
                <w:sz w:val="16"/>
              </w:rPr>
              <w:t>University / MIT-style</w:t>
            </w:r>
          </w:p>
        </w:tc>
        <w:tc>
          <w:tcPr>
            <w:tcW w:type="dxa" w:w="3331"/>
            <w:vAlign w:val="center"/>
            <w:tcMar>
              <w:top w:w="90" w:type="dxa"/>
              <w:start w:w="100" w:type="dxa"/>
              <w:bottom w:w="90" w:type="dxa"/>
              <w:end w:w="100" w:type="dxa"/>
            </w:tcMar>
          </w:tcPr>
          <w:p>
            <w:pPr>
              <w:spacing w:after="0" w:line="240" w:lineRule="auto"/>
            </w:pPr>
            <w:r>
              <w:rPr>
                <w:color w:val="243447"/>
                <w:sz w:val="16"/>
              </w:rPr>
              <w:t>Derivation, structural mathematics, generalisation, links across topics</w:t>
            </w:r>
          </w:p>
        </w:tc>
        <w:tc>
          <w:tcPr>
            <w:tcW w:type="dxa" w:w="3331"/>
            <w:vAlign w:val="center"/>
            <w:tcMar>
              <w:top w:w="90" w:type="dxa"/>
              <w:start w:w="100" w:type="dxa"/>
              <w:bottom w:w="90" w:type="dxa"/>
              <w:end w:w="100" w:type="dxa"/>
            </w:tcMar>
          </w:tcPr>
          <w:p>
            <w:pPr>
              <w:spacing w:after="0" w:line="240" w:lineRule="auto"/>
            </w:pPr>
            <w:r>
              <w:rPr>
                <w:color w:val="243447"/>
                <w:sz w:val="16"/>
              </w:rPr>
              <w:t>Using visual analogy as a replacement for proof</w:t>
            </w:r>
          </w:p>
        </w:tc>
      </w:tr>
    </w:tbl>
    <w:p>
      <w:pPr>
        <w:spacing w:after="20"/>
      </w:pPr>
    </w:p>
    <w:p>
      <w:pPr>
        <w:pStyle w:val="Heading2"/>
      </w:pPr>
      <w:r>
        <w:t>8.4 Don’t confuse fluency with understanding</w:t>
      </w:r>
    </w:p>
    <w:p>
      <w:r>
        <w:rPr>
          <w:i w:val="0"/>
        </w:rPr>
        <w:t>An animation that makes a derivation feel obvious can still leave a learner unable to reproduce the reasoning. Place prediction questions before reveals, short retrieval tasks after an explanation, and a new scenario at the end. Record performance on those tasks rather than using views, completion, or satisfaction alone as proof of learning.</w:t>
      </w:r>
    </w:p>
    <w:p>
      <w:pPr>
        <w:pStyle w:val="Heading1"/>
      </w:pPr>
      <w:r>
        <w:t>9. Visual lesson compiler and original animation grammar</w:t>
      </w:r>
    </w:p>
    <w:p>
      <w:pPr>
        <w:pStyle w:val="Heading2"/>
      </w:pPr>
      <w:r>
        <w:t>9.1 Separate the lesson from the renderer</w:t>
      </w:r>
    </w:p>
    <w:p>
      <w:r>
        <w:rPr>
          <w:i w:val="0"/>
        </w:rPr>
        <w:t>The lesson compiler should create a renderer-independent intermediate representation (IR). The IR contains semantic objects and relationships: equation, vector, graph, coordinate frame, parameter sweep, highlighted relation, narration cue, camera/panel layout, and accessibility text. A renderer adapter translates this IR into Manim or a browser-interactive component. This boundary makes it possible to replace the renderer without rewriting pedagogy.</w:t>
      </w:r>
    </w:p>
    <w:p>
      <w:pPr>
        <w:pStyle w:val="Heading2"/>
      </w:pPr>
      <w:r>
        <w:t>9.2 Compiler stages</w:t>
      </w:r>
    </w:p>
    <w:p>
      <w:pPr>
        <w:pStyle w:val="ListNumber"/>
        <w:spacing w:after="40"/>
      </w:pPr>
      <w:r>
        <w:t>Lesson brief → objectives and audience profile.</w:t>
      </w:r>
    </w:p>
    <w:p>
      <w:pPr>
        <w:pStyle w:val="ListNumber"/>
        <w:spacing w:after="40"/>
      </w:pPr>
      <w:r>
        <w:t>Approved scientific model → equations, assumptions, domains, and check results.</w:t>
      </w:r>
    </w:p>
    <w:p>
      <w:pPr>
        <w:pStyle w:val="ListNumber"/>
        <w:spacing w:after="40"/>
      </w:pPr>
      <w:r>
        <w:t>Story beats → sequence of questions, predictions, reveals, and worked steps.</w:t>
      </w:r>
    </w:p>
    <w:p>
      <w:pPr>
        <w:pStyle w:val="ListNumber"/>
        <w:spacing w:after="40"/>
      </w:pPr>
      <w:r>
        <w:t>Scene IR → typed visual objects, timing, labels, narration anchors, and assertions.</w:t>
      </w:r>
    </w:p>
    <w:p>
      <w:pPr>
        <w:pStyle w:val="ListNumber"/>
        <w:spacing w:after="40"/>
      </w:pPr>
      <w:r>
        <w:t>Static validation → required fields, unit/label coverage, parameter bounds, accessibility checks.</w:t>
      </w:r>
    </w:p>
    <w:p>
      <w:pPr>
        <w:pStyle w:val="ListNumber"/>
        <w:spacing w:after="40"/>
      </w:pPr>
      <w:r>
        <w:t>Render preview → visual regression and teacher review.</w:t>
      </w:r>
    </w:p>
    <w:p>
      <w:pPr>
        <w:pStyle w:val="ListNumber"/>
        <w:spacing w:after="40"/>
      </w:pPr>
      <w:r>
        <w:t>Audio/caption assembly → synchronisation and transcript review.</w:t>
      </w:r>
    </w:p>
    <w:p>
      <w:pPr>
        <w:pStyle w:val="ListNumber"/>
        <w:spacing w:after="40"/>
      </w:pPr>
      <w:r>
        <w:t>Release bundle → video, source code, citations, licence manifest, test report, version metadata.</w:t>
      </w:r>
    </w:p>
    <w:p>
      <w:pPr>
        <w:pStyle w:val="Heading2"/>
      </w:pPr>
      <w:r>
        <w:t>9.3 Original 3Blue1Brown-inspired work</w:t>
      </w:r>
    </w:p>
    <w:p>
      <w:r>
        <w:rPr>
          <w:i w:val="0"/>
        </w:rPr>
        <w:t>Use broad pedagogical ideas—continuous transformation, geometric intuition, careful framing, and revealing mathematical structure—but develop original scripts, composition, visual assets, colour rules, pacing, and narration. Do not copy another creator’s exact storyboard, distinctive assets, audio, branding, or signature sequence. Inspiration is not a substitute for copyright review.</w:t>
      </w:r>
    </w:p>
    <w:p>
      <w:pPr>
        <w:pStyle w:val="Heading2"/>
      </w:pPr>
      <w:r>
        <w:t>9.4 Scene contract</w:t>
      </w:r>
    </w:p>
    <w:p>
      <w:pPr>
        <w:pStyle w:val="CodeBlock"/>
        <w:keepLines/>
        <w:shd w:fill="F3F6F9"/>
      </w:pPr>
      <w:r>
        <w:t>{</w:t>
      </w:r>
    </w:p>
    <w:p>
      <w:pPr>
        <w:pStyle w:val="CodeBlock"/>
        <w:keepLines/>
        <w:shd w:fill="F3F6F9"/>
      </w:pPr>
      <w:r>
        <w:t xml:space="preserve">  "scene_id": "mechanics.position_from_acceleration.01",</w:t>
      </w:r>
    </w:p>
    <w:p>
      <w:pPr>
        <w:pStyle w:val="CodeBlock"/>
        <w:keepLines/>
        <w:shd w:fill="F3F6F9"/>
      </w:pPr>
      <w:r>
        <w:t xml:space="preserve">  "learning_objective": "Connect acceleration to the curvature of position over time",</w:t>
      </w:r>
    </w:p>
    <w:p>
      <w:pPr>
        <w:pStyle w:val="CodeBlock"/>
        <w:keepLines/>
        <w:shd w:fill="F3F6F9"/>
      </w:pPr>
      <w:r>
        <w:t xml:space="preserve">  "model_ref": "model://constant_acceleration_1d/v1",</w:t>
      </w:r>
    </w:p>
    <w:p>
      <w:pPr>
        <w:pStyle w:val="CodeBlock"/>
        <w:keepLines/>
        <w:shd w:fill="F3F6F9"/>
      </w:pPr>
      <w:r>
        <w:t xml:space="preserve">  "approved_claim_refs": ["claim://x-of-t"],</w:t>
      </w:r>
    </w:p>
    <w:p>
      <w:pPr>
        <w:pStyle w:val="CodeBlock"/>
        <w:keepLines/>
        <w:shd w:fill="F3F6F9"/>
      </w:pPr>
      <w:r>
        <w:t xml:space="preserve">  "objects": [</w:t>
      </w:r>
    </w:p>
    <w:p>
      <w:pPr>
        <w:pStyle w:val="CodeBlock"/>
        <w:keepLines/>
        <w:shd w:fill="F3F6F9"/>
      </w:pPr>
      <w:r>
        <w:t xml:space="preserve">    {"id": "position_graph", "type": "function_plot", "expression_ref": "x_of_t", "domain": [0, 4], "unit": "m"},</w:t>
      </w:r>
    </w:p>
    <w:p>
      <w:pPr>
        <w:pStyle w:val="CodeBlock"/>
        <w:keepLines/>
        <w:shd w:fill="F3F6F9"/>
      </w:pPr>
      <w:r>
        <w:t xml:space="preserve">    {"id": "time_marker", "type": "moving_marker", "bind_to": "t"}</w:t>
      </w:r>
    </w:p>
    <w:p>
      <w:pPr>
        <w:pStyle w:val="CodeBlock"/>
        <w:keepLines/>
        <w:shd w:fill="F3F6F9"/>
      </w:pPr>
      <w:r>
        <w:t xml:space="preserve">  ],</w:t>
      </w:r>
    </w:p>
    <w:p>
      <w:pPr>
        <w:pStyle w:val="CodeBlock"/>
        <w:keepLines/>
        <w:shd w:fill="F3F6F9"/>
      </w:pPr>
      <w:r>
        <w:t xml:space="preserve">  "narration_cues": [{"at": 0.0, "text_ref": "script://beat-01"}],</w:t>
      </w:r>
    </w:p>
    <w:p>
      <w:pPr>
        <w:pStyle w:val="CodeBlock"/>
        <w:keepLines/>
        <w:shd w:fill="F3F6F9"/>
      </w:pPr>
      <w:r>
        <w:t xml:space="preserve">  "assertions": ["all_axes_labeled", "units_visible", "t_within_domain"],</w:t>
      </w:r>
    </w:p>
    <w:p>
      <w:pPr>
        <w:pStyle w:val="CodeBlock"/>
        <w:keepLines/>
        <w:shd w:fill="F3F6F9"/>
      </w:pPr>
      <w:r>
        <w:t xml:space="preserve">  "review_state": "draft"</w:t>
      </w:r>
    </w:p>
    <w:p>
      <w:pPr>
        <w:pStyle w:val="CodeBlock"/>
        <w:keepLines/>
        <w:shd w:fill="F3F6F9"/>
      </w:pPr>
      <w:r>
        <w:t>}</w:t>
      </w:r>
    </w:p>
    <w:p>
      <w:pPr>
        <w:pStyle w:val="Heading2"/>
      </w:pPr>
      <w:r>
        <w:t>9.5 Visual quality gates</w:t>
      </w:r>
    </w:p>
    <w:p>
      <w:pPr>
        <w:pStyle w:val="ListBullet"/>
        <w:spacing w:after="40"/>
      </w:pPr>
      <w:r>
        <w:t>Labels remain readable on a phone-sized frame.</w:t>
      </w:r>
    </w:p>
    <w:p>
      <w:pPr>
        <w:pStyle w:val="ListBullet"/>
        <w:spacing w:after="40"/>
      </w:pPr>
      <w:r>
        <w:t>Vectors, axes, and sign conventions agree with the approved model.</w:t>
      </w:r>
    </w:p>
    <w:p>
      <w:pPr>
        <w:pStyle w:val="ListBullet"/>
        <w:spacing w:after="40"/>
      </w:pPr>
      <w:r>
        <w:t>No symbol silently changes meaning between scenes.</w:t>
      </w:r>
    </w:p>
    <w:p>
      <w:pPr>
        <w:pStyle w:val="ListBullet"/>
        <w:spacing w:after="40"/>
      </w:pPr>
      <w:r>
        <w:t>Animation speed does not imply a physical rate not represented by the model.</w:t>
      </w:r>
    </w:p>
    <w:p>
      <w:pPr>
        <w:pStyle w:val="ListBullet"/>
        <w:spacing w:after="40"/>
      </w:pPr>
      <w:r>
        <w:t>The visual metaphor is accompanied by its limits when it might be misleading.</w:t>
      </w:r>
    </w:p>
    <w:p>
      <w:pPr>
        <w:pStyle w:val="ListBullet"/>
        <w:spacing w:after="40"/>
      </w:pPr>
      <w:r>
        <w:t>Narration, captions, displayed equations, and animation refer to the same step.</w:t>
      </w:r>
    </w:p>
    <w:p>
      <w:pPr>
        <w:pStyle w:val="ListBullet"/>
        <w:spacing w:after="40"/>
      </w:pPr>
      <w:r>
        <w:t>A reproducible low-resolution preview is created before expensive rendering.</w:t>
      </w:r>
    </w:p>
    <w:p>
      <w:pPr>
        <w:pStyle w:val="ListBullet"/>
        <w:spacing w:after="40"/>
      </w:pPr>
      <w:r>
        <w:t>Teacher can inspect the source, scene IR, and render together.</w:t>
      </w:r>
    </w:p>
    <w:p>
      <w:r>
        <w:br w:type="page"/>
      </w:r>
    </w:p>
    <w:p>
      <w:pPr>
        <w:pStyle w:val="Heading1"/>
      </w:pPr>
      <w:r>
        <w:t>PART IV — Build specification</w:t>
      </w:r>
    </w:p>
    <w:p>
      <w:pPr>
        <w:pStyle w:val="Heading1"/>
      </w:pPr>
      <w:r>
        <w:t>10. Data model and service contracts</w:t>
      </w:r>
    </w:p>
    <w:p>
      <w:pPr>
        <w:pStyle w:val="Heading2"/>
      </w:pPr>
      <w:r>
        <w:t>10.1 Core entities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Entity</w:t>
            </w:r>
          </w:p>
        </w:tc>
        <w:tc>
          <w:tcPr>
            <w:tcW w:type="dxa" w:w="3331"/>
            <w:shd w:fill="16324F"/>
            <w:vAlign w:val="center"/>
            <w:tcMar>
              <w:top w:w="90" w:type="dxa"/>
              <w:start w:w="100" w:type="dxa"/>
              <w:bottom w:w="90" w:type="dxa"/>
              <w:end w:w="100" w:type="dxa"/>
            </w:tcMar>
          </w:tcPr>
          <w:p>
            <w:pPr>
              <w:spacing w:after="0"/>
            </w:pPr>
            <w:r>
              <w:rPr>
                <w:b/>
                <w:color w:val="FFFFFF"/>
                <w:sz w:val="16"/>
              </w:rPr>
              <w:t>Key fields</w:t>
            </w:r>
          </w:p>
        </w:tc>
        <w:tc>
          <w:tcPr>
            <w:tcW w:type="dxa" w:w="3331"/>
            <w:shd w:fill="16324F"/>
            <w:vAlign w:val="center"/>
            <w:tcMar>
              <w:top w:w="90" w:type="dxa"/>
              <w:start w:w="100" w:type="dxa"/>
              <w:bottom w:w="90" w:type="dxa"/>
              <w:end w:w="100" w:type="dxa"/>
            </w:tcMar>
          </w:tcPr>
          <w:p>
            <w:pPr>
              <w:spacing w:after="0"/>
            </w:pPr>
            <w:r>
              <w:rPr>
                <w:b/>
                <w:color w:val="FFFFFF"/>
                <w:sz w:val="16"/>
              </w:rPr>
              <w:t>Reason to exist</w:t>
            </w:r>
          </w:p>
        </w:tc>
      </w:tr>
      <w:tr>
        <w:tc>
          <w:tcPr>
            <w:tcW w:type="dxa" w:w="3331"/>
            <w:vAlign w:val="center"/>
            <w:tcMar>
              <w:top w:w="90" w:type="dxa"/>
              <w:start w:w="100" w:type="dxa"/>
              <w:bottom w:w="90" w:type="dxa"/>
              <w:end w:w="100" w:type="dxa"/>
            </w:tcMar>
          </w:tcPr>
          <w:p>
            <w:pPr>
              <w:spacing w:after="0" w:line="240" w:lineRule="auto"/>
            </w:pPr>
            <w:r>
              <w:rPr>
                <w:color w:val="243447"/>
                <w:sz w:val="16"/>
              </w:rPr>
              <w:t>SourceAsset</w:t>
            </w:r>
          </w:p>
        </w:tc>
        <w:tc>
          <w:tcPr>
            <w:tcW w:type="dxa" w:w="3331"/>
            <w:vAlign w:val="center"/>
            <w:tcMar>
              <w:top w:w="90" w:type="dxa"/>
              <w:start w:w="100" w:type="dxa"/>
              <w:bottom w:w="90" w:type="dxa"/>
              <w:end w:w="100" w:type="dxa"/>
            </w:tcMar>
          </w:tcPr>
          <w:p>
            <w:pPr>
              <w:spacing w:after="0" w:line="240" w:lineRule="auto"/>
            </w:pPr>
            <w:r>
              <w:rPr>
                <w:color w:val="243447"/>
                <w:sz w:val="16"/>
              </w:rPr>
              <w:t>source_id, locator, retrieved_at, rights_state, checksum, allowed_uses</w:t>
            </w:r>
          </w:p>
        </w:tc>
        <w:tc>
          <w:tcPr>
            <w:tcW w:type="dxa" w:w="3331"/>
            <w:vAlign w:val="center"/>
            <w:tcMar>
              <w:top w:w="90" w:type="dxa"/>
              <w:start w:w="100" w:type="dxa"/>
              <w:bottom w:w="90" w:type="dxa"/>
              <w:end w:w="100" w:type="dxa"/>
            </w:tcMar>
          </w:tcPr>
          <w:p>
            <w:pPr>
              <w:spacing w:after="0" w:line="240" w:lineRule="auto"/>
            </w:pPr>
            <w:r>
              <w:rPr>
                <w:color w:val="243447"/>
                <w:sz w:val="16"/>
              </w:rPr>
              <w:t>Trace content to provenance and permissions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Question</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question_id, exam/session/year, statement, diagram refs, extraction confidence, review state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Stable identity for the item and all its versions</w:t>
            </w:r>
          </w:p>
        </w:tc>
      </w:tr>
      <w:tr>
        <w:tc>
          <w:tcPr>
            <w:tcW w:type="dxa" w:w="3331"/>
            <w:vAlign w:val="center"/>
            <w:tcMar>
              <w:top w:w="90" w:type="dxa"/>
              <w:start w:w="100" w:type="dxa"/>
              <w:bottom w:w="90" w:type="dxa"/>
              <w:end w:w="100" w:type="dxa"/>
            </w:tcMar>
          </w:tcPr>
          <w:p>
            <w:pPr>
              <w:spacing w:after="0" w:line="240" w:lineRule="auto"/>
            </w:pPr>
            <w:r>
              <w:rPr>
                <w:color w:val="243447"/>
                <w:sz w:val="16"/>
              </w:rPr>
              <w:t>AnswerRecord</w:t>
            </w:r>
          </w:p>
        </w:tc>
        <w:tc>
          <w:tcPr>
            <w:tcW w:type="dxa" w:w="3331"/>
            <w:vAlign w:val="center"/>
            <w:tcMar>
              <w:top w:w="90" w:type="dxa"/>
              <w:start w:w="100" w:type="dxa"/>
              <w:bottom w:w="90" w:type="dxa"/>
              <w:end w:w="100" w:type="dxa"/>
            </w:tcMar>
          </w:tcPr>
          <w:p>
            <w:pPr>
              <w:spacing w:after="0" w:line="240" w:lineRule="auto"/>
            </w:pPr>
            <w:r>
              <w:rPr>
                <w:color w:val="243447"/>
                <w:sz w:val="16"/>
              </w:rPr>
              <w:t>official answer, computed answer, reviewed answer, rationale, solver ref</w:t>
            </w:r>
          </w:p>
        </w:tc>
        <w:tc>
          <w:tcPr>
            <w:tcW w:type="dxa" w:w="3331"/>
            <w:vAlign w:val="center"/>
            <w:tcMar>
              <w:top w:w="90" w:type="dxa"/>
              <w:start w:w="100" w:type="dxa"/>
              <w:bottom w:w="90" w:type="dxa"/>
              <w:end w:w="100" w:type="dxa"/>
            </w:tcMar>
          </w:tcPr>
          <w:p>
            <w:pPr>
              <w:spacing w:after="0" w:line="240" w:lineRule="auto"/>
            </w:pPr>
            <w:r>
              <w:rPr>
                <w:color w:val="243447"/>
                <w:sz w:val="16"/>
              </w:rPr>
              <w:t>Avoid confusing source key with computed and approved truth</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Concept</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concept_id, definition, objectives, prerequisites, misconceptions, source refs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Curriculum and knowledge graph node</w:t>
            </w:r>
          </w:p>
        </w:tc>
      </w:tr>
      <w:tr>
        <w:tc>
          <w:tcPr>
            <w:tcW w:type="dxa" w:w="3331"/>
            <w:vAlign w:val="center"/>
            <w:tcMar>
              <w:top w:w="90" w:type="dxa"/>
              <w:start w:w="100" w:type="dxa"/>
              <w:bottom w:w="90" w:type="dxa"/>
              <w:end w:w="100" w:type="dxa"/>
            </w:tcMar>
          </w:tcPr>
          <w:p>
            <w:pPr>
              <w:spacing w:after="0" w:line="240" w:lineRule="auto"/>
            </w:pPr>
            <w:r>
              <w:rPr>
                <w:color w:val="243447"/>
                <w:sz w:val="16"/>
              </w:rPr>
              <w:t>QuestionConceptLink</w:t>
            </w:r>
          </w:p>
        </w:tc>
        <w:tc>
          <w:tcPr>
            <w:tcW w:type="dxa" w:w="3331"/>
            <w:vAlign w:val="center"/>
            <w:tcMar>
              <w:top w:w="90" w:type="dxa"/>
              <w:start w:w="100" w:type="dxa"/>
              <w:bottom w:w="90" w:type="dxa"/>
              <w:end w:w="100" w:type="dxa"/>
            </w:tcMar>
          </w:tcPr>
          <w:p>
            <w:pPr>
              <w:spacing w:after="0" w:line="240" w:lineRule="auto"/>
            </w:pPr>
            <w:r>
              <w:rPr>
                <w:color w:val="243447"/>
                <w:sz w:val="16"/>
              </w:rPr>
              <w:t>question_id, concept_id, role, confidence, evidence, reviewer</w:t>
            </w:r>
          </w:p>
        </w:tc>
        <w:tc>
          <w:tcPr>
            <w:tcW w:type="dxa" w:w="3331"/>
            <w:vAlign w:val="center"/>
            <w:tcMar>
              <w:top w:w="90" w:type="dxa"/>
              <w:start w:w="100" w:type="dxa"/>
              <w:bottom w:w="90" w:type="dxa"/>
              <w:end w:w="100" w:type="dxa"/>
            </w:tcMar>
          </w:tcPr>
          <w:p>
            <w:pPr>
              <w:spacing w:after="0" w:line="240" w:lineRule="auto"/>
            </w:pPr>
            <w:r>
              <w:rPr>
                <w:color w:val="243447"/>
                <w:sz w:val="16"/>
              </w:rPr>
              <w:t>Multi-concept tagging with provenance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LearnerEvent</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pseudonymous learner key, question/concept, response, timestamp, hint, event quality</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Immutable evidence for learning analytics</w:t>
            </w:r>
          </w:p>
        </w:tc>
      </w:tr>
      <w:tr>
        <w:tc>
          <w:tcPr>
            <w:tcW w:type="dxa" w:w="3331"/>
            <w:vAlign w:val="center"/>
            <w:tcMar>
              <w:top w:w="90" w:type="dxa"/>
              <w:start w:w="100" w:type="dxa"/>
              <w:bottom w:w="90" w:type="dxa"/>
              <w:end w:w="100" w:type="dxa"/>
            </w:tcMar>
          </w:tcPr>
          <w:p>
            <w:pPr>
              <w:spacing w:after="0" w:line="240" w:lineRule="auto"/>
            </w:pPr>
            <w:r>
              <w:rPr>
                <w:color w:val="243447"/>
                <w:sz w:val="16"/>
              </w:rPr>
              <w:t>LearnerState</w:t>
            </w:r>
          </w:p>
        </w:tc>
        <w:tc>
          <w:tcPr>
            <w:tcW w:type="dxa" w:w="3331"/>
            <w:vAlign w:val="center"/>
            <w:tcMar>
              <w:top w:w="90" w:type="dxa"/>
              <w:start w:w="100" w:type="dxa"/>
              <w:bottom w:w="90" w:type="dxa"/>
              <w:end w:w="100" w:type="dxa"/>
            </w:tcMar>
          </w:tcPr>
          <w:p>
            <w:pPr>
              <w:spacing w:after="0" w:line="240" w:lineRule="auto"/>
            </w:pPr>
            <w:r>
              <w:rPr>
                <w:color w:val="243447"/>
                <w:sz w:val="16"/>
              </w:rPr>
              <w:t>model version, mastery estimate, uncertainty, update time, explanation</w:t>
            </w:r>
          </w:p>
        </w:tc>
        <w:tc>
          <w:tcPr>
            <w:tcW w:type="dxa" w:w="3331"/>
            <w:vAlign w:val="center"/>
            <w:tcMar>
              <w:top w:w="90" w:type="dxa"/>
              <w:start w:w="100" w:type="dxa"/>
              <w:bottom w:w="90" w:type="dxa"/>
              <w:end w:w="100" w:type="dxa"/>
            </w:tcMar>
          </w:tcPr>
          <w:p>
            <w:pPr>
              <w:spacing w:after="0" w:line="240" w:lineRule="auto"/>
            </w:pPr>
            <w:r>
              <w:rPr>
                <w:color w:val="243447"/>
                <w:sz w:val="16"/>
              </w:rPr>
              <w:t>Readable snapshot derived from events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LessonSpec</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objective, audience, source refs, claims, script beats, scene IR, review states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Compiler input and audit record</w:t>
            </w:r>
          </w:p>
        </w:tc>
      </w:tr>
      <w:tr>
        <w:tc>
          <w:tcPr>
            <w:tcW w:type="dxa" w:w="3331"/>
            <w:vAlign w:val="center"/>
            <w:tcMar>
              <w:top w:w="90" w:type="dxa"/>
              <w:start w:w="100" w:type="dxa"/>
              <w:bottom w:w="90" w:type="dxa"/>
              <w:end w:w="100" w:type="dxa"/>
            </w:tcMar>
          </w:tcPr>
          <w:p>
            <w:pPr>
              <w:spacing w:after="0" w:line="240" w:lineRule="auto"/>
            </w:pPr>
            <w:r>
              <w:rPr>
                <w:color w:val="243447"/>
                <w:sz w:val="16"/>
              </w:rPr>
              <w:t>VerificationRun</w:t>
            </w:r>
          </w:p>
        </w:tc>
        <w:tc>
          <w:tcPr>
            <w:tcW w:type="dxa" w:w="3331"/>
            <w:vAlign w:val="center"/>
            <w:tcMar>
              <w:top w:w="90" w:type="dxa"/>
              <w:start w:w="100" w:type="dxa"/>
              <w:bottom w:w="90" w:type="dxa"/>
              <w:end w:w="100" w:type="dxa"/>
            </w:tcMar>
          </w:tcPr>
          <w:p>
            <w:pPr>
              <w:spacing w:after="0" w:line="240" w:lineRule="auto"/>
            </w:pPr>
            <w:r>
              <w:rPr>
                <w:color w:val="243447"/>
                <w:sz w:val="16"/>
              </w:rPr>
              <w:t>solver version, input hash, checks, status, warnings, environment</w:t>
            </w:r>
          </w:p>
        </w:tc>
        <w:tc>
          <w:tcPr>
            <w:tcW w:type="dxa" w:w="3331"/>
            <w:vAlign w:val="center"/>
            <w:tcMar>
              <w:top w:w="90" w:type="dxa"/>
              <w:start w:w="100" w:type="dxa"/>
              <w:bottom w:w="90" w:type="dxa"/>
              <w:end w:w="100" w:type="dxa"/>
            </w:tcMar>
          </w:tcPr>
          <w:p>
            <w:pPr>
              <w:spacing w:after="0" w:line="240" w:lineRule="auto"/>
            </w:pPr>
            <w:r>
              <w:rPr>
                <w:color w:val="243447"/>
                <w:sz w:val="16"/>
              </w:rPr>
              <w:t>Reproduce correctness evidence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ReleaseArtifact</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video/interactive build, version, tests, reviewers, rights manifest</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Track exactly what was published</w:t>
            </w:r>
          </w:p>
        </w:tc>
      </w:tr>
    </w:tbl>
    <w:p>
      <w:pPr>
        <w:spacing w:after="20"/>
      </w:pPr>
    </w:p>
    <w:p>
      <w:pPr>
        <w:pStyle w:val="Heading2"/>
      </w:pPr>
      <w:r>
        <w:t>10.2 Store events; derive snapshots</w:t>
      </w:r>
    </w:p>
    <w:p>
      <w:r>
        <w:rPr>
          <w:i w:val="0"/>
        </w:rPr>
        <w:t>For learning data, preserve a history of events and derive the current state from a model version. This makes a recommendation debuggable and allows a new model to be evaluated on old evidence. Corrections and data deletion requests require explicit data-governance rules; event immutability must not become an excuse to retain personal data indefinitely.</w:t>
      </w:r>
    </w:p>
    <w:p>
      <w:pPr>
        <w:pStyle w:val="Heading2"/>
      </w:pPr>
      <w:r>
        <w:t>10.3 Sample API surface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shd w:fill="16324F"/>
            <w:vAlign w:val="center"/>
            <w:tcMar>
              <w:top w:w="90" w:type="dxa"/>
              <w:start w:w="100" w:type="dxa"/>
              <w:bottom w:w="90" w:type="dxa"/>
              <w:end w:w="100" w:type="dxa"/>
            </w:tcMar>
          </w:tcPr>
          <w:p>
            <w:pPr>
              <w:spacing w:after="0"/>
            </w:pPr>
            <w:r>
              <w:rPr>
                <w:b/>
                <w:color w:val="FFFFFF"/>
                <w:sz w:val="16"/>
              </w:rPr>
              <w:t>Endpoint concept</w:t>
            </w:r>
          </w:p>
        </w:tc>
        <w:tc>
          <w:tcPr>
            <w:tcW w:type="dxa" w:w="2498"/>
            <w:shd w:fill="16324F"/>
            <w:vAlign w:val="center"/>
            <w:tcMar>
              <w:top w:w="90" w:type="dxa"/>
              <w:start w:w="100" w:type="dxa"/>
              <w:bottom w:w="90" w:type="dxa"/>
              <w:end w:w="100" w:type="dxa"/>
            </w:tcMar>
          </w:tcPr>
          <w:p>
            <w:pPr>
              <w:spacing w:after="0"/>
            </w:pPr>
            <w:r>
              <w:rPr>
                <w:b/>
                <w:color w:val="FFFFFF"/>
                <w:sz w:val="16"/>
              </w:rPr>
              <w:t>Verb</w:t>
            </w:r>
          </w:p>
        </w:tc>
        <w:tc>
          <w:tcPr>
            <w:tcW w:type="dxa" w:w="2498"/>
            <w:shd w:fill="16324F"/>
            <w:vAlign w:val="center"/>
            <w:tcMar>
              <w:top w:w="90" w:type="dxa"/>
              <w:start w:w="100" w:type="dxa"/>
              <w:bottom w:w="90" w:type="dxa"/>
              <w:end w:w="100" w:type="dxa"/>
            </w:tcMar>
          </w:tcPr>
          <w:p>
            <w:pPr>
              <w:spacing w:after="0"/>
            </w:pPr>
            <w:r>
              <w:rPr>
                <w:b/>
                <w:color w:val="FFFFFF"/>
                <w:sz w:val="16"/>
              </w:rPr>
              <w:t>Purpose</w:t>
            </w:r>
          </w:p>
        </w:tc>
        <w:tc>
          <w:tcPr>
            <w:tcW w:type="dxa" w:w="2498"/>
            <w:shd w:fill="16324F"/>
            <w:vAlign w:val="center"/>
            <w:tcMar>
              <w:top w:w="90" w:type="dxa"/>
              <w:start w:w="100" w:type="dxa"/>
              <w:bottom w:w="90" w:type="dxa"/>
              <w:end w:w="100" w:type="dxa"/>
            </w:tcMar>
          </w:tcPr>
          <w:p>
            <w:pPr>
              <w:spacing w:after="0"/>
            </w:pPr>
            <w:r>
              <w:rPr>
                <w:b/>
                <w:color w:val="FFFFFF"/>
                <w:sz w:val="16"/>
              </w:rPr>
              <w:t>Required controls</w:t>
            </w:r>
          </w:p>
        </w:tc>
      </w:tr>
      <w:tr>
        <w:tc>
          <w:tcPr>
            <w:tcW w:type="dxa" w:w="2498"/>
            <w:vAlign w:val="center"/>
            <w:tcMar>
              <w:top w:w="90" w:type="dxa"/>
              <w:start w:w="100" w:type="dxa"/>
              <w:bottom w:w="90" w:type="dxa"/>
              <w:end w:w="100" w:type="dxa"/>
            </w:tcMar>
          </w:tcPr>
          <w:p>
            <w:pPr>
              <w:spacing w:after="0" w:line="240" w:lineRule="auto"/>
            </w:pPr>
            <w:r>
              <w:rPr>
                <w:color w:val="243447"/>
                <w:sz w:val="16"/>
              </w:rPr>
              <w:t>/api/v1/questions</w:t>
            </w:r>
          </w:p>
        </w:tc>
        <w:tc>
          <w:tcPr>
            <w:tcW w:type="dxa" w:w="2498"/>
            <w:vAlign w:val="center"/>
            <w:tcMar>
              <w:top w:w="90" w:type="dxa"/>
              <w:start w:w="100" w:type="dxa"/>
              <w:bottom w:w="90" w:type="dxa"/>
              <w:end w:w="100" w:type="dxa"/>
            </w:tcMar>
          </w:tcPr>
          <w:p>
            <w:pPr>
              <w:spacing w:after="0" w:line="240" w:lineRule="auto"/>
            </w:pPr>
            <w:r>
              <w:rPr>
                <w:color w:val="243447"/>
                <w:sz w:val="16"/>
              </w:rPr>
              <w:t>GET</w:t>
            </w:r>
          </w:p>
        </w:tc>
        <w:tc>
          <w:tcPr>
            <w:tcW w:type="dxa" w:w="2498"/>
            <w:vAlign w:val="center"/>
            <w:tcMar>
              <w:top w:w="90" w:type="dxa"/>
              <w:start w:w="100" w:type="dxa"/>
              <w:bottom w:w="90" w:type="dxa"/>
              <w:end w:w="100" w:type="dxa"/>
            </w:tcMar>
          </w:tcPr>
          <w:p>
            <w:pPr>
              <w:spacing w:after="0" w:line="240" w:lineRule="auto"/>
            </w:pPr>
            <w:r>
              <w:rPr>
                <w:color w:val="243447"/>
                <w:sz w:val="16"/>
              </w:rPr>
              <w:t>Search/filter permitted question records</w:t>
            </w:r>
          </w:p>
        </w:tc>
        <w:tc>
          <w:tcPr>
            <w:tcW w:type="dxa" w:w="2498"/>
            <w:vAlign w:val="center"/>
            <w:tcMar>
              <w:top w:w="90" w:type="dxa"/>
              <w:start w:w="100" w:type="dxa"/>
              <w:bottom w:w="90" w:type="dxa"/>
              <w:end w:w="100" w:type="dxa"/>
            </w:tcMar>
          </w:tcPr>
          <w:p>
            <w:pPr>
              <w:spacing w:after="0" w:line="240" w:lineRule="auto"/>
            </w:pPr>
            <w:r>
              <w:rPr>
                <w:color w:val="243447"/>
                <w:sz w:val="16"/>
              </w:rPr>
              <w:t>Role-based access; rights-aware fields</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/api/v1/questions/{id}/solution</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POST</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Run supported solver family</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Typed input, solver allowlist, time/resource limits</w:t>
            </w:r>
          </w:p>
        </w:tc>
      </w:tr>
      <w:tr>
        <w:tc>
          <w:tcPr>
            <w:tcW w:type="dxa" w:w="2498"/>
            <w:vAlign w:val="center"/>
            <w:tcMar>
              <w:top w:w="90" w:type="dxa"/>
              <w:start w:w="100" w:type="dxa"/>
              <w:bottom w:w="90" w:type="dxa"/>
              <w:end w:w="100" w:type="dxa"/>
            </w:tcMar>
          </w:tcPr>
          <w:p>
            <w:pPr>
              <w:spacing w:after="0" w:line="240" w:lineRule="auto"/>
            </w:pPr>
            <w:r>
              <w:rPr>
                <w:color w:val="243447"/>
                <w:sz w:val="16"/>
              </w:rPr>
              <w:t>/api/v1/learner-events</w:t>
            </w:r>
          </w:p>
        </w:tc>
        <w:tc>
          <w:tcPr>
            <w:tcW w:type="dxa" w:w="2498"/>
            <w:vAlign w:val="center"/>
            <w:tcMar>
              <w:top w:w="90" w:type="dxa"/>
              <w:start w:w="100" w:type="dxa"/>
              <w:bottom w:w="90" w:type="dxa"/>
              <w:end w:w="100" w:type="dxa"/>
            </w:tcMar>
          </w:tcPr>
          <w:p>
            <w:pPr>
              <w:spacing w:after="0" w:line="240" w:lineRule="auto"/>
            </w:pPr>
            <w:r>
              <w:rPr>
                <w:color w:val="243447"/>
                <w:sz w:val="16"/>
              </w:rPr>
              <w:t>POST</w:t>
            </w:r>
          </w:p>
        </w:tc>
        <w:tc>
          <w:tcPr>
            <w:tcW w:type="dxa" w:w="2498"/>
            <w:vAlign w:val="center"/>
            <w:tcMar>
              <w:top w:w="90" w:type="dxa"/>
              <w:start w:w="100" w:type="dxa"/>
              <w:bottom w:w="90" w:type="dxa"/>
              <w:end w:w="100" w:type="dxa"/>
            </w:tcMar>
          </w:tcPr>
          <w:p>
            <w:pPr>
              <w:spacing w:after="0" w:line="240" w:lineRule="auto"/>
            </w:pPr>
            <w:r>
              <w:rPr>
                <w:color w:val="243447"/>
                <w:sz w:val="16"/>
              </w:rPr>
              <w:t>Record response or practice event</w:t>
            </w:r>
          </w:p>
        </w:tc>
        <w:tc>
          <w:tcPr>
            <w:tcW w:type="dxa" w:w="2498"/>
            <w:vAlign w:val="center"/>
            <w:tcMar>
              <w:top w:w="90" w:type="dxa"/>
              <w:start w:w="100" w:type="dxa"/>
              <w:bottom w:w="90" w:type="dxa"/>
              <w:end w:w="100" w:type="dxa"/>
            </w:tcMar>
          </w:tcPr>
          <w:p>
            <w:pPr>
              <w:spacing w:after="0" w:line="240" w:lineRule="auto"/>
            </w:pPr>
            <w:r>
              <w:rPr>
                <w:color w:val="243447"/>
                <w:sz w:val="16"/>
              </w:rPr>
              <w:t>Authentication, data minimisation, validation, abuse limits</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/api/v1/recommendations/next</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GET</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Return next practice recommendation</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Model version, explanation, uncertainty, teacher override</w:t>
            </w:r>
          </w:p>
        </w:tc>
      </w:tr>
      <w:tr>
        <w:tc>
          <w:tcPr>
            <w:tcW w:type="dxa" w:w="2498"/>
            <w:vAlign w:val="center"/>
            <w:tcMar>
              <w:top w:w="90" w:type="dxa"/>
              <w:start w:w="100" w:type="dxa"/>
              <w:bottom w:w="90" w:type="dxa"/>
              <w:end w:w="100" w:type="dxa"/>
            </w:tcMar>
          </w:tcPr>
          <w:p>
            <w:pPr>
              <w:spacing w:after="0" w:line="240" w:lineRule="auto"/>
            </w:pPr>
            <w:r>
              <w:rPr>
                <w:color w:val="243447"/>
                <w:sz w:val="16"/>
              </w:rPr>
              <w:t>/api/v1/lessons/{id}/preview</w:t>
            </w:r>
          </w:p>
        </w:tc>
        <w:tc>
          <w:tcPr>
            <w:tcW w:type="dxa" w:w="2498"/>
            <w:vAlign w:val="center"/>
            <w:tcMar>
              <w:top w:w="90" w:type="dxa"/>
              <w:start w:w="100" w:type="dxa"/>
              <w:bottom w:w="90" w:type="dxa"/>
              <w:end w:w="100" w:type="dxa"/>
            </w:tcMar>
          </w:tcPr>
          <w:p>
            <w:pPr>
              <w:spacing w:after="0" w:line="240" w:lineRule="auto"/>
            </w:pPr>
            <w:r>
              <w:rPr>
                <w:color w:val="243447"/>
                <w:sz w:val="16"/>
              </w:rPr>
              <w:t>POST</w:t>
            </w:r>
          </w:p>
        </w:tc>
        <w:tc>
          <w:tcPr>
            <w:tcW w:type="dxa" w:w="2498"/>
            <w:vAlign w:val="center"/>
            <w:tcMar>
              <w:top w:w="90" w:type="dxa"/>
              <w:start w:w="100" w:type="dxa"/>
              <w:bottom w:w="90" w:type="dxa"/>
              <w:end w:w="100" w:type="dxa"/>
            </w:tcMar>
          </w:tcPr>
          <w:p>
            <w:pPr>
              <w:spacing w:after="0" w:line="240" w:lineRule="auto"/>
            </w:pPr>
            <w:r>
              <w:rPr>
                <w:color w:val="243447"/>
                <w:sz w:val="16"/>
              </w:rPr>
              <w:t>Build a preview from a validated scene spec</w:t>
            </w:r>
          </w:p>
        </w:tc>
        <w:tc>
          <w:tcPr>
            <w:tcW w:type="dxa" w:w="2498"/>
            <w:vAlign w:val="center"/>
            <w:tcMar>
              <w:top w:w="90" w:type="dxa"/>
              <w:start w:w="100" w:type="dxa"/>
              <w:bottom w:w="90" w:type="dxa"/>
              <w:end w:w="100" w:type="dxa"/>
            </w:tcMar>
          </w:tcPr>
          <w:p>
            <w:pPr>
              <w:spacing w:after="0" w:line="240" w:lineRule="auto"/>
            </w:pPr>
            <w:r>
              <w:rPr>
                <w:color w:val="243447"/>
                <w:sz w:val="16"/>
              </w:rPr>
              <w:t>Sandboxed render, job status, resource caps</w:t>
            </w:r>
          </w:p>
        </w:tc>
      </w:tr>
      <w:tr>
        <w:tc>
          <w:tcPr>
            <w:tcW w:type="dxa" w:w="2498"/>
            <w:vAlign w:val="center"/>
            <w:tcMar>
              <w:top w:w="90" w:type="dxa"/>
              <w:start w:w="100" w:type="dxa"/>
              <w:bottom w:w="90" w:type="dxa"/>
              <w:end w:w="100" w:type="dxa"/>
            </w:tcMar>
            <w:shd w:fill="F2F6F9"/>
          </w:tcPr>
          <w:p>
            <w:pPr>
              <w:spacing w:after="0" w:line="240" w:lineRule="auto"/>
            </w:pPr>
            <w:r>
              <w:rPr>
                <w:color w:val="243447"/>
                <w:sz w:val="16"/>
              </w:rPr>
              <w:t>/api/v1/releases/{id}/approve</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POST</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Approve a reviewed content release</w:t>
            </w:r>
          </w:p>
        </w:tc>
        <w:tc>
          <w:tcPr>
            <w:tcW w:type="dxa" w:w="2498"/>
            <w:vAlign w:val="center"/>
            <w:tcMar>
              <w:top w:w="90" w:type="dxa"/>
              <w:start w:w="100" w:type="dxa"/>
              <w:bottom w:w="90" w:type="dxa"/>
              <w:end w:w="100" w:type="dxa"/>
            </w:tcMar>
            <w:shd w:fill="F2F6F9"/>
          </w:tcPr>
          <w:p>
            <w:pPr>
              <w:spacing w:after="0" w:line="240" w:lineRule="auto"/>
            </w:pPr>
            <w:r>
              <w:rPr>
                <w:color w:val="243447"/>
                <w:sz w:val="16"/>
              </w:rPr>
              <w:t>Explicit role and audit trail</w:t>
            </w:r>
          </w:p>
        </w:tc>
      </w:tr>
    </w:tbl>
    <w:p>
      <w:pPr>
        <w:spacing w:after="20"/>
      </w:pPr>
    </w:p>
    <w:p>
      <w:pPr>
        <w:pStyle w:val="Heading2"/>
      </w:pPr>
      <w:r>
        <w:t>10.4 Native boundary between C# and C++</w:t>
      </w:r>
    </w:p>
    <w:p>
      <w:r>
        <w:rPr>
          <w:i w:val="0"/>
        </w:rPr>
        <w:t>Keep the native interface narrow. Prefer plain numeric buffers, enums, explicit lengths, and error codes over passing complex C# objects into unmanaged code. Wrap native calls behind a C# interface so unit tests can substitute a fake implementation. If computations are long-running, memory-heavy, or untrusted, prefer process/service isolation over in-process FFI. Profile before choosing.</w:t>
      </w:r>
    </w:p>
    <w:p>
      <w:pPr>
        <w:pStyle w:val="Heading2"/>
      </w:pPr>
      <w:r>
        <w:t>10.5 Errors are part of the contract</w:t>
      </w:r>
    </w:p>
    <w:p>
      <w:pPr>
        <w:pStyle w:val="ListBullet"/>
        <w:spacing w:after="40"/>
      </w:pPr>
      <w:r>
        <w:t>Invalid model inputs: return a typed validation error; do not guess silently.</w:t>
      </w:r>
    </w:p>
    <w:p>
      <w:pPr>
        <w:pStyle w:val="ListBullet"/>
        <w:spacing w:after="40"/>
      </w:pPr>
      <w:r>
        <w:t>Unsupported problem family: explain what is unsupported and send to manual solving.</w:t>
      </w:r>
    </w:p>
    <w:p>
      <w:pPr>
        <w:pStyle w:val="ListBullet"/>
        <w:spacing w:after="40"/>
      </w:pPr>
      <w:r>
        <w:t>Numerical instability: return a warning, bounds or failed status, and diagnostics.</w:t>
      </w:r>
    </w:p>
    <w:p>
      <w:pPr>
        <w:pStyle w:val="ListBullet"/>
        <w:spacing w:after="40"/>
      </w:pPr>
      <w:r>
        <w:t>Timeout: stop the job and preserve a trace identifier.</w:t>
      </w:r>
    </w:p>
    <w:p>
      <w:pPr>
        <w:pStyle w:val="ListBullet"/>
        <w:spacing w:after="40"/>
      </w:pPr>
      <w:r>
        <w:t>Conflicting sources: retain both values and request review.</w:t>
      </w:r>
    </w:p>
    <w:p>
      <w:pPr>
        <w:pStyle w:val="ListBullet"/>
        <w:spacing w:after="40"/>
      </w:pPr>
      <w:r>
        <w:t>Rights unknown: block public release, not necessarily private metadata work.</w:t>
      </w:r>
    </w:p>
    <w:p>
      <w:pPr>
        <w:pStyle w:val="Heading1"/>
      </w:pPr>
      <w:r>
        <w:t>11. Codespaces repository and developer workflow</w:t>
      </w:r>
    </w:p>
    <w:p>
      <w:pPr>
        <w:pStyle w:val="Heading2"/>
      </w:pPr>
      <w:r>
        <w:t>11.1 Suggested monorepo</w:t>
      </w:r>
    </w:p>
    <w:p>
      <w:pPr>
        <w:pStyle w:val="CodeBlock"/>
        <w:keepLines/>
        <w:shd w:fill="F3F6F9"/>
      </w:pPr>
      <w:r>
        <w:t>saem-edtech/</w:t>
      </w:r>
    </w:p>
    <w:p>
      <w:pPr>
        <w:pStyle w:val="CodeBlock"/>
        <w:keepLines/>
        <w:shd w:fill="F3F6F9"/>
      </w:pPr>
      <w:r>
        <w:t xml:space="preserve">  .devcontainer/</w:t>
      </w:r>
    </w:p>
    <w:p>
      <w:pPr>
        <w:pStyle w:val="CodeBlock"/>
        <w:keepLines/>
        <w:shd w:fill="F3F6F9"/>
      </w:pPr>
      <w:r>
        <w:t xml:space="preserve">    devcontainer.json</w:t>
      </w:r>
    </w:p>
    <w:p>
      <w:pPr>
        <w:pStyle w:val="CodeBlock"/>
        <w:keepLines/>
        <w:shd w:fill="F3F6F9"/>
      </w:pPr>
      <w:r>
        <w:t xml:space="preserve">  apps/</w:t>
      </w:r>
    </w:p>
    <w:p>
      <w:pPr>
        <w:pStyle w:val="CodeBlock"/>
        <w:keepLines/>
        <w:shd w:fill="F3F6F9"/>
      </w:pPr>
      <w:r>
        <w:t xml:space="preserve">    student-ui/              # Python-in-browser UI + JS/TS graphics adapters</w:t>
      </w:r>
    </w:p>
    <w:p>
      <w:pPr>
        <w:pStyle w:val="CodeBlock"/>
        <w:keepLines/>
        <w:shd w:fill="F3F6F9"/>
      </w:pPr>
      <w:r>
        <w:t xml:space="preserve">    teacher-studio/           # lesson authoring and review</w:t>
      </w:r>
    </w:p>
    <w:p>
      <w:pPr>
        <w:pStyle w:val="CodeBlock"/>
        <w:keepLines/>
        <w:shd w:fill="F3F6F9"/>
      </w:pPr>
      <w:r>
        <w:t xml:space="preserve">  services/</w:t>
      </w:r>
    </w:p>
    <w:p>
      <w:pPr>
        <w:pStyle w:val="CodeBlock"/>
        <w:keepLines/>
        <w:shd w:fill="F3F6F9"/>
      </w:pPr>
      <w:r>
        <w:t xml:space="preserve">    platform-api/             # C# / ASP.NET Core</w:t>
      </w:r>
    </w:p>
    <w:p>
      <w:pPr>
        <w:pStyle w:val="CodeBlock"/>
        <w:keepLines/>
        <w:shd w:fill="F3F6F9"/>
      </w:pPr>
      <w:r>
        <w:t xml:space="preserve">    learning-engine/          # C# model interface and baseline models</w:t>
      </w:r>
    </w:p>
    <w:p>
      <w:pPr>
        <w:pStyle w:val="CodeBlock"/>
        <w:keepLines/>
        <w:shd w:fill="F3F6F9"/>
      </w:pPr>
      <w:r>
        <w:t xml:space="preserve">    content-service/          # source, rights, questions, concepts</w:t>
      </w:r>
    </w:p>
    <w:p>
      <w:pPr>
        <w:pStyle w:val="CodeBlock"/>
        <w:keepLines/>
        <w:shd w:fill="F3F6F9"/>
      </w:pPr>
      <w:r>
        <w:t xml:space="preserve">  engines/</w:t>
      </w:r>
    </w:p>
    <w:p>
      <w:pPr>
        <w:pStyle w:val="CodeBlock"/>
        <w:keepLines/>
        <w:shd w:fill="F3F6F9"/>
      </w:pPr>
      <w:r>
        <w:t xml:space="preserve">    scientific-cpp/           # C++ solvers, C ABI, numerical tests</w:t>
      </w:r>
    </w:p>
    <w:p>
      <w:pPr>
        <w:pStyle w:val="CodeBlock"/>
        <w:keepLines/>
        <w:shd w:fill="F3F6F9"/>
      </w:pPr>
      <w:r>
        <w:t xml:space="preserve">    visual-compiler/          # scene IR validator and compiler orchestration</w:t>
      </w:r>
    </w:p>
    <w:p>
      <w:pPr>
        <w:pStyle w:val="CodeBlock"/>
        <w:keepLines/>
        <w:shd w:fill="F3F6F9"/>
      </w:pPr>
      <w:r>
        <w:t xml:space="preserve">  renderers/</w:t>
      </w:r>
    </w:p>
    <w:p>
      <w:pPr>
        <w:pStyle w:val="CodeBlock"/>
        <w:keepLines/>
        <w:shd w:fill="F3F6F9"/>
      </w:pPr>
      <w:r>
        <w:t xml:space="preserve">    manim-tooling/            # optional isolated build-time tool, not runtime API</w:t>
      </w:r>
    </w:p>
    <w:p>
      <w:pPr>
        <w:pStyle w:val="CodeBlock"/>
        <w:keepLines/>
        <w:shd w:fill="F3F6F9"/>
      </w:pPr>
      <w:r>
        <w:t xml:space="preserve">    web-graphics/             # TS Canvas/WebGL/WebGPU components</w:t>
      </w:r>
    </w:p>
    <w:p>
      <w:pPr>
        <w:pStyle w:val="CodeBlock"/>
        <w:keepLines/>
        <w:shd w:fill="F3F6F9"/>
      </w:pPr>
      <w:r>
        <w:t xml:space="preserve">  knowledge/</w:t>
      </w:r>
    </w:p>
    <w:p>
      <w:pPr>
        <w:pStyle w:val="CodeBlock"/>
        <w:keepLines/>
        <w:shd w:fill="F3F6F9"/>
      </w:pPr>
      <w:r>
        <w:t xml:space="preserve">    concepts/                 # reviewed concept records</w:t>
      </w:r>
    </w:p>
    <w:p>
      <w:pPr>
        <w:pStyle w:val="CodeBlock"/>
        <w:keepLines/>
        <w:shd w:fill="F3F6F9"/>
      </w:pPr>
      <w:r>
        <w:t xml:space="preserve">    questions/                # curated fixtures only; respect rights</w:t>
      </w:r>
    </w:p>
    <w:p>
      <w:pPr>
        <w:pStyle w:val="CodeBlock"/>
        <w:keepLines/>
        <w:shd w:fill="F3F6F9"/>
      </w:pPr>
      <w:r>
        <w:t xml:space="preserve">    schemas/                  # JSON Schema / OpenAPI specifications</w:t>
      </w:r>
    </w:p>
    <w:p>
      <w:pPr>
        <w:pStyle w:val="CodeBlock"/>
        <w:keepLines/>
        <w:shd w:fill="F3F6F9"/>
      </w:pPr>
      <w:r>
        <w:t xml:space="preserve">  research/</w:t>
      </w:r>
    </w:p>
    <w:p>
      <w:pPr>
        <w:pStyle w:val="CodeBlock"/>
        <w:keepLines/>
        <w:shd w:fill="F3F6F9"/>
      </w:pPr>
      <w:r>
        <w:t xml:space="preserve">    quantum-cognition/         # paper notes, hypotheses, experiments</w:t>
      </w:r>
    </w:p>
    <w:p>
      <w:pPr>
        <w:pStyle w:val="CodeBlock"/>
        <w:keepLines/>
        <w:shd w:fill="F3F6F9"/>
      </w:pPr>
      <w:r>
        <w:t xml:space="preserve">    evaluations/              # protocols and model comparison reports</w:t>
      </w:r>
    </w:p>
    <w:p>
      <w:pPr>
        <w:pStyle w:val="CodeBlock"/>
        <w:keepLines/>
        <w:shd w:fill="F3F6F9"/>
      </w:pPr>
      <w:r>
        <w:t xml:space="preserve">  tests/</w:t>
      </w:r>
    </w:p>
    <w:p>
      <w:pPr>
        <w:pStyle w:val="CodeBlock"/>
        <w:keepLines/>
        <w:shd w:fill="F3F6F9"/>
      </w:pPr>
      <w:r>
        <w:t xml:space="preserve">    integration/</w:t>
      </w:r>
    </w:p>
    <w:p>
      <w:pPr>
        <w:pStyle w:val="CodeBlock"/>
        <w:keepLines/>
        <w:shd w:fill="F3F6F9"/>
      </w:pPr>
      <w:r>
        <w:t xml:space="preserve">    fixtures/</w:t>
      </w:r>
    </w:p>
    <w:p>
      <w:pPr>
        <w:pStyle w:val="CodeBlock"/>
        <w:keepLines/>
        <w:shd w:fill="F3F6F9"/>
      </w:pPr>
      <w:r>
        <w:t xml:space="preserve">  infra/</w:t>
      </w:r>
    </w:p>
    <w:p>
      <w:pPr>
        <w:pStyle w:val="CodeBlock"/>
        <w:keepLines/>
        <w:shd w:fill="F3F6F9"/>
      </w:pPr>
      <w:r>
        <w:t xml:space="preserve">    docker/</w:t>
      </w:r>
    </w:p>
    <w:p>
      <w:pPr>
        <w:pStyle w:val="CodeBlock"/>
        <w:keepLines/>
        <w:shd w:fill="F3F6F9"/>
      </w:pPr>
      <w:r>
        <w:t xml:space="preserve">    scripts/</w:t>
      </w:r>
    </w:p>
    <w:p>
      <w:pPr>
        <w:pStyle w:val="CodeBlock"/>
        <w:keepLines/>
        <w:shd w:fill="F3F6F9"/>
      </w:pPr>
      <w:r>
        <w:t xml:space="preserve">  docs/</w:t>
      </w:r>
    </w:p>
    <w:p>
      <w:pPr>
        <w:pStyle w:val="CodeBlock"/>
        <w:keepLines/>
        <w:shd w:fill="F3F6F9"/>
      </w:pPr>
      <w:r>
        <w:t xml:space="preserve">    architecture/ decisions/ runbooks/ book-notes/</w:t>
      </w:r>
    </w:p>
    <w:p>
      <w:pPr>
        <w:pStyle w:val="CodeBlock"/>
        <w:keepLines/>
        <w:shd w:fill="F3F6F9"/>
      </w:pPr>
      <w:r>
        <w:t xml:space="preserve">  .github/workflows/</w:t>
      </w:r>
    </w:p>
    <w:p>
      <w:pPr>
        <w:pStyle w:val="CodeBlock"/>
        <w:keepLines/>
        <w:shd w:fill="F3F6F9"/>
      </w:pPr>
      <w:r>
        <w:t xml:space="preserve">  README.md</w:t>
      </w:r>
    </w:p>
    <w:p>
      <w:pPr>
        <w:pStyle w:val="Heading2"/>
      </w:pPr>
      <w:r>
        <w:t>11.2 Branching and pull requests</w:t>
      </w:r>
    </w:p>
    <w:p>
      <w:pPr>
        <w:pStyle w:val="ListBullet"/>
        <w:spacing w:after="40"/>
      </w:pPr>
      <w:r>
        <w:t>Every change starts with an issue describing behavior and acceptance tests.</w:t>
      </w:r>
    </w:p>
    <w:p>
      <w:pPr>
        <w:pStyle w:val="ListBullet"/>
        <w:spacing w:after="40"/>
      </w:pPr>
      <w:r>
        <w:t>Use small pull requests; require at least one relevant reviewer for scientific model, data schema, or security changes.</w:t>
      </w:r>
    </w:p>
    <w:p>
      <w:pPr>
        <w:pStyle w:val="ListBullet"/>
        <w:spacing w:after="40"/>
      </w:pPr>
      <w:r>
        <w:t>Run formatters, lint, unit tests, schema validation, and static checks in CI.</w:t>
      </w:r>
    </w:p>
    <w:p>
      <w:pPr>
        <w:pStyle w:val="ListBullet"/>
        <w:spacing w:after="40"/>
      </w:pPr>
      <w:r>
        <w:t>Require a rendered demo artifact for visual/compiler changes when feasible.</w:t>
      </w:r>
    </w:p>
    <w:p>
      <w:pPr>
        <w:pStyle w:val="ListBullet"/>
        <w:spacing w:after="40"/>
      </w:pPr>
      <w:r>
        <w:t>Record architectural decisions in short ADRs: context, decision, alternatives, consequences, date.</w:t>
      </w:r>
    </w:p>
    <w:p>
      <w:pPr>
        <w:pStyle w:val="ListBullet"/>
        <w:spacing w:after="40"/>
      </w:pPr>
      <w:r>
        <w:t>Never auto-merge generated solution content directly into the approved knowledge base.</w:t>
      </w:r>
    </w:p>
    <w:p>
      <w:pPr>
        <w:pStyle w:val="Heading2"/>
      </w:pPr>
      <w:r>
        <w:t>11.3 Environment setup and reproducibility</w:t>
      </w:r>
    </w:p>
    <w:p>
      <w:r>
        <w:rPr>
          <w:i w:val="0"/>
        </w:rPr>
        <w:t>The devcontainer should build a development environment from declared dependencies. Keep application configuration in environment variables or a local ignored file. Seed the database with synthetic demo data. Add a smoke test that checks the API responds, the C++ engine loads, and the sample mechanics question returns a verified result. If a component cannot run inside Codespaces, document the exact alternate command and why.</w:t>
      </w:r>
    </w:p>
    <w:p>
      <w:pPr>
        <w:pStyle w:val="Heading2"/>
      </w:pPr>
      <w:r>
        <w:t>11.4 Continuous integration stages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Stage</w:t>
            </w:r>
          </w:p>
        </w:tc>
        <w:tc>
          <w:tcPr>
            <w:tcW w:type="dxa" w:w="3331"/>
            <w:shd w:fill="16324F"/>
            <w:vAlign w:val="center"/>
            <w:tcMar>
              <w:top w:w="90" w:type="dxa"/>
              <w:start w:w="100" w:type="dxa"/>
              <w:bottom w:w="90" w:type="dxa"/>
              <w:end w:w="100" w:type="dxa"/>
            </w:tcMar>
          </w:tcPr>
          <w:p>
            <w:pPr>
              <w:spacing w:after="0"/>
            </w:pPr>
            <w:r>
              <w:rPr>
                <w:b/>
                <w:color w:val="FFFFFF"/>
                <w:sz w:val="16"/>
              </w:rPr>
              <w:t>Must run quickly</w:t>
            </w:r>
          </w:p>
        </w:tc>
        <w:tc>
          <w:tcPr>
            <w:tcW w:type="dxa" w:w="3331"/>
            <w:shd w:fill="16324F"/>
            <w:vAlign w:val="center"/>
            <w:tcMar>
              <w:top w:w="90" w:type="dxa"/>
              <w:start w:w="100" w:type="dxa"/>
              <w:bottom w:w="90" w:type="dxa"/>
              <w:end w:w="100" w:type="dxa"/>
            </w:tcMar>
          </w:tcPr>
          <w:p>
            <w:pPr>
              <w:spacing w:after="0"/>
            </w:pPr>
            <w:r>
              <w:rPr>
                <w:b/>
                <w:color w:val="FFFFFF"/>
                <w:sz w:val="16"/>
              </w:rPr>
              <w:t>Can run separately</w:t>
            </w:r>
          </w:p>
        </w:tc>
      </w:tr>
      <w:tr>
        <w:tc>
          <w:tcPr>
            <w:tcW w:type="dxa" w:w="3331"/>
            <w:vAlign w:val="center"/>
            <w:tcMar>
              <w:top w:w="90" w:type="dxa"/>
              <w:start w:w="100" w:type="dxa"/>
              <w:bottom w:w="90" w:type="dxa"/>
              <w:end w:w="100" w:type="dxa"/>
            </w:tcMar>
          </w:tcPr>
          <w:p>
            <w:pPr>
              <w:spacing w:after="0" w:line="240" w:lineRule="auto"/>
            </w:pPr>
            <w:r>
              <w:rPr>
                <w:color w:val="243447"/>
                <w:sz w:val="16"/>
              </w:rPr>
              <w:t>Pull request</w:t>
            </w:r>
          </w:p>
        </w:tc>
        <w:tc>
          <w:tcPr>
            <w:tcW w:type="dxa" w:w="3331"/>
            <w:vAlign w:val="center"/>
            <w:tcMar>
              <w:top w:w="90" w:type="dxa"/>
              <w:start w:w="100" w:type="dxa"/>
              <w:bottom w:w="90" w:type="dxa"/>
              <w:end w:w="100" w:type="dxa"/>
            </w:tcMar>
          </w:tcPr>
          <w:p>
            <w:pPr>
              <w:spacing w:after="0" w:line="240" w:lineRule="auto"/>
            </w:pPr>
            <w:r>
              <w:rPr>
                <w:color w:val="243447"/>
                <w:sz w:val="16"/>
              </w:rPr>
              <w:t>Formatting, linting, unit tests, schema checks, C++ compile, API contract checks</w:t>
            </w:r>
          </w:p>
        </w:tc>
        <w:tc>
          <w:tcPr>
            <w:tcW w:type="dxa" w:w="3331"/>
            <w:vAlign w:val="center"/>
            <w:tcMar>
              <w:top w:w="90" w:type="dxa"/>
              <w:start w:w="100" w:type="dxa"/>
              <w:bottom w:w="90" w:type="dxa"/>
              <w:end w:w="100" w:type="dxa"/>
            </w:tcMar>
          </w:tcPr>
          <w:p>
            <w:pPr>
              <w:spacing w:after="0" w:line="240" w:lineRule="auto"/>
            </w:pPr>
            <w:r>
              <w:rPr>
                <w:color w:val="243447"/>
                <w:sz w:val="16"/>
              </w:rPr>
              <w:t>Small visual regression render if feasible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Nightly / scheduled</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Property-based and broader numeric tests; dependency audit</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Longer render regression; benchmark suite</w:t>
            </w:r>
          </w:p>
        </w:tc>
      </w:tr>
      <w:tr>
        <w:tc>
          <w:tcPr>
            <w:tcW w:type="dxa" w:w="3331"/>
            <w:vAlign w:val="center"/>
            <w:tcMar>
              <w:top w:w="90" w:type="dxa"/>
              <w:start w:w="100" w:type="dxa"/>
              <w:bottom w:w="90" w:type="dxa"/>
              <w:end w:w="100" w:type="dxa"/>
            </w:tcMar>
          </w:tcPr>
          <w:p>
            <w:pPr>
              <w:spacing w:after="0" w:line="240" w:lineRule="auto"/>
            </w:pPr>
            <w:r>
              <w:rPr>
                <w:color w:val="243447"/>
                <w:sz w:val="16"/>
              </w:rPr>
              <w:t>Release candidate</w:t>
            </w:r>
          </w:p>
        </w:tc>
        <w:tc>
          <w:tcPr>
            <w:tcW w:type="dxa" w:w="3331"/>
            <w:vAlign w:val="center"/>
            <w:tcMar>
              <w:top w:w="90" w:type="dxa"/>
              <w:start w:w="100" w:type="dxa"/>
              <w:bottom w:w="90" w:type="dxa"/>
              <w:end w:w="100" w:type="dxa"/>
            </w:tcMar>
          </w:tcPr>
          <w:p>
            <w:pPr>
              <w:spacing w:after="0" w:line="240" w:lineRule="auto"/>
            </w:pPr>
            <w:r>
              <w:rPr>
                <w:color w:val="243447"/>
                <w:sz w:val="16"/>
              </w:rPr>
              <w:t>Full integration tests, migration test, security review, rights manifest check</w:t>
            </w:r>
          </w:p>
        </w:tc>
        <w:tc>
          <w:tcPr>
            <w:tcW w:type="dxa" w:w="3331"/>
            <w:vAlign w:val="center"/>
            <w:tcMar>
              <w:top w:w="90" w:type="dxa"/>
              <w:start w:w="100" w:type="dxa"/>
              <w:bottom w:w="90" w:type="dxa"/>
              <w:end w:w="100" w:type="dxa"/>
            </w:tcMar>
          </w:tcPr>
          <w:p>
            <w:pPr>
              <w:spacing w:after="0" w:line="240" w:lineRule="auto"/>
            </w:pPr>
            <w:r>
              <w:rPr>
                <w:color w:val="243447"/>
                <w:sz w:val="16"/>
              </w:rPr>
              <w:t>End-to-end video build and final human playback</w:t>
            </w:r>
          </w:p>
        </w:tc>
      </w:tr>
    </w:tbl>
    <w:p>
      <w:pPr>
        <w:spacing w:after="20"/>
      </w:pPr>
    </w:p>
    <w:p>
      <w:pPr>
        <w:pStyle w:val="Heading1"/>
      </w:pPr>
      <w:r>
        <w:t>12. The first vertical slice: JEE Advanced mechanics</w:t>
      </w:r>
    </w:p>
    <w:p>
      <w:pPr>
        <w:pStyle w:val="Heading2"/>
      </w:pPr>
      <w:r>
        <w:t>12.1 Define a narrow, demonstrable flow</w:t>
      </w:r>
    </w:p>
    <w:p>
      <w:r>
        <w:rPr>
          <w:i w:val="0"/>
        </w:rPr>
        <w:t>The first end-to-end milestone should use one synthetic example and then a small, rights-cleared curated set. It is intended to validate the system, not to claim the entire exam archive is ready.</w:t>
      </w:r>
    </w:p>
    <w:p>
      <w:pPr>
        <w:pStyle w:val="ListNumber"/>
        <w:spacing w:after="40"/>
      </w:pPr>
      <w:r>
        <w:t>Teacher adds a mechanics question with metadata and source/rights status.</w:t>
      </w:r>
    </w:p>
    <w:p>
      <w:pPr>
        <w:pStyle w:val="ListNumber"/>
        <w:spacing w:after="40"/>
      </w:pPr>
      <w:r>
        <w:t>The editor selects “constant acceleration in one dimension” as the problem family.</w:t>
      </w:r>
    </w:p>
    <w:p>
      <w:pPr>
        <w:pStyle w:val="ListNumber"/>
        <w:spacing w:after="40"/>
      </w:pPr>
      <w:r>
        <w:t>The solver validates the parameters, calculates position/velocity, and emits a verification report.</w:t>
      </w:r>
    </w:p>
    <w:p>
      <w:pPr>
        <w:pStyle w:val="ListNumber"/>
        <w:spacing w:after="40"/>
      </w:pPr>
      <w:r>
        <w:t>The concept mapper links the problem to position, velocity, acceleration, and kinematics; each link has a review state.</w:t>
      </w:r>
    </w:p>
    <w:p>
      <w:pPr>
        <w:pStyle w:val="ListNumber"/>
        <w:spacing w:after="40"/>
      </w:pPr>
      <w:r>
        <w:t>The lesson planner produces a short explanation and a scene specification referencing the verified model.</w:t>
      </w:r>
    </w:p>
    <w:p>
      <w:pPr>
        <w:pStyle w:val="ListNumber"/>
        <w:spacing w:after="40"/>
      </w:pPr>
      <w:r>
        <w:t>The renderer creates a low-resolution preview with graph, moving time marker, and result.</w:t>
      </w:r>
    </w:p>
    <w:p>
      <w:pPr>
        <w:pStyle w:val="ListNumber"/>
        <w:spacing w:after="40"/>
      </w:pPr>
      <w:r>
        <w:t>A teacher reviews the math, assumptions, captions, and visual timing.</w:t>
      </w:r>
    </w:p>
    <w:p>
      <w:pPr>
        <w:pStyle w:val="ListNumber"/>
        <w:spacing w:after="40"/>
      </w:pPr>
      <w:r>
        <w:t>The teacher approves the lesson bundle; tests, source metadata, and artifact versions are stored together.</w:t>
      </w:r>
    </w:p>
    <w:p>
      <w:pPr>
        <w:pStyle w:val="Heading2"/>
      </w:pPr>
      <w:r>
        <w:t>12.2 A test fixture</w:t>
      </w:r>
    </w:p>
    <w:p>
      <w:r>
        <w:rPr>
          <w:i w:val="0"/>
        </w:rPr>
        <w:t>Synthetic example: x₀ = 2 m, v₀ = 3 m/s, a = 2 m/s², t = 4 s. Then x = 2 + 3(4) + ½(2)(4²) = 30 m and v = 3 + 2(4) = 11 m/s. Mark this as synthetic demonstration data, not an actual JEE Advanced question.</w:t>
      </w:r>
    </w:p>
    <w:p>
      <w:pPr>
        <w:pStyle w:val="Heading2"/>
      </w:pPr>
      <w:r>
        <w:t>12.3 First deliverables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vAlign w:val="center"/>
            <w:tcMar>
              <w:top w:w="90" w:type="dxa"/>
              <w:start w:w="100" w:type="dxa"/>
              <w:bottom w:w="90" w:type="dxa"/>
              <w:end w:w="100" w:type="dxa"/>
            </w:tcMar>
          </w:tcPr>
          <w:p>
            <w:pPr>
              <w:spacing w:after="0"/>
            </w:pPr>
            <w:r>
              <w:rPr>
                <w:b/>
                <w:color w:val="FFFFFF"/>
                <w:sz w:val="16"/>
              </w:rPr>
              <w:t>Deliverable</w:t>
            </w:r>
          </w:p>
        </w:tc>
        <w:tc>
          <w:tcPr>
            <w:tcW w:type="dxa" w:w="4997"/>
            <w:shd w:fill="16324F"/>
            <w:vAlign w:val="center"/>
            <w:tcMar>
              <w:top w:w="90" w:type="dxa"/>
              <w:start w:w="100" w:type="dxa"/>
              <w:bottom w:w="90" w:type="dxa"/>
              <w:end w:w="100" w:type="dxa"/>
            </w:tcMar>
          </w:tcPr>
          <w:p>
            <w:pPr>
              <w:spacing w:after="0"/>
            </w:pPr>
            <w:r>
              <w:rPr>
                <w:b/>
                <w:color w:val="FFFFFF"/>
                <w:sz w:val="16"/>
              </w:rPr>
              <w:t>Acceptance criterion</w:t>
            </w:r>
          </w:p>
        </w:tc>
      </w:tr>
      <w:tr>
        <w:tc>
          <w:tcPr>
            <w:tcW w:type="dxa" w:w="4997"/>
            <w:vAlign w:val="center"/>
            <w:tcMar>
              <w:top w:w="90" w:type="dxa"/>
              <w:start w:w="100" w:type="dxa"/>
              <w:bottom w:w="90" w:type="dxa"/>
              <w:end w:w="100" w:type="dxa"/>
            </w:tcMar>
          </w:tcPr>
          <w:p>
            <w:pPr>
              <w:spacing w:after="0" w:line="240" w:lineRule="auto"/>
            </w:pPr>
            <w:r>
              <w:rPr>
                <w:color w:val="243447"/>
                <w:sz w:val="16"/>
              </w:rPr>
              <w:t>Question schema</w:t>
            </w:r>
          </w:p>
        </w:tc>
        <w:tc>
          <w:tcPr>
            <w:tcW w:type="dxa" w:w="4997"/>
            <w:vAlign w:val="center"/>
            <w:tcMar>
              <w:top w:w="90" w:type="dxa"/>
              <w:start w:w="100" w:type="dxa"/>
              <w:bottom w:w="90" w:type="dxa"/>
              <w:end w:w="100" w:type="dxa"/>
            </w:tcMar>
          </w:tcPr>
          <w:p>
            <w:pPr>
              <w:spacing w:after="0" w:line="240" w:lineRule="auto"/>
            </w:pPr>
            <w:r>
              <w:rPr>
                <w:color w:val="243447"/>
                <w:sz w:val="16"/>
              </w:rPr>
              <w:t>Rejects missing units, invalid values, and unknown fields where strictness is required</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Mechanics solver</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Returns correct values on hand-checked cases and independent tests</w:t>
            </w:r>
          </w:p>
        </w:tc>
      </w:tr>
      <w:tr>
        <w:tc>
          <w:tcPr>
            <w:tcW w:type="dxa" w:w="4997"/>
            <w:vAlign w:val="center"/>
            <w:tcMar>
              <w:top w:w="90" w:type="dxa"/>
              <w:start w:w="100" w:type="dxa"/>
              <w:bottom w:w="90" w:type="dxa"/>
              <w:end w:w="100" w:type="dxa"/>
            </w:tcMar>
          </w:tcPr>
          <w:p>
            <w:pPr>
              <w:spacing w:after="0" w:line="240" w:lineRule="auto"/>
            </w:pPr>
            <w:r>
              <w:rPr>
                <w:color w:val="243447"/>
                <w:sz w:val="16"/>
              </w:rPr>
              <w:t>Verification report</w:t>
            </w:r>
          </w:p>
        </w:tc>
        <w:tc>
          <w:tcPr>
            <w:tcW w:type="dxa" w:w="4997"/>
            <w:vAlign w:val="center"/>
            <w:tcMar>
              <w:top w:w="90" w:type="dxa"/>
              <w:start w:w="100" w:type="dxa"/>
              <w:bottom w:w="90" w:type="dxa"/>
              <w:end w:w="100" w:type="dxa"/>
            </w:tcMar>
          </w:tcPr>
          <w:p>
            <w:pPr>
              <w:spacing w:after="0" w:line="240" w:lineRule="auto"/>
            </w:pPr>
            <w:r>
              <w:rPr>
                <w:color w:val="243447"/>
                <w:sz w:val="16"/>
              </w:rPr>
              <w:t>Reports each check individually; no generic “proven correct” label</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Concept records</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At least 10 reviewed concepts with prerequisites and misconceptions</w:t>
            </w:r>
          </w:p>
        </w:tc>
      </w:tr>
      <w:tr>
        <w:tc>
          <w:tcPr>
            <w:tcW w:type="dxa" w:w="4997"/>
            <w:vAlign w:val="center"/>
            <w:tcMar>
              <w:top w:w="90" w:type="dxa"/>
              <w:start w:w="100" w:type="dxa"/>
              <w:bottom w:w="90" w:type="dxa"/>
              <w:end w:w="100" w:type="dxa"/>
            </w:tcMar>
          </w:tcPr>
          <w:p>
            <w:pPr>
              <w:spacing w:after="0" w:line="240" w:lineRule="auto"/>
            </w:pPr>
            <w:r>
              <w:rPr>
                <w:color w:val="243447"/>
                <w:sz w:val="16"/>
              </w:rPr>
              <w:t>Lesson IR</w:t>
            </w:r>
          </w:p>
        </w:tc>
        <w:tc>
          <w:tcPr>
            <w:tcW w:type="dxa" w:w="4997"/>
            <w:vAlign w:val="center"/>
            <w:tcMar>
              <w:top w:w="90" w:type="dxa"/>
              <w:start w:w="100" w:type="dxa"/>
              <w:bottom w:w="90" w:type="dxa"/>
              <w:end w:w="100" w:type="dxa"/>
            </w:tcMar>
          </w:tcPr>
          <w:p>
            <w:pPr>
              <w:spacing w:after="0" w:line="240" w:lineRule="auto"/>
            </w:pPr>
            <w:r>
              <w:rPr>
                <w:color w:val="243447"/>
                <w:sz w:val="16"/>
              </w:rPr>
              <w:t>Schema-validated and independent of one rendering library</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Visual preview</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Labels, axes, units, result, and time parameter all agree with the model</w:t>
            </w:r>
          </w:p>
        </w:tc>
      </w:tr>
      <w:tr>
        <w:tc>
          <w:tcPr>
            <w:tcW w:type="dxa" w:w="4997"/>
            <w:vAlign w:val="center"/>
            <w:tcMar>
              <w:top w:w="90" w:type="dxa"/>
              <w:start w:w="100" w:type="dxa"/>
              <w:bottom w:w="90" w:type="dxa"/>
              <w:end w:w="100" w:type="dxa"/>
            </w:tcMar>
          </w:tcPr>
          <w:p>
            <w:pPr>
              <w:spacing w:after="0" w:line="240" w:lineRule="auto"/>
            </w:pPr>
            <w:r>
              <w:rPr>
                <w:color w:val="243447"/>
                <w:sz w:val="16"/>
              </w:rPr>
              <w:t>Teacher review</w:t>
            </w:r>
          </w:p>
        </w:tc>
        <w:tc>
          <w:tcPr>
            <w:tcW w:type="dxa" w:w="4997"/>
            <w:vAlign w:val="center"/>
            <w:tcMar>
              <w:top w:w="90" w:type="dxa"/>
              <w:start w:w="100" w:type="dxa"/>
              <w:bottom w:w="90" w:type="dxa"/>
              <w:end w:w="100" w:type="dxa"/>
            </w:tcMar>
          </w:tcPr>
          <w:p>
            <w:pPr>
              <w:spacing w:after="0" w:line="240" w:lineRule="auto"/>
            </w:pPr>
            <w:r>
              <w:rPr>
                <w:color w:val="243447"/>
                <w:sz w:val="16"/>
              </w:rPr>
              <w:t>Records reviewer, date, version, corrections, and release decision</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Reproducibility</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A fresh Codespace can run tests and build the same demonstration bundle</w:t>
            </w:r>
          </w:p>
        </w:tc>
      </w:tr>
    </w:tbl>
    <w:p>
      <w:pPr>
        <w:spacing w:after="20"/>
      </w:pPr>
    </w:p>
    <w:p>
      <w:pPr>
        <w:pStyle w:val="Heading2"/>
      </w:pPr>
      <w:r>
        <w:t>12.4 Deliberate non-goals for this milestone</w:t>
      </w:r>
    </w:p>
    <w:p>
      <w:pPr>
        <w:pStyle w:val="ListBullet"/>
        <w:spacing w:after="40"/>
      </w:pPr>
      <w:r>
        <w:t>No automatic ingestion of decades of question papers.</w:t>
      </w:r>
    </w:p>
    <w:p>
      <w:pPr>
        <w:pStyle w:val="ListBullet"/>
        <w:spacing w:after="40"/>
      </w:pPr>
      <w:r>
        <w:t>No student-level predictive model trained on real learner data before consent and evaluation design.</w:t>
      </w:r>
    </w:p>
    <w:p>
      <w:pPr>
        <w:pStyle w:val="ListBullet"/>
        <w:spacing w:after="40"/>
      </w:pPr>
      <w:r>
        <w:t>No quantum-cognition production feature.</w:t>
      </w:r>
    </w:p>
    <w:p>
      <w:pPr>
        <w:pStyle w:val="ListBullet"/>
        <w:spacing w:after="40"/>
      </w:pPr>
      <w:r>
        <w:t>No automatic publication.</w:t>
      </w:r>
    </w:p>
    <w:p>
      <w:pPr>
        <w:pStyle w:val="ListBullet"/>
        <w:spacing w:after="40"/>
      </w:pPr>
      <w:r>
        <w:t>No claim of universal physics verification.</w:t>
      </w:r>
    </w:p>
    <w:p>
      <w:pPr>
        <w:pStyle w:val="ListBullet"/>
        <w:spacing w:after="40"/>
      </w:pPr>
      <w:r>
        <w:t>No requirement to create a fully interactive 3D environment before a 2D graph lesson is correct.</w:t>
      </w:r>
    </w:p>
    <w:p>
      <w:pPr>
        <w:pStyle w:val="Heading1"/>
      </w:pPr>
      <w:r>
        <w:t>13. Evaluation, metrics, and release gates</w:t>
      </w:r>
    </w:p>
    <w:p>
      <w:pPr>
        <w:pStyle w:val="Heading2"/>
      </w:pPr>
      <w:r>
        <w:t>13.1 Score the whole system, not just the model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Dimension</w:t>
            </w:r>
          </w:p>
        </w:tc>
        <w:tc>
          <w:tcPr>
            <w:tcW w:type="dxa" w:w="3331"/>
            <w:shd w:fill="16324F"/>
            <w:vAlign w:val="center"/>
            <w:tcMar>
              <w:top w:w="90" w:type="dxa"/>
              <w:start w:w="100" w:type="dxa"/>
              <w:bottom w:w="90" w:type="dxa"/>
              <w:end w:w="100" w:type="dxa"/>
            </w:tcMar>
          </w:tcPr>
          <w:p>
            <w:pPr>
              <w:spacing w:after="0"/>
            </w:pPr>
            <w:r>
              <w:rPr>
                <w:b/>
                <w:color w:val="FFFFFF"/>
                <w:sz w:val="16"/>
              </w:rPr>
              <w:t>Metrics and tests</w:t>
            </w:r>
          </w:p>
        </w:tc>
        <w:tc>
          <w:tcPr>
            <w:tcW w:type="dxa" w:w="3331"/>
            <w:shd w:fill="16324F"/>
            <w:vAlign w:val="center"/>
            <w:tcMar>
              <w:top w:w="90" w:type="dxa"/>
              <w:start w:w="100" w:type="dxa"/>
              <w:bottom w:w="90" w:type="dxa"/>
              <w:end w:w="100" w:type="dxa"/>
            </w:tcMar>
          </w:tcPr>
          <w:p>
            <w:pPr>
              <w:spacing w:after="0"/>
            </w:pPr>
            <w:r>
              <w:rPr>
                <w:b/>
                <w:color w:val="FFFFFF"/>
                <w:sz w:val="16"/>
              </w:rPr>
              <w:t>Example release gate</w:t>
            </w:r>
          </w:p>
        </w:tc>
      </w:tr>
      <w:tr>
        <w:tc>
          <w:tcPr>
            <w:tcW w:type="dxa" w:w="3331"/>
            <w:vAlign w:val="center"/>
            <w:tcMar>
              <w:top w:w="90" w:type="dxa"/>
              <w:start w:w="100" w:type="dxa"/>
              <w:bottom w:w="90" w:type="dxa"/>
              <w:end w:w="100" w:type="dxa"/>
            </w:tcMar>
          </w:tcPr>
          <w:p>
            <w:pPr>
              <w:spacing w:after="0" w:line="240" w:lineRule="auto"/>
            </w:pPr>
            <w:r>
              <w:rPr>
                <w:color w:val="243447"/>
                <w:sz w:val="16"/>
              </w:rPr>
              <w:t>Scientific accuracy</w:t>
            </w:r>
          </w:p>
        </w:tc>
        <w:tc>
          <w:tcPr>
            <w:tcW w:type="dxa" w:w="3331"/>
            <w:vAlign w:val="center"/>
            <w:tcMar>
              <w:top w:w="90" w:type="dxa"/>
              <w:start w:w="100" w:type="dxa"/>
              <w:bottom w:w="90" w:type="dxa"/>
              <w:end w:w="100" w:type="dxa"/>
            </w:tcMar>
          </w:tcPr>
          <w:p>
            <w:pPr>
              <w:spacing w:after="0" w:line="240" w:lineRule="auto"/>
            </w:pPr>
            <w:r>
              <w:rPr>
                <w:color w:val="243447"/>
                <w:sz w:val="16"/>
              </w:rPr>
              <w:t>Benchmark answer agreement, units, invariant and limiting-case tests, independent method checks</w:t>
            </w:r>
          </w:p>
        </w:tc>
        <w:tc>
          <w:tcPr>
            <w:tcW w:type="dxa" w:w="3331"/>
            <w:vAlign w:val="center"/>
            <w:tcMar>
              <w:top w:w="90" w:type="dxa"/>
              <w:start w:w="100" w:type="dxa"/>
              <w:bottom w:w="90" w:type="dxa"/>
              <w:end w:w="100" w:type="dxa"/>
            </w:tcMar>
          </w:tcPr>
          <w:p>
            <w:pPr>
              <w:spacing w:after="0" w:line="240" w:lineRule="auto"/>
            </w:pPr>
            <w:r>
              <w:rPr>
                <w:color w:val="243447"/>
                <w:sz w:val="16"/>
              </w:rPr>
              <w:t>No unresolved critical correctness failure in the reviewed test suite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Pedagogical usefulness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Pre/post concept checks, transfer question, delayed retention, teacher/student review</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Pilot shows a predeclared improvement or identifies the revision needed</w:t>
            </w:r>
          </w:p>
        </w:tc>
      </w:tr>
      <w:tr>
        <w:tc>
          <w:tcPr>
            <w:tcW w:type="dxa" w:w="3331"/>
            <w:vAlign w:val="center"/>
            <w:tcMar>
              <w:top w:w="90" w:type="dxa"/>
              <w:start w:w="100" w:type="dxa"/>
              <w:bottom w:w="90" w:type="dxa"/>
              <w:end w:w="100" w:type="dxa"/>
            </w:tcMar>
          </w:tcPr>
          <w:p>
            <w:pPr>
              <w:spacing w:after="0" w:line="240" w:lineRule="auto"/>
            </w:pPr>
            <w:r>
              <w:rPr>
                <w:color w:val="243447"/>
                <w:sz w:val="16"/>
              </w:rPr>
              <w:t>Question mapping</w:t>
            </w:r>
          </w:p>
        </w:tc>
        <w:tc>
          <w:tcPr>
            <w:tcW w:type="dxa" w:w="3331"/>
            <w:vAlign w:val="center"/>
            <w:tcMar>
              <w:top w:w="90" w:type="dxa"/>
              <w:start w:w="100" w:type="dxa"/>
              <w:bottom w:w="90" w:type="dxa"/>
              <w:end w:w="100" w:type="dxa"/>
            </w:tcMar>
          </w:tcPr>
          <w:p>
            <w:pPr>
              <w:spacing w:after="0" w:line="240" w:lineRule="auto"/>
            </w:pPr>
            <w:r>
              <w:rPr>
                <w:color w:val="243447"/>
                <w:sz w:val="16"/>
              </w:rPr>
              <w:t>Teacher agreement on primary concepts, prerequisite links, misconception tags</w:t>
            </w:r>
          </w:p>
        </w:tc>
        <w:tc>
          <w:tcPr>
            <w:tcW w:type="dxa" w:w="3331"/>
            <w:vAlign w:val="center"/>
            <w:tcMar>
              <w:top w:w="90" w:type="dxa"/>
              <w:start w:w="100" w:type="dxa"/>
              <w:bottom w:w="90" w:type="dxa"/>
              <w:end w:w="100" w:type="dxa"/>
            </w:tcMar>
          </w:tcPr>
          <w:p>
            <w:pPr>
              <w:spacing w:after="0" w:line="240" w:lineRule="auto"/>
            </w:pPr>
            <w:r>
              <w:rPr>
                <w:color w:val="243447"/>
                <w:sz w:val="16"/>
              </w:rPr>
              <w:t>Quality reported by family and confidence band, not one global average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Cognitive prediction</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Log loss, Brier score, calibration, subgroup analysis, sparse-history tests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Beats or offers a justified trade-off against a simple baseline</w:t>
            </w:r>
          </w:p>
        </w:tc>
      </w:tr>
      <w:tr>
        <w:tc>
          <w:tcPr>
            <w:tcW w:type="dxa" w:w="3331"/>
            <w:vAlign w:val="center"/>
            <w:tcMar>
              <w:top w:w="90" w:type="dxa"/>
              <w:start w:w="100" w:type="dxa"/>
              <w:bottom w:w="90" w:type="dxa"/>
              <w:end w:w="100" w:type="dxa"/>
            </w:tcMar>
          </w:tcPr>
          <w:p>
            <w:pPr>
              <w:spacing w:after="0" w:line="240" w:lineRule="auto"/>
            </w:pPr>
            <w:r>
              <w:rPr>
                <w:color w:val="243447"/>
                <w:sz w:val="16"/>
              </w:rPr>
              <w:t>Visual quality</w:t>
            </w:r>
          </w:p>
        </w:tc>
        <w:tc>
          <w:tcPr>
            <w:tcW w:type="dxa" w:w="3331"/>
            <w:vAlign w:val="center"/>
            <w:tcMar>
              <w:top w:w="90" w:type="dxa"/>
              <w:start w:w="100" w:type="dxa"/>
              <w:bottom w:w="90" w:type="dxa"/>
              <w:end w:w="100" w:type="dxa"/>
            </w:tcMar>
          </w:tcPr>
          <w:p>
            <w:pPr>
              <w:spacing w:after="0" w:line="240" w:lineRule="auto"/>
            </w:pPr>
            <w:r>
              <w:rPr>
                <w:color w:val="243447"/>
                <w:sz w:val="16"/>
              </w:rPr>
              <w:t>Label correctness, readability, timing, clipping, audio/caption sync, regression render</w:t>
            </w:r>
          </w:p>
        </w:tc>
        <w:tc>
          <w:tcPr>
            <w:tcW w:type="dxa" w:w="3331"/>
            <w:vAlign w:val="center"/>
            <w:tcMar>
              <w:top w:w="90" w:type="dxa"/>
              <w:start w:w="100" w:type="dxa"/>
              <w:bottom w:w="90" w:type="dxa"/>
              <w:end w:w="100" w:type="dxa"/>
            </w:tcMar>
          </w:tcPr>
          <w:p>
            <w:pPr>
              <w:spacing w:after="0" w:line="240" w:lineRule="auto"/>
            </w:pPr>
            <w:r>
              <w:rPr>
                <w:color w:val="243447"/>
                <w:sz w:val="16"/>
              </w:rPr>
              <w:t>All mandatory visual assertions pass and teacher approves the preview</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Engineering reliability</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Build success, latency, error rates, reproducibility, migration tests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A new Codespace can execute the main path from documented commands</w:t>
            </w:r>
          </w:p>
        </w:tc>
      </w:tr>
      <w:tr>
        <w:tc>
          <w:tcPr>
            <w:tcW w:type="dxa" w:w="3331"/>
            <w:vAlign w:val="center"/>
            <w:tcMar>
              <w:top w:w="90" w:type="dxa"/>
              <w:start w:w="100" w:type="dxa"/>
              <w:bottom w:w="90" w:type="dxa"/>
              <w:end w:w="100" w:type="dxa"/>
            </w:tcMar>
          </w:tcPr>
          <w:p>
            <w:pPr>
              <w:spacing w:after="0" w:line="240" w:lineRule="auto"/>
            </w:pPr>
            <w:r>
              <w:rPr>
                <w:color w:val="243447"/>
                <w:sz w:val="16"/>
              </w:rPr>
              <w:t>Governance</w:t>
            </w:r>
          </w:p>
        </w:tc>
        <w:tc>
          <w:tcPr>
            <w:tcW w:type="dxa" w:w="3331"/>
            <w:vAlign w:val="center"/>
            <w:tcMar>
              <w:top w:w="90" w:type="dxa"/>
              <w:start w:w="100" w:type="dxa"/>
              <w:bottom w:w="90" w:type="dxa"/>
              <w:end w:w="100" w:type="dxa"/>
            </w:tcMar>
          </w:tcPr>
          <w:p>
            <w:pPr>
              <w:spacing w:after="0" w:line="240" w:lineRule="auto"/>
            </w:pPr>
            <w:r>
              <w:rPr>
                <w:color w:val="243447"/>
                <w:sz w:val="16"/>
              </w:rPr>
              <w:t>Rights completeness, audit coverage, privacy review, deletion/retention behavior</w:t>
            </w:r>
          </w:p>
        </w:tc>
        <w:tc>
          <w:tcPr>
            <w:tcW w:type="dxa" w:w="3331"/>
            <w:vAlign w:val="center"/>
            <w:tcMar>
              <w:top w:w="90" w:type="dxa"/>
              <w:start w:w="100" w:type="dxa"/>
              <w:bottom w:w="90" w:type="dxa"/>
              <w:end w:w="100" w:type="dxa"/>
            </w:tcMar>
          </w:tcPr>
          <w:p>
            <w:pPr>
              <w:spacing w:after="0" w:line="240" w:lineRule="auto"/>
            </w:pPr>
            <w:r>
              <w:rPr>
                <w:color w:val="243447"/>
                <w:sz w:val="16"/>
              </w:rPr>
              <w:t>No public release with unknown rights or missing approval</w:t>
            </w:r>
          </w:p>
        </w:tc>
      </w:tr>
    </w:tbl>
    <w:p>
      <w:pPr>
        <w:spacing w:after="20"/>
      </w:pPr>
    </w:p>
    <w:p>
      <w:pPr>
        <w:pStyle w:val="Heading2"/>
      </w:pPr>
      <w:r>
        <w:t>13.2 Prefer educational outcomes over vanity metrics</w:t>
      </w:r>
    </w:p>
    <w:p>
      <w:r>
        <w:rPr>
          <w:i w:val="0"/>
        </w:rPr>
        <w:t>Views, session length, number of generated videos, and number of ingested questions are operational indicators. They are not direct measures of learning. Prefer transfer to an unseen problem, retention after a delay, appropriate strategy selection, fewer recurring misconceptions, and calibrated confidence. Use a comparison group or within-learner design when a causal claim is intended; avoid drawing strong conclusions from uncontrolled before-and-after observations.</w:t>
      </w:r>
    </w:p>
    <w:p>
      <w:pPr>
        <w:pStyle w:val="Heading2"/>
      </w:pPr>
      <w:r>
        <w:t>13.3 Prevent evaluation leakage</w:t>
      </w:r>
    </w:p>
    <w:p>
      <w:pPr>
        <w:pStyle w:val="ListBullet"/>
        <w:spacing w:after="40"/>
      </w:pPr>
      <w:r>
        <w:t>Split by learner and time for learner-outcome prediction; do not let the same learner’s future events enter training.</w:t>
      </w:r>
    </w:p>
    <w:p>
      <w:pPr>
        <w:pStyle w:val="ListBullet"/>
        <w:spacing w:after="40"/>
      </w:pPr>
      <w:r>
        <w:t>Cluster duplicate and near-duplicate questions before splitting.</w:t>
      </w:r>
    </w:p>
    <w:p>
      <w:pPr>
        <w:pStyle w:val="ListBullet"/>
        <w:spacing w:after="40"/>
      </w:pPr>
      <w:r>
        <w:t>Keep official solution text out of model input where it would leak the answer into a benchmark.</w:t>
      </w:r>
    </w:p>
    <w:p>
      <w:pPr>
        <w:pStyle w:val="ListBullet"/>
        <w:spacing w:after="40"/>
      </w:pPr>
      <w:r>
        <w:t>Report performance separately for new learners, short histories, less common concept families, and distinct question styles.</w:t>
      </w:r>
    </w:p>
    <w:p>
      <w:pPr>
        <w:pStyle w:val="ListBullet"/>
        <w:spacing w:after="40"/>
      </w:pPr>
      <w:r>
        <w:t>Preserve a small locked test set for final comparisons.</w:t>
      </w:r>
    </w:p>
    <w:p>
      <w:pPr>
        <w:pStyle w:val="Heading2"/>
      </w:pPr>
      <w:r>
        <w:t>13.4 Human review is a first-class workflow</w:t>
      </w:r>
    </w:p>
    <w:p>
      <w:r>
        <w:rPr>
          <w:i w:val="0"/>
        </w:rPr>
        <w:t>Review is not just a final checkbox. It should capture the exact artifact version, checklist results, reviewer role, corrections, and decision. Critical content should support return-for-revision, reject, approve, and retire actions. A reviewer needs a compact evidence view: source excerpt and rights record, problem statement, assumptions, solver trace, independent checks, scene preview, narration transcript, and known limitations.</w:t>
      </w:r>
    </w:p>
    <w:p>
      <w:pPr>
        <w:pStyle w:val="Heading1"/>
      </w:pPr>
      <w:r>
        <w:t>14. Twelve-month roadmap and risks</w:t>
      </w:r>
    </w:p>
    <w:p>
      <w:pPr>
        <w:pStyle w:val="Heading2"/>
      </w:pPr>
      <w:r>
        <w:t>14.1 Roadmap with evidence gates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Time</w:t>
            </w:r>
          </w:p>
        </w:tc>
        <w:tc>
          <w:tcPr>
            <w:tcW w:type="dxa" w:w="3331"/>
            <w:shd w:fill="16324F"/>
            <w:vAlign w:val="center"/>
            <w:tcMar>
              <w:top w:w="90" w:type="dxa"/>
              <w:start w:w="100" w:type="dxa"/>
              <w:bottom w:w="90" w:type="dxa"/>
              <w:end w:w="100" w:type="dxa"/>
            </w:tcMar>
          </w:tcPr>
          <w:p>
            <w:pPr>
              <w:spacing w:after="0"/>
            </w:pPr>
            <w:r>
              <w:rPr>
                <w:b/>
                <w:color w:val="FFFFFF"/>
                <w:sz w:val="16"/>
              </w:rPr>
              <w:t>Build focus</w:t>
            </w:r>
          </w:p>
        </w:tc>
        <w:tc>
          <w:tcPr>
            <w:tcW w:type="dxa" w:w="3331"/>
            <w:shd w:fill="16324F"/>
            <w:vAlign w:val="center"/>
            <w:tcMar>
              <w:top w:w="90" w:type="dxa"/>
              <w:start w:w="100" w:type="dxa"/>
              <w:bottom w:w="90" w:type="dxa"/>
              <w:end w:w="100" w:type="dxa"/>
            </w:tcMar>
          </w:tcPr>
          <w:p>
            <w:pPr>
              <w:spacing w:after="0"/>
            </w:pPr>
            <w:r>
              <w:rPr>
                <w:b/>
                <w:color w:val="FFFFFF"/>
                <w:sz w:val="16"/>
              </w:rPr>
              <w:t>Evidence required to move forward</w:t>
            </w:r>
          </w:p>
        </w:tc>
      </w:tr>
      <w:tr>
        <w:tc>
          <w:tcPr>
            <w:tcW w:type="dxa" w:w="3331"/>
            <w:vAlign w:val="center"/>
            <w:tcMar>
              <w:top w:w="90" w:type="dxa"/>
              <w:start w:w="100" w:type="dxa"/>
              <w:bottom w:w="90" w:type="dxa"/>
              <w:end w:w="100" w:type="dxa"/>
            </w:tcMar>
          </w:tcPr>
          <w:p>
            <w:pPr>
              <w:spacing w:after="0" w:line="240" w:lineRule="auto"/>
            </w:pPr>
            <w:r>
              <w:rPr>
                <w:color w:val="243447"/>
                <w:sz w:val="16"/>
              </w:rPr>
              <w:t>Month 1</w:t>
            </w:r>
          </w:p>
        </w:tc>
        <w:tc>
          <w:tcPr>
            <w:tcW w:type="dxa" w:w="3331"/>
            <w:vAlign w:val="center"/>
            <w:tcMar>
              <w:top w:w="90" w:type="dxa"/>
              <w:start w:w="100" w:type="dxa"/>
              <w:bottom w:w="90" w:type="dxa"/>
              <w:end w:w="100" w:type="dxa"/>
            </w:tcMar>
          </w:tcPr>
          <w:p>
            <w:pPr>
              <w:spacing w:after="0" w:line="240" w:lineRule="auto"/>
            </w:pPr>
            <w:r>
              <w:rPr>
                <w:color w:val="243447"/>
                <w:sz w:val="16"/>
              </w:rPr>
              <w:t>Repository, devcontainer, schemas, 1D mechanics solver, small tests</w:t>
            </w:r>
          </w:p>
        </w:tc>
        <w:tc>
          <w:tcPr>
            <w:tcW w:type="dxa" w:w="3331"/>
            <w:vAlign w:val="center"/>
            <w:tcMar>
              <w:top w:w="90" w:type="dxa"/>
              <w:start w:w="100" w:type="dxa"/>
              <w:bottom w:w="90" w:type="dxa"/>
              <w:end w:w="100" w:type="dxa"/>
            </w:tcMar>
          </w:tcPr>
          <w:p>
            <w:pPr>
              <w:spacing w:after="0" w:line="240" w:lineRule="auto"/>
            </w:pPr>
            <w:r>
              <w:rPr>
                <w:color w:val="243447"/>
                <w:sz w:val="16"/>
              </w:rPr>
              <w:t>Fresh environment reproduces the synthetic worked example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Months 2–3</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Question/provenance service, concept graph, lesson IR, 1 preview renderer</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Teacher can review one question-to-lesson path end to end</w:t>
            </w:r>
          </w:p>
        </w:tc>
      </w:tr>
      <w:tr>
        <w:tc>
          <w:tcPr>
            <w:tcW w:type="dxa" w:w="3331"/>
            <w:vAlign w:val="center"/>
            <w:tcMar>
              <w:top w:w="90" w:type="dxa"/>
              <w:start w:w="100" w:type="dxa"/>
              <w:bottom w:w="90" w:type="dxa"/>
              <w:end w:w="100" w:type="dxa"/>
            </w:tcMar>
          </w:tcPr>
          <w:p>
            <w:pPr>
              <w:spacing w:after="0" w:line="240" w:lineRule="auto"/>
            </w:pPr>
            <w:r>
              <w:rPr>
                <w:color w:val="243447"/>
                <w:sz w:val="16"/>
              </w:rPr>
              <w:t>Months 4–5</w:t>
            </w:r>
          </w:p>
        </w:tc>
        <w:tc>
          <w:tcPr>
            <w:tcW w:type="dxa" w:w="3331"/>
            <w:vAlign w:val="center"/>
            <w:tcMar>
              <w:top w:w="90" w:type="dxa"/>
              <w:start w:w="100" w:type="dxa"/>
              <w:bottom w:w="90" w:type="dxa"/>
              <w:end w:w="100" w:type="dxa"/>
            </w:tcMar>
          </w:tcPr>
          <w:p>
            <w:pPr>
              <w:spacing w:after="0" w:line="240" w:lineRule="auto"/>
            </w:pPr>
            <w:r>
              <w:rPr>
                <w:color w:val="243447"/>
                <w:sz w:val="16"/>
              </w:rPr>
              <w:t>C# API, roles, persistence, rights-aware review flow</w:t>
            </w:r>
          </w:p>
        </w:tc>
        <w:tc>
          <w:tcPr>
            <w:tcW w:type="dxa" w:w="3331"/>
            <w:vAlign w:val="center"/>
            <w:tcMar>
              <w:top w:w="90" w:type="dxa"/>
              <w:start w:w="100" w:type="dxa"/>
              <w:bottom w:w="90" w:type="dxa"/>
              <w:end w:w="100" w:type="dxa"/>
            </w:tcMar>
          </w:tcPr>
          <w:p>
            <w:pPr>
              <w:spacing w:after="0" w:line="240" w:lineRule="auto"/>
            </w:pPr>
            <w:r>
              <w:rPr>
                <w:color w:val="243447"/>
                <w:sz w:val="16"/>
              </w:rPr>
              <w:t>Question/source/review records survive migrations and are auditable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Months 6–7</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Small teacher pilot, 20–50 reviewed questions in one topic</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Mapping and solution error rates measured; workflow friction documented</w:t>
            </w:r>
          </w:p>
        </w:tc>
      </w:tr>
      <w:tr>
        <w:tc>
          <w:tcPr>
            <w:tcW w:type="dxa" w:w="3331"/>
            <w:vAlign w:val="center"/>
            <w:tcMar>
              <w:top w:w="90" w:type="dxa"/>
              <w:start w:w="100" w:type="dxa"/>
              <w:bottom w:w="90" w:type="dxa"/>
              <w:end w:w="100" w:type="dxa"/>
            </w:tcMar>
          </w:tcPr>
          <w:p>
            <w:pPr>
              <w:spacing w:after="0" w:line="240" w:lineRule="auto"/>
            </w:pPr>
            <w:r>
              <w:rPr>
                <w:color w:val="243447"/>
                <w:sz w:val="16"/>
              </w:rPr>
              <w:t>Months 8–9</w:t>
            </w:r>
          </w:p>
        </w:tc>
        <w:tc>
          <w:tcPr>
            <w:tcW w:type="dxa" w:w="3331"/>
            <w:vAlign w:val="center"/>
            <w:tcMar>
              <w:top w:w="90" w:type="dxa"/>
              <w:start w:w="100" w:type="dxa"/>
              <w:bottom w:w="90" w:type="dxa"/>
              <w:end w:w="100" w:type="dxa"/>
            </w:tcMar>
          </w:tcPr>
          <w:p>
            <w:pPr>
              <w:spacing w:after="0" w:line="240" w:lineRule="auto"/>
            </w:pPr>
            <w:r>
              <w:rPr>
                <w:color w:val="243447"/>
                <w:sz w:val="16"/>
              </w:rPr>
              <w:t>Baseline learner model and spaced review experiments</w:t>
            </w:r>
          </w:p>
        </w:tc>
        <w:tc>
          <w:tcPr>
            <w:tcW w:type="dxa" w:w="3331"/>
            <w:vAlign w:val="center"/>
            <w:tcMar>
              <w:top w:w="90" w:type="dxa"/>
              <w:start w:w="100" w:type="dxa"/>
              <w:bottom w:w="90" w:type="dxa"/>
              <w:end w:w="100" w:type="dxa"/>
            </w:tcMar>
          </w:tcPr>
          <w:p>
            <w:pPr>
              <w:spacing w:after="0" w:line="240" w:lineRule="auto"/>
            </w:pPr>
            <w:r>
              <w:rPr>
                <w:color w:val="243447"/>
                <w:sz w:val="16"/>
              </w:rPr>
              <w:t>Offline evaluation and careful pilot design exist; no unsupported claims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Months 10–12</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Scale to adjacent mechanics families; automate builds and regression tests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Quality remains stable as content volume increases</w:t>
            </w:r>
          </w:p>
        </w:tc>
      </w:tr>
      <w:tr>
        <w:tc>
          <w:tcPr>
            <w:tcW w:type="dxa" w:w="3331"/>
            <w:vAlign w:val="center"/>
            <w:tcMar>
              <w:top w:w="90" w:type="dxa"/>
              <w:start w:w="100" w:type="dxa"/>
              <w:bottom w:w="90" w:type="dxa"/>
              <w:end w:w="100" w:type="dxa"/>
            </w:tcMar>
          </w:tcPr>
          <w:p>
            <w:pPr>
              <w:spacing w:after="0" w:line="240" w:lineRule="auto"/>
            </w:pPr>
            <w:r>
              <w:rPr>
                <w:color w:val="243447"/>
                <w:sz w:val="16"/>
              </w:rPr>
              <w:t>Parallel research</w:t>
            </w:r>
          </w:p>
        </w:tc>
        <w:tc>
          <w:tcPr>
            <w:tcW w:type="dxa" w:w="3331"/>
            <w:vAlign w:val="center"/>
            <w:tcMar>
              <w:top w:w="90" w:type="dxa"/>
              <w:start w:w="100" w:type="dxa"/>
              <w:bottom w:w="90" w:type="dxa"/>
              <w:end w:w="100" w:type="dxa"/>
            </w:tcMar>
          </w:tcPr>
          <w:p>
            <w:pPr>
              <w:spacing w:after="0" w:line="240" w:lineRule="auto"/>
            </w:pPr>
            <w:r>
              <w:rPr>
                <w:color w:val="243447"/>
                <w:sz w:val="16"/>
              </w:rPr>
              <w:t>Quantum cognition hypothesis and benchmark, separated from production</w:t>
            </w:r>
          </w:p>
        </w:tc>
        <w:tc>
          <w:tcPr>
            <w:tcW w:type="dxa" w:w="3331"/>
            <w:vAlign w:val="center"/>
            <w:tcMar>
              <w:top w:w="90" w:type="dxa"/>
              <w:start w:w="100" w:type="dxa"/>
              <w:bottom w:w="90" w:type="dxa"/>
              <w:end w:w="100" w:type="dxa"/>
            </w:tcMar>
          </w:tcPr>
          <w:p>
            <w:pPr>
              <w:spacing w:after="0" w:line="240" w:lineRule="auto"/>
            </w:pPr>
            <w:r>
              <w:rPr>
                <w:color w:val="243447"/>
                <w:sz w:val="16"/>
              </w:rPr>
              <w:t>Reproducible evidence against baseline; otherwise remain experimental</w:t>
            </w:r>
          </w:p>
        </w:tc>
      </w:tr>
    </w:tbl>
    <w:p>
      <w:pPr>
        <w:spacing w:after="20"/>
      </w:pPr>
    </w:p>
    <w:p>
      <w:pPr>
        <w:pStyle w:val="Heading2"/>
      </w:pPr>
      <w:r>
        <w:t>14.2 Principal risks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Risk</w:t>
            </w:r>
          </w:p>
        </w:tc>
        <w:tc>
          <w:tcPr>
            <w:tcW w:type="dxa" w:w="3331"/>
            <w:shd w:fill="16324F"/>
            <w:vAlign w:val="center"/>
            <w:tcMar>
              <w:top w:w="90" w:type="dxa"/>
              <w:start w:w="100" w:type="dxa"/>
              <w:bottom w:w="90" w:type="dxa"/>
              <w:end w:w="100" w:type="dxa"/>
            </w:tcMar>
          </w:tcPr>
          <w:p>
            <w:pPr>
              <w:spacing w:after="0"/>
            </w:pPr>
            <w:r>
              <w:rPr>
                <w:b/>
                <w:color w:val="FFFFFF"/>
                <w:sz w:val="16"/>
              </w:rPr>
              <w:t>Early signal</w:t>
            </w:r>
          </w:p>
        </w:tc>
        <w:tc>
          <w:tcPr>
            <w:tcW w:type="dxa" w:w="3331"/>
            <w:shd w:fill="16324F"/>
            <w:vAlign w:val="center"/>
            <w:tcMar>
              <w:top w:w="90" w:type="dxa"/>
              <w:start w:w="100" w:type="dxa"/>
              <w:bottom w:w="90" w:type="dxa"/>
              <w:end w:w="100" w:type="dxa"/>
            </w:tcMar>
          </w:tcPr>
          <w:p>
            <w:pPr>
              <w:spacing w:after="0"/>
            </w:pPr>
            <w:r>
              <w:rPr>
                <w:b/>
                <w:color w:val="FFFFFF"/>
                <w:sz w:val="16"/>
              </w:rPr>
              <w:t>Mitigation</w:t>
            </w:r>
          </w:p>
        </w:tc>
      </w:tr>
      <w:tr>
        <w:tc>
          <w:tcPr>
            <w:tcW w:type="dxa" w:w="3331"/>
            <w:vAlign w:val="center"/>
            <w:tcMar>
              <w:top w:w="90" w:type="dxa"/>
              <w:start w:w="100" w:type="dxa"/>
              <w:bottom w:w="90" w:type="dxa"/>
              <w:end w:w="100" w:type="dxa"/>
            </w:tcMar>
          </w:tcPr>
          <w:p>
            <w:pPr>
              <w:spacing w:after="0" w:line="240" w:lineRule="auto"/>
            </w:pPr>
            <w:r>
              <w:rPr>
                <w:color w:val="243447"/>
                <w:sz w:val="16"/>
              </w:rPr>
              <w:t>Scope explosion</w:t>
            </w:r>
          </w:p>
        </w:tc>
        <w:tc>
          <w:tcPr>
            <w:tcW w:type="dxa" w:w="3331"/>
            <w:vAlign w:val="center"/>
            <w:tcMar>
              <w:top w:w="90" w:type="dxa"/>
              <w:start w:w="100" w:type="dxa"/>
              <w:bottom w:w="90" w:type="dxa"/>
              <w:end w:w="100" w:type="dxa"/>
            </w:tcMar>
          </w:tcPr>
          <w:p>
            <w:pPr>
              <w:spacing w:after="0" w:line="240" w:lineRule="auto"/>
            </w:pPr>
            <w:r>
              <w:rPr>
                <w:color w:val="243447"/>
                <w:sz w:val="16"/>
              </w:rPr>
              <w:t>Many services before one user flow works</w:t>
            </w:r>
          </w:p>
        </w:tc>
        <w:tc>
          <w:tcPr>
            <w:tcW w:type="dxa" w:w="3331"/>
            <w:vAlign w:val="center"/>
            <w:tcMar>
              <w:top w:w="90" w:type="dxa"/>
              <w:start w:w="100" w:type="dxa"/>
              <w:bottom w:w="90" w:type="dxa"/>
              <w:end w:w="100" w:type="dxa"/>
            </w:tcMar>
          </w:tcPr>
          <w:p>
            <w:pPr>
              <w:spacing w:after="0" w:line="240" w:lineRule="auto"/>
            </w:pPr>
            <w:r>
              <w:rPr>
                <w:color w:val="243447"/>
                <w:sz w:val="16"/>
              </w:rPr>
              <w:t>Require vertical-slice demo for every architectural layer</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Hallucinated or incorrect reasoning</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Polished explanations fail simple edge cases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Typed inputs, multiple checks, clear uncertainty, teacher review</w:t>
            </w:r>
          </w:p>
        </w:tc>
      </w:tr>
      <w:tr>
        <w:tc>
          <w:tcPr>
            <w:tcW w:type="dxa" w:w="3331"/>
            <w:vAlign w:val="center"/>
            <w:tcMar>
              <w:top w:w="90" w:type="dxa"/>
              <w:start w:w="100" w:type="dxa"/>
              <w:bottom w:w="90" w:type="dxa"/>
              <w:end w:w="100" w:type="dxa"/>
            </w:tcMar>
          </w:tcPr>
          <w:p>
            <w:pPr>
              <w:spacing w:after="0" w:line="240" w:lineRule="auto"/>
            </w:pPr>
            <w:r>
              <w:rPr>
                <w:color w:val="243447"/>
                <w:sz w:val="16"/>
              </w:rPr>
              <w:t>Overconfident learner state</w:t>
            </w:r>
          </w:p>
        </w:tc>
        <w:tc>
          <w:tcPr>
            <w:tcW w:type="dxa" w:w="3331"/>
            <w:vAlign w:val="center"/>
            <w:tcMar>
              <w:top w:w="90" w:type="dxa"/>
              <w:start w:w="100" w:type="dxa"/>
              <w:bottom w:w="90" w:type="dxa"/>
              <w:end w:w="100" w:type="dxa"/>
            </w:tcMar>
          </w:tcPr>
          <w:p>
            <w:pPr>
              <w:spacing w:after="0" w:line="240" w:lineRule="auto"/>
            </w:pPr>
            <w:r>
              <w:rPr>
                <w:color w:val="243447"/>
                <w:sz w:val="16"/>
              </w:rPr>
              <w:t>Predictions poorly calibrated or unstable</w:t>
            </w:r>
          </w:p>
        </w:tc>
        <w:tc>
          <w:tcPr>
            <w:tcW w:type="dxa" w:w="3331"/>
            <w:vAlign w:val="center"/>
            <w:tcMar>
              <w:top w:w="90" w:type="dxa"/>
              <w:start w:w="100" w:type="dxa"/>
              <w:bottom w:w="90" w:type="dxa"/>
              <w:end w:w="100" w:type="dxa"/>
            </w:tcMar>
          </w:tcPr>
          <w:p>
            <w:pPr>
              <w:spacing w:after="0" w:line="240" w:lineRule="auto"/>
            </w:pPr>
            <w:r>
              <w:rPr>
                <w:color w:val="243447"/>
                <w:sz w:val="16"/>
              </w:rPr>
              <w:t>Baseline comparisons, calibration monitoring, explanations and override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“Quantum” becomes branding rather than science</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No falsifiable hypothesis or held-out comparison</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Research gates and a classical fallback</w:t>
            </w:r>
          </w:p>
        </w:tc>
      </w:tr>
      <w:tr>
        <w:tc>
          <w:tcPr>
            <w:tcW w:type="dxa" w:w="3331"/>
            <w:vAlign w:val="center"/>
            <w:tcMar>
              <w:top w:w="90" w:type="dxa"/>
              <w:start w:w="100" w:type="dxa"/>
              <w:bottom w:w="90" w:type="dxa"/>
              <w:end w:w="100" w:type="dxa"/>
            </w:tcMar>
          </w:tcPr>
          <w:p>
            <w:pPr>
              <w:spacing w:after="0" w:line="240" w:lineRule="auto"/>
            </w:pPr>
            <w:r>
              <w:rPr>
                <w:color w:val="243447"/>
                <w:sz w:val="16"/>
              </w:rPr>
              <w:t>Question-bank rights problem</w:t>
            </w:r>
          </w:p>
        </w:tc>
        <w:tc>
          <w:tcPr>
            <w:tcW w:type="dxa" w:w="3331"/>
            <w:vAlign w:val="center"/>
            <w:tcMar>
              <w:top w:w="90" w:type="dxa"/>
              <w:start w:w="100" w:type="dxa"/>
              <w:bottom w:w="90" w:type="dxa"/>
              <w:end w:w="100" w:type="dxa"/>
            </w:tcMar>
          </w:tcPr>
          <w:p>
            <w:pPr>
              <w:spacing w:after="0" w:line="240" w:lineRule="auto"/>
            </w:pPr>
            <w:r>
              <w:rPr>
                <w:color w:val="243447"/>
                <w:sz w:val="16"/>
              </w:rPr>
              <w:t>Missing licence records or bulk copying from third-party sites</w:t>
            </w:r>
          </w:p>
        </w:tc>
        <w:tc>
          <w:tcPr>
            <w:tcW w:type="dxa" w:w="3331"/>
            <w:vAlign w:val="center"/>
            <w:tcMar>
              <w:top w:w="90" w:type="dxa"/>
              <w:start w:w="100" w:type="dxa"/>
              <w:bottom w:w="90" w:type="dxa"/>
              <w:end w:w="100" w:type="dxa"/>
            </w:tcMar>
          </w:tcPr>
          <w:p>
            <w:pPr>
              <w:spacing w:after="0" w:line="240" w:lineRule="auto"/>
            </w:pPr>
            <w:r>
              <w:rPr>
                <w:color w:val="243447"/>
                <w:sz w:val="16"/>
              </w:rPr>
              <w:t>Rights ledger, permitted sources, opt-in publication and takedown process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Python UI constraint creates friction</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Slow load or package incompatibility</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Prototype the browser runtime early and isolate graphics in JS/TS modules</w:t>
            </w:r>
          </w:p>
        </w:tc>
      </w:tr>
      <w:tr>
        <w:tc>
          <w:tcPr>
            <w:tcW w:type="dxa" w:w="3331"/>
            <w:vAlign w:val="center"/>
            <w:tcMar>
              <w:top w:w="90" w:type="dxa"/>
              <w:start w:w="100" w:type="dxa"/>
              <w:bottom w:w="90" w:type="dxa"/>
              <w:end w:w="100" w:type="dxa"/>
            </w:tcMar>
          </w:tcPr>
          <w:p>
            <w:pPr>
              <w:spacing w:after="0" w:line="240" w:lineRule="auto"/>
            </w:pPr>
            <w:r>
              <w:rPr>
                <w:color w:val="243447"/>
                <w:sz w:val="16"/>
              </w:rPr>
              <w:t>Rendering cost and failure</w:t>
            </w:r>
          </w:p>
        </w:tc>
        <w:tc>
          <w:tcPr>
            <w:tcW w:type="dxa" w:w="3331"/>
            <w:vAlign w:val="center"/>
            <w:tcMar>
              <w:top w:w="90" w:type="dxa"/>
              <w:start w:w="100" w:type="dxa"/>
              <w:bottom w:w="90" w:type="dxa"/>
              <w:end w:w="100" w:type="dxa"/>
            </w:tcMar>
          </w:tcPr>
          <w:p>
            <w:pPr>
              <w:spacing w:after="0" w:line="240" w:lineRule="auto"/>
            </w:pPr>
            <w:r>
              <w:rPr>
                <w:color w:val="243447"/>
                <w:sz w:val="16"/>
              </w:rPr>
              <w:t>Long video renders block application requests</w:t>
            </w:r>
          </w:p>
        </w:tc>
        <w:tc>
          <w:tcPr>
            <w:tcW w:type="dxa" w:w="3331"/>
            <w:vAlign w:val="center"/>
            <w:tcMar>
              <w:top w:w="90" w:type="dxa"/>
              <w:start w:w="100" w:type="dxa"/>
              <w:bottom w:w="90" w:type="dxa"/>
              <w:end w:w="100" w:type="dxa"/>
            </w:tcMar>
          </w:tcPr>
          <w:p>
            <w:pPr>
              <w:spacing w:after="0" w:line="240" w:lineRule="auto"/>
            </w:pPr>
            <w:r>
              <w:rPr>
                <w:color w:val="243447"/>
                <w:sz w:val="16"/>
              </w:rPr>
              <w:t>Asynchronous build jobs, resource caps, preview renders, retries, queue metrics</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Privacy and minors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Excess data collected or retention unclear</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Data minimisation, pseudonymous IDs, access controls, retention/deletion design</w:t>
            </w:r>
          </w:p>
        </w:tc>
      </w:tr>
    </w:tbl>
    <w:p>
      <w:pPr>
        <w:spacing w:after="20"/>
      </w:pPr>
    </w:p>
    <w:p>
      <w:pPr>
        <w:pStyle w:val="Heading2"/>
      </w:pPr>
      <w:r>
        <w:t>14.3 Make architecture decisions reversible</w:t>
      </w:r>
    </w:p>
    <w:p>
      <w:r>
        <w:rPr>
          <w:i w:val="0"/>
        </w:rPr>
        <w:t>Create adapters around the model provider, solver implementation, renderer, storage service, and learner model. Do not abstract every line of code: abstract only boundaries likely to change or whose failure needs isolation. Keep the scene IR and question schema stable enough to outlive an individual AI provider or renderer.</w:t>
      </w:r>
    </w:p>
    <w:p>
      <w:pPr>
        <w:pStyle w:val="Heading1"/>
      </w:pPr>
      <w:r>
        <w:t>15. How to synthesize the reference books you mentioned</w:t>
      </w:r>
    </w:p>
    <w:tbl>
      <w:tblPr>
        <w:tblW w:type="auto" w:w="0"/>
        <w:jc w:val="center"/>
        <w:tblLook w:firstColumn="1" w:firstRow="1" w:lastColumn="0" w:lastRow="0" w:noHBand="0" w:noVBand="1" w:val="04A0"/>
      </w:tblPr>
      <w:tblGrid>
        <w:gridCol w:w="9994"/>
      </w:tblGrid>
      <w:tr>
        <w:trPr>
          <w:tblHeader w:val="true"/>
        </w:trPr>
        <w:tc>
          <w:tcPr>
            <w:tcW w:type="dxa" w:w="9994"/>
            <w:shd w:fill="EEF5F8"/>
            <w:tcMar>
              <w:top w:w="150" w:type="dxa"/>
              <w:start w:w="180" w:type="dxa"/>
              <w:bottom w:w="150" w:type="dxa"/>
              <w:end w:w="180" w:type="dxa"/>
            </w:tcMar>
          </w:tcPr>
          <w:p>
            <w:pPr>
              <w:spacing w:after="60"/>
            </w:pPr>
            <w:r>
              <w:rPr>
                <w:b/>
                <w:color w:val="176B87"/>
                <w:sz w:val="17"/>
              </w:rPr>
              <w:t>IMPORTANT LIMITATION</w:t>
            </w:r>
          </w:p>
          <w:p>
            <w:pPr>
              <w:spacing w:after="0"/>
            </w:pPr>
            <w:r>
              <w:rPr>
                <w:sz w:val="18"/>
              </w:rPr>
              <w:t>The separate research books you referred to were not present in the accessible workspace for this task. The two available SaemPhysics project documents are useful planning artifacts, but they are not a substitute for reading your intended reference books. Attach the books in this conversation so their ideas can be extracted and cited accurately.</w:t>
            </w:r>
          </w:p>
        </w:tc>
      </w:tr>
    </w:tbl>
    <w:p>
      <w:pPr>
        <w:spacing w:after="20"/>
      </w:pPr>
    </w:p>
    <w:p>
      <w:pPr>
        <w:pStyle w:val="Heading2"/>
      </w:pPr>
      <w:r>
        <w:t>15.1 Book-reading workflow</w:t>
      </w:r>
    </w:p>
    <w:p>
      <w:pPr>
        <w:pStyle w:val="ListNumber"/>
        <w:spacing w:after="40"/>
      </w:pPr>
      <w:r>
        <w:t>Register each book: full title, author/editor, edition, year, publisher, ISBN/DOI or stable identifier, and file hash.</w:t>
      </w:r>
    </w:p>
    <w:p>
      <w:pPr>
        <w:pStyle w:val="ListNumber"/>
        <w:spacing w:after="40"/>
      </w:pPr>
      <w:r>
        <w:t>Extract text by chapter while preserving page and section references. For scanned books, use controlled OCR and manually verify equations and tables.</w:t>
      </w:r>
    </w:p>
    <w:p>
      <w:pPr>
        <w:pStyle w:val="ListNumber"/>
        <w:spacing w:after="40"/>
      </w:pPr>
      <w:r>
        <w:t>Create chapter-level reading notes that separate the author’s claim, mathematical model, evidence, assumptions, and limitations.</w:t>
      </w:r>
    </w:p>
    <w:p>
      <w:pPr>
        <w:pStyle w:val="ListNumber"/>
        <w:spacing w:after="40"/>
      </w:pPr>
      <w:r>
        <w:t>Map each idea to one or more Saem components: concept graph, learner model, solver, lesson compiler, interface, governance, or evaluation.</w:t>
      </w:r>
    </w:p>
    <w:p>
      <w:pPr>
        <w:pStyle w:val="ListNumber"/>
        <w:spacing w:after="40"/>
      </w:pPr>
      <w:r>
        <w:t>Classify the idea as established result, design principle, analogy, hypothesis, or open question. Never promote an analogy to a scientific result without evidence.</w:t>
      </w:r>
    </w:p>
    <w:p>
      <w:pPr>
        <w:pStyle w:val="ListNumber"/>
        <w:spacing w:after="40"/>
      </w:pPr>
      <w:r>
        <w:t>Derive a small testable prediction from each proposed algorithm and write its baseline comparison before implementation.</w:t>
      </w:r>
    </w:p>
    <w:p>
      <w:pPr>
        <w:pStyle w:val="ListNumber"/>
        <w:spacing w:after="40"/>
      </w:pPr>
      <w:r>
        <w:t>Record conflicting ideas across books instead of averaging them into a vague synthesis.</w:t>
      </w:r>
    </w:p>
    <w:p>
      <w:pPr>
        <w:pStyle w:val="ListNumber"/>
        <w:spacing w:after="40"/>
      </w:pPr>
      <w:r>
        <w:t>Attach citations to chapter/page/section and quote only brief portions as permitted; implement ideas in original wording.</w:t>
      </w:r>
    </w:p>
    <w:p>
      <w:pPr>
        <w:pStyle w:val="Heading2"/>
      </w:pPr>
      <w:r>
        <w:t>15.2 Book-to-architecture synthesis template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vAlign w:val="center"/>
            <w:tcMar>
              <w:top w:w="90" w:type="dxa"/>
              <w:start w:w="100" w:type="dxa"/>
              <w:bottom w:w="90" w:type="dxa"/>
              <w:end w:w="100" w:type="dxa"/>
            </w:tcMar>
          </w:tcPr>
          <w:p>
            <w:pPr>
              <w:spacing w:after="0"/>
            </w:pPr>
            <w:r>
              <w:rPr>
                <w:b/>
                <w:color w:val="FFFFFF"/>
                <w:sz w:val="16"/>
              </w:rPr>
              <w:t>Field</w:t>
            </w:r>
          </w:p>
        </w:tc>
        <w:tc>
          <w:tcPr>
            <w:tcW w:type="dxa" w:w="4997"/>
            <w:shd w:fill="16324F"/>
            <w:vAlign w:val="center"/>
            <w:tcMar>
              <w:top w:w="90" w:type="dxa"/>
              <w:start w:w="100" w:type="dxa"/>
              <w:bottom w:w="90" w:type="dxa"/>
              <w:end w:w="100" w:type="dxa"/>
            </w:tcMar>
          </w:tcPr>
          <w:p>
            <w:pPr>
              <w:spacing w:after="0"/>
            </w:pPr>
            <w:r>
              <w:rPr>
                <w:b/>
                <w:color w:val="FFFFFF"/>
                <w:sz w:val="16"/>
              </w:rPr>
              <w:t>Question to answer</w:t>
            </w:r>
          </w:p>
        </w:tc>
      </w:tr>
      <w:tr>
        <w:tc>
          <w:tcPr>
            <w:tcW w:type="dxa" w:w="4997"/>
            <w:vAlign w:val="center"/>
            <w:tcMar>
              <w:top w:w="90" w:type="dxa"/>
              <w:start w:w="100" w:type="dxa"/>
              <w:bottom w:w="90" w:type="dxa"/>
              <w:end w:w="100" w:type="dxa"/>
            </w:tcMar>
          </w:tcPr>
          <w:p>
            <w:pPr>
              <w:spacing w:after="0" w:line="240" w:lineRule="auto"/>
            </w:pPr>
            <w:r>
              <w:rPr>
                <w:color w:val="243447"/>
                <w:sz w:val="16"/>
              </w:rPr>
              <w:t>Core claim</w:t>
            </w:r>
          </w:p>
        </w:tc>
        <w:tc>
          <w:tcPr>
            <w:tcW w:type="dxa" w:w="4997"/>
            <w:vAlign w:val="center"/>
            <w:tcMar>
              <w:top w:w="90" w:type="dxa"/>
              <w:start w:w="100" w:type="dxa"/>
              <w:bottom w:w="90" w:type="dxa"/>
              <w:end w:w="100" w:type="dxa"/>
            </w:tcMar>
          </w:tcPr>
          <w:p>
            <w:pPr>
              <w:spacing w:after="0" w:line="240" w:lineRule="auto"/>
            </w:pPr>
            <w:r>
              <w:rPr>
                <w:color w:val="243447"/>
                <w:sz w:val="16"/>
              </w:rPr>
              <w:t>What exactly does the author assert?</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Formal structure</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Is there an equation, algorithm, graph, or set of assumptions?</w:t>
            </w:r>
          </w:p>
        </w:tc>
      </w:tr>
      <w:tr>
        <w:tc>
          <w:tcPr>
            <w:tcW w:type="dxa" w:w="4997"/>
            <w:vAlign w:val="center"/>
            <w:tcMar>
              <w:top w:w="90" w:type="dxa"/>
              <w:start w:w="100" w:type="dxa"/>
              <w:bottom w:w="90" w:type="dxa"/>
              <w:end w:w="100" w:type="dxa"/>
            </w:tcMar>
          </w:tcPr>
          <w:p>
            <w:pPr>
              <w:spacing w:after="0" w:line="240" w:lineRule="auto"/>
            </w:pPr>
            <w:r>
              <w:rPr>
                <w:color w:val="243447"/>
                <w:sz w:val="16"/>
              </w:rPr>
              <w:t>Evidence</w:t>
            </w:r>
          </w:p>
        </w:tc>
        <w:tc>
          <w:tcPr>
            <w:tcW w:type="dxa" w:w="4997"/>
            <w:vAlign w:val="center"/>
            <w:tcMar>
              <w:top w:w="90" w:type="dxa"/>
              <w:start w:w="100" w:type="dxa"/>
              <w:bottom w:w="90" w:type="dxa"/>
              <w:end w:w="100" w:type="dxa"/>
            </w:tcMar>
          </w:tcPr>
          <w:p>
            <w:pPr>
              <w:spacing w:after="0" w:line="240" w:lineRule="auto"/>
            </w:pPr>
            <w:r>
              <w:rPr>
                <w:color w:val="243447"/>
                <w:sz w:val="16"/>
              </w:rPr>
              <w:t>What experiment, proof, example, or reasoning supports it?</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Scope and limits</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Under what conditions does it apply, and what is not claimed?</w:t>
            </w:r>
          </w:p>
        </w:tc>
      </w:tr>
      <w:tr>
        <w:tc>
          <w:tcPr>
            <w:tcW w:type="dxa" w:w="4997"/>
            <w:vAlign w:val="center"/>
            <w:tcMar>
              <w:top w:w="90" w:type="dxa"/>
              <w:start w:w="100" w:type="dxa"/>
              <w:bottom w:w="90" w:type="dxa"/>
              <w:end w:w="100" w:type="dxa"/>
            </w:tcMar>
          </w:tcPr>
          <w:p>
            <w:pPr>
              <w:spacing w:after="0" w:line="240" w:lineRule="auto"/>
            </w:pPr>
            <w:r>
              <w:rPr>
                <w:color w:val="243447"/>
                <w:sz w:val="16"/>
              </w:rPr>
              <w:t>Saem mapping</w:t>
            </w:r>
          </w:p>
        </w:tc>
        <w:tc>
          <w:tcPr>
            <w:tcW w:type="dxa" w:w="4997"/>
            <w:vAlign w:val="center"/>
            <w:tcMar>
              <w:top w:w="90" w:type="dxa"/>
              <w:start w:w="100" w:type="dxa"/>
              <w:bottom w:w="90" w:type="dxa"/>
              <w:end w:w="100" w:type="dxa"/>
            </w:tcMar>
          </w:tcPr>
          <w:p>
            <w:pPr>
              <w:spacing w:after="0" w:line="240" w:lineRule="auto"/>
            </w:pPr>
            <w:r>
              <w:rPr>
                <w:color w:val="243447"/>
                <w:sz w:val="16"/>
              </w:rPr>
              <w:t>Which component changes, and what interface does it affect?</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Testable prediction</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What measurable outcome should change if the idea is useful?</w:t>
            </w:r>
          </w:p>
        </w:tc>
      </w:tr>
      <w:tr>
        <w:tc>
          <w:tcPr>
            <w:tcW w:type="dxa" w:w="4997"/>
            <w:vAlign w:val="center"/>
            <w:tcMar>
              <w:top w:w="90" w:type="dxa"/>
              <w:start w:w="100" w:type="dxa"/>
              <w:bottom w:w="90" w:type="dxa"/>
              <w:end w:w="100" w:type="dxa"/>
            </w:tcMar>
          </w:tcPr>
          <w:p>
            <w:pPr>
              <w:spacing w:after="0" w:line="240" w:lineRule="auto"/>
            </w:pPr>
            <w:r>
              <w:rPr>
                <w:color w:val="243447"/>
                <w:sz w:val="16"/>
              </w:rPr>
              <w:t>Baseline</w:t>
            </w:r>
          </w:p>
        </w:tc>
        <w:tc>
          <w:tcPr>
            <w:tcW w:type="dxa" w:w="4997"/>
            <w:vAlign w:val="center"/>
            <w:tcMar>
              <w:top w:w="90" w:type="dxa"/>
              <w:start w:w="100" w:type="dxa"/>
              <w:bottom w:w="90" w:type="dxa"/>
              <w:end w:w="100" w:type="dxa"/>
            </w:tcMar>
          </w:tcPr>
          <w:p>
            <w:pPr>
              <w:spacing w:after="0" w:line="240" w:lineRule="auto"/>
            </w:pPr>
            <w:r>
              <w:rPr>
                <w:color w:val="243447"/>
                <w:sz w:val="16"/>
              </w:rPr>
              <w:t>What simpler method will it be compared with?</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Implementation cost</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Data needed, compute cost, UI implications, maintainability risk</w:t>
            </w:r>
          </w:p>
        </w:tc>
      </w:tr>
      <w:tr>
        <w:tc>
          <w:tcPr>
            <w:tcW w:type="dxa" w:w="4997"/>
            <w:vAlign w:val="center"/>
            <w:tcMar>
              <w:top w:w="90" w:type="dxa"/>
              <w:start w:w="100" w:type="dxa"/>
              <w:bottom w:w="90" w:type="dxa"/>
              <w:end w:w="100" w:type="dxa"/>
            </w:tcMar>
          </w:tcPr>
          <w:p>
            <w:pPr>
              <w:spacing w:after="0" w:line="240" w:lineRule="auto"/>
            </w:pPr>
            <w:r>
              <w:rPr>
                <w:color w:val="243447"/>
                <w:sz w:val="16"/>
              </w:rPr>
              <w:t>Citation anchor</w:t>
            </w:r>
          </w:p>
        </w:tc>
        <w:tc>
          <w:tcPr>
            <w:tcW w:type="dxa" w:w="4997"/>
            <w:vAlign w:val="center"/>
            <w:tcMar>
              <w:top w:w="90" w:type="dxa"/>
              <w:start w:w="100" w:type="dxa"/>
              <w:bottom w:w="90" w:type="dxa"/>
              <w:end w:w="100" w:type="dxa"/>
            </w:tcMar>
          </w:tcPr>
          <w:p>
            <w:pPr>
              <w:spacing w:after="0" w:line="240" w:lineRule="auto"/>
            </w:pPr>
            <w:r>
              <w:rPr>
                <w:color w:val="243447"/>
                <w:sz w:val="16"/>
              </w:rPr>
              <w:t>Edition + chapter + page or section + stable identifier</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Decision</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Adopt, prototype, monitor, or reject—with reason and reviewer</w:t>
            </w:r>
          </w:p>
        </w:tc>
      </w:tr>
    </w:tbl>
    <w:p>
      <w:pPr>
        <w:spacing w:after="20"/>
      </w:pPr>
    </w:p>
    <w:p>
      <w:pPr>
        <w:pStyle w:val="Heading2"/>
      </w:pPr>
      <w:r>
        <w:t>15.3 Prioritise books by function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vAlign w:val="center"/>
            <w:tcMar>
              <w:top w:w="90" w:type="dxa"/>
              <w:start w:w="100" w:type="dxa"/>
              <w:bottom w:w="90" w:type="dxa"/>
              <w:end w:w="100" w:type="dxa"/>
            </w:tcMar>
          </w:tcPr>
          <w:p>
            <w:pPr>
              <w:spacing w:after="0"/>
            </w:pPr>
            <w:r>
              <w:rPr>
                <w:b/>
                <w:color w:val="FFFFFF"/>
                <w:sz w:val="16"/>
              </w:rPr>
              <w:t>Book category</w:t>
            </w:r>
          </w:p>
        </w:tc>
        <w:tc>
          <w:tcPr>
            <w:tcW w:type="dxa" w:w="3331"/>
            <w:shd w:fill="16324F"/>
            <w:vAlign w:val="center"/>
            <w:tcMar>
              <w:top w:w="90" w:type="dxa"/>
              <w:start w:w="100" w:type="dxa"/>
              <w:bottom w:w="90" w:type="dxa"/>
              <w:end w:w="100" w:type="dxa"/>
            </w:tcMar>
          </w:tcPr>
          <w:p>
            <w:pPr>
              <w:spacing w:after="0"/>
            </w:pPr>
            <w:r>
              <w:rPr>
                <w:b/>
                <w:color w:val="FFFFFF"/>
                <w:sz w:val="16"/>
              </w:rPr>
              <w:t>Likely architectural influence</w:t>
            </w:r>
          </w:p>
        </w:tc>
        <w:tc>
          <w:tcPr>
            <w:tcW w:type="dxa" w:w="3331"/>
            <w:shd w:fill="16324F"/>
            <w:vAlign w:val="center"/>
            <w:tcMar>
              <w:top w:w="90" w:type="dxa"/>
              <w:start w:w="100" w:type="dxa"/>
              <w:bottom w:w="90" w:type="dxa"/>
              <w:end w:w="100" w:type="dxa"/>
            </w:tcMar>
          </w:tcPr>
          <w:p>
            <w:pPr>
              <w:spacing w:after="0"/>
            </w:pPr>
            <w:r>
              <w:rPr>
                <w:b/>
                <w:color w:val="FFFFFF"/>
                <w:sz w:val="16"/>
              </w:rPr>
              <w:t>Required output</w:t>
            </w:r>
          </w:p>
        </w:tc>
      </w:tr>
      <w:tr>
        <w:tc>
          <w:tcPr>
            <w:tcW w:type="dxa" w:w="3331"/>
            <w:vAlign w:val="center"/>
            <w:tcMar>
              <w:top w:w="90" w:type="dxa"/>
              <w:start w:w="100" w:type="dxa"/>
              <w:bottom w:w="90" w:type="dxa"/>
              <w:end w:w="100" w:type="dxa"/>
            </w:tcMar>
          </w:tcPr>
          <w:p>
            <w:pPr>
              <w:spacing w:after="0" w:line="240" w:lineRule="auto"/>
            </w:pPr>
            <w:r>
              <w:rPr>
                <w:color w:val="243447"/>
                <w:sz w:val="16"/>
              </w:rPr>
              <w:t>Cognitive science / learning theory</w:t>
            </w:r>
          </w:p>
        </w:tc>
        <w:tc>
          <w:tcPr>
            <w:tcW w:type="dxa" w:w="3331"/>
            <w:vAlign w:val="center"/>
            <w:tcMar>
              <w:top w:w="90" w:type="dxa"/>
              <w:start w:w="100" w:type="dxa"/>
              <w:bottom w:w="90" w:type="dxa"/>
              <w:end w:w="100" w:type="dxa"/>
            </w:tcMar>
          </w:tcPr>
          <w:p>
            <w:pPr>
              <w:spacing w:after="0" w:line="240" w:lineRule="auto"/>
            </w:pPr>
            <w:r>
              <w:rPr>
                <w:color w:val="243447"/>
                <w:sz w:val="16"/>
              </w:rPr>
              <w:t>Learner model, retrieval, forgetting, feedback</w:t>
            </w:r>
          </w:p>
        </w:tc>
        <w:tc>
          <w:tcPr>
            <w:tcW w:type="dxa" w:w="3331"/>
            <w:vAlign w:val="center"/>
            <w:tcMar>
              <w:top w:w="90" w:type="dxa"/>
              <w:start w:w="100" w:type="dxa"/>
              <w:bottom w:w="90" w:type="dxa"/>
              <w:end w:w="100" w:type="dxa"/>
            </w:tcMar>
          </w:tcPr>
          <w:p>
            <w:pPr>
              <w:spacing w:after="0" w:line="240" w:lineRule="auto"/>
            </w:pPr>
            <w:r>
              <w:rPr>
                <w:color w:val="243447"/>
                <w:sz w:val="16"/>
              </w:rPr>
              <w:t>Hypotheses and outcome measures; separate evidence from interpretation</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Quantum cognition / decision theory</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Research plugin and context-sensitive probability models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Formal model, predicted phenomenon, comparative benchmark</w:t>
            </w:r>
          </w:p>
        </w:tc>
      </w:tr>
      <w:tr>
        <w:tc>
          <w:tcPr>
            <w:tcW w:type="dxa" w:w="3331"/>
            <w:vAlign w:val="center"/>
            <w:tcMar>
              <w:top w:w="90" w:type="dxa"/>
              <w:start w:w="100" w:type="dxa"/>
              <w:bottom w:w="90" w:type="dxa"/>
              <w:end w:w="100" w:type="dxa"/>
            </w:tcMar>
          </w:tcPr>
          <w:p>
            <w:pPr>
              <w:spacing w:after="0" w:line="240" w:lineRule="auto"/>
            </w:pPr>
            <w:r>
              <w:rPr>
                <w:color w:val="243447"/>
                <w:sz w:val="16"/>
              </w:rPr>
              <w:t>Physics / mathematics teaching</w:t>
            </w:r>
          </w:p>
        </w:tc>
        <w:tc>
          <w:tcPr>
            <w:tcW w:type="dxa" w:w="3331"/>
            <w:vAlign w:val="center"/>
            <w:tcMar>
              <w:top w:w="90" w:type="dxa"/>
              <w:start w:w="100" w:type="dxa"/>
              <w:bottom w:w="90" w:type="dxa"/>
              <w:end w:w="100" w:type="dxa"/>
            </w:tcMar>
          </w:tcPr>
          <w:p>
            <w:pPr>
              <w:spacing w:after="0" w:line="240" w:lineRule="auto"/>
            </w:pPr>
            <w:r>
              <w:rPr>
                <w:color w:val="243447"/>
                <w:sz w:val="16"/>
              </w:rPr>
              <w:t>Concept graph, problem families, explanation patterns</w:t>
            </w:r>
          </w:p>
        </w:tc>
        <w:tc>
          <w:tcPr>
            <w:tcW w:type="dxa" w:w="3331"/>
            <w:vAlign w:val="center"/>
            <w:tcMar>
              <w:top w:w="90" w:type="dxa"/>
              <w:start w:w="100" w:type="dxa"/>
              <w:bottom w:w="90" w:type="dxa"/>
              <w:end w:w="100" w:type="dxa"/>
            </w:tcMar>
          </w:tcPr>
          <w:p>
            <w:pPr>
              <w:spacing w:after="0" w:line="240" w:lineRule="auto"/>
            </w:pPr>
            <w:r>
              <w:rPr>
                <w:color w:val="243447"/>
                <w:sz w:val="16"/>
              </w:rPr>
              <w:t>Reviewed misconception map and worked-example template</w:t>
            </w:r>
          </w:p>
        </w:tc>
      </w:tr>
      <w:tr>
        <w:tc>
          <w:tcPr>
            <w:tcW w:type="dxa" w:w="3331"/>
            <w:vAlign w:val="center"/>
            <w:tcMar>
              <w:top w:w="90" w:type="dxa"/>
              <w:start w:w="100" w:type="dxa"/>
              <w:bottom w:w="90" w:type="dxa"/>
              <w:end w:w="100" w:type="dxa"/>
            </w:tcMar>
            <w:shd w:fill="F2F6F9"/>
          </w:tcPr>
          <w:p>
            <w:pPr>
              <w:spacing w:after="0" w:line="240" w:lineRule="auto"/>
            </w:pPr>
            <w:r>
              <w:rPr>
                <w:color w:val="243447"/>
                <w:sz w:val="16"/>
              </w:rPr>
              <w:t>Software architecture / distributed systems</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Service boundaries, interfaces, observability, deployment</w:t>
            </w:r>
          </w:p>
        </w:tc>
        <w:tc>
          <w:tcPr>
            <w:tcW w:type="dxa" w:w="3331"/>
            <w:vAlign w:val="center"/>
            <w:tcMar>
              <w:top w:w="90" w:type="dxa"/>
              <w:start w:w="100" w:type="dxa"/>
              <w:bottom w:w="90" w:type="dxa"/>
              <w:end w:w="100" w:type="dxa"/>
            </w:tcMar>
            <w:shd w:fill="F2F6F9"/>
          </w:tcPr>
          <w:p>
            <w:pPr>
              <w:spacing w:after="0" w:line="240" w:lineRule="auto"/>
            </w:pPr>
            <w:r>
              <w:rPr>
                <w:color w:val="243447"/>
                <w:sz w:val="16"/>
              </w:rPr>
              <w:t>ADRs, service contracts, reliability requirements</w:t>
            </w:r>
          </w:p>
        </w:tc>
      </w:tr>
      <w:tr>
        <w:tc>
          <w:tcPr>
            <w:tcW w:type="dxa" w:w="3331"/>
            <w:vAlign w:val="center"/>
            <w:tcMar>
              <w:top w:w="90" w:type="dxa"/>
              <w:start w:w="100" w:type="dxa"/>
              <w:bottom w:w="90" w:type="dxa"/>
              <w:end w:w="100" w:type="dxa"/>
            </w:tcMar>
          </w:tcPr>
          <w:p>
            <w:pPr>
              <w:spacing w:after="0" w:line="240" w:lineRule="auto"/>
            </w:pPr>
            <w:r>
              <w:rPr>
                <w:color w:val="243447"/>
                <w:sz w:val="16"/>
              </w:rPr>
              <w:t>Animation / visual explanation</w:t>
            </w:r>
          </w:p>
        </w:tc>
        <w:tc>
          <w:tcPr>
            <w:tcW w:type="dxa" w:w="3331"/>
            <w:vAlign w:val="center"/>
            <w:tcMar>
              <w:top w:w="90" w:type="dxa"/>
              <w:start w:w="100" w:type="dxa"/>
              <w:bottom w:w="90" w:type="dxa"/>
              <w:end w:w="100" w:type="dxa"/>
            </w:tcMar>
          </w:tcPr>
          <w:p>
            <w:pPr>
              <w:spacing w:after="0" w:line="240" w:lineRule="auto"/>
            </w:pPr>
            <w:r>
              <w:rPr>
                <w:color w:val="243447"/>
                <w:sz w:val="16"/>
              </w:rPr>
              <w:t>Lesson IR and visual grammar</w:t>
            </w:r>
          </w:p>
        </w:tc>
        <w:tc>
          <w:tcPr>
            <w:tcW w:type="dxa" w:w="3331"/>
            <w:vAlign w:val="center"/>
            <w:tcMar>
              <w:top w:w="90" w:type="dxa"/>
              <w:start w:w="100" w:type="dxa"/>
              <w:bottom w:w="90" w:type="dxa"/>
              <w:end w:w="100" w:type="dxa"/>
            </w:tcMar>
          </w:tcPr>
          <w:p>
            <w:pPr>
              <w:spacing w:after="0" w:line="240" w:lineRule="auto"/>
            </w:pPr>
            <w:r>
              <w:rPr>
                <w:color w:val="243447"/>
                <w:sz w:val="16"/>
              </w:rPr>
              <w:t>Reusable scene components, accessibility rules, critique rubric</w:t>
            </w:r>
          </w:p>
        </w:tc>
      </w:tr>
    </w:tbl>
    <w:p>
      <w:pPr>
        <w:spacing w:after="20"/>
      </w:pPr>
    </w:p>
    <w:p>
      <w:pPr>
        <w:pStyle w:val="Heading2"/>
      </w:pPr>
      <w:r>
        <w:t>15.4 Do not use book ingestion as permission to copy</w:t>
      </w:r>
    </w:p>
    <w:p>
      <w:r>
        <w:rPr>
          <w:i w:val="0"/>
        </w:rPr>
        <w:t>A book may be available for private reading yet still be copyrighted. Notes, short quotations, and citations should be handled responsibly; wholesale reproduction, dataset distribution, or derivative publication may require permission. The purpose is to extract ideas, test them, and build original educational assets—not to create an unlicensed replacement for a book.</w:t>
      </w:r>
    </w:p>
    <w:p>
      <w:pPr>
        <w:pStyle w:val="Heading1"/>
      </w:pPr>
      <w:r>
        <w:t>16. Governance, privacy, licensing, and human authority</w:t>
      </w:r>
    </w:p>
    <w:p>
      <w:pPr>
        <w:pStyle w:val="Heading2"/>
      </w:pPr>
      <w:r>
        <w:t>16.1 Provenance is a data feature</w:t>
      </w:r>
    </w:p>
    <w:p>
      <w:r>
        <w:rPr>
          <w:i w:val="0"/>
        </w:rPr>
        <w:t>Store the source chain for every published claim and asset: original source, extracted segment, transformation steps, model/provider/version that drafted a summary where applicable, human edits, scientific checks, rights decision, approval, and published artifact hash. If a source is retired or corrected, downstream lessons should be searchable for review.</w:t>
      </w:r>
    </w:p>
    <w:p>
      <w:pPr>
        <w:pStyle w:val="Heading2"/>
      </w:pPr>
      <w:r>
        <w:t>16.2 Privacy by design</w:t>
      </w:r>
    </w:p>
    <w:p>
      <w:pPr>
        <w:pStyle w:val="ListBullet"/>
        <w:spacing w:after="40"/>
      </w:pPr>
      <w:r>
        <w:t>Collect the minimum learner data needed for feedback and evaluation.</w:t>
      </w:r>
    </w:p>
    <w:p>
      <w:pPr>
        <w:pStyle w:val="ListBullet"/>
        <w:spacing w:after="40"/>
      </w:pPr>
      <w:r>
        <w:t>Use pseudonymous IDs in research datasets and keep identity mappings behind stricter access controls.</w:t>
      </w:r>
    </w:p>
    <w:p>
      <w:pPr>
        <w:pStyle w:val="ListBullet"/>
        <w:spacing w:after="40"/>
      </w:pPr>
      <w:r>
        <w:t>Define retention and deletion rules before a real student pilot.</w:t>
      </w:r>
    </w:p>
    <w:p>
      <w:pPr>
        <w:pStyle w:val="ListBullet"/>
        <w:spacing w:after="40"/>
      </w:pPr>
      <w:r>
        <w:t>Do not submit identifiable learner data or copyrighted question archives to external model APIs without a lawful basis, permissions, and policy review.</w:t>
      </w:r>
    </w:p>
    <w:p>
      <w:pPr>
        <w:pStyle w:val="ListBullet"/>
        <w:spacing w:after="40"/>
      </w:pPr>
      <w:r>
        <w:t>Log access to sensitive records; avoid logging full student responses if a summary is enough.</w:t>
      </w:r>
    </w:p>
    <w:p>
      <w:pPr>
        <w:pStyle w:val="ListBullet"/>
        <w:spacing w:after="40"/>
      </w:pPr>
      <w:r>
        <w:t>Make model-driven recommendations explainable and correctable by authorised teachers.</w:t>
      </w:r>
    </w:p>
    <w:p>
      <w:pPr>
        <w:pStyle w:val="Heading2"/>
      </w:pPr>
      <w:r>
        <w:t>16.3 Human authority and release rights</w:t>
      </w:r>
    </w:p>
    <w:p>
      <w:r>
        <w:rPr>
          <w:i w:val="0"/>
        </w:rPr>
        <w:t>The teacher or authorised subject-matter reviewer owns final responsibility for public scientific lessons. The system can mark evidence complete; it cannot declare that scientific judgment is no longer needed. For high-impact use—grading, placement, or consequential educational decisions—require stronger review, transparency, appeal, and impact evaluation than for a suggested practice question.</w:t>
      </w:r>
    </w:p>
    <w:p>
      <w:pPr>
        <w:pStyle w:val="Heading2"/>
      </w:pPr>
      <w:r>
        <w:t>16.4 Incident and correction protocol</w:t>
      </w:r>
    </w:p>
    <w:p>
      <w:pPr>
        <w:pStyle w:val="ListNumber"/>
        <w:spacing w:after="40"/>
      </w:pPr>
      <w:r>
        <w:t>Freeze the affected release and record its hash/version.</w:t>
      </w:r>
    </w:p>
    <w:p>
      <w:pPr>
        <w:pStyle w:val="ListNumber"/>
        <w:spacing w:after="40"/>
      </w:pPr>
      <w:r>
        <w:t>Reproduce the report using stored inputs, model versions, solver versions, and logs.</w:t>
      </w:r>
    </w:p>
    <w:p>
      <w:pPr>
        <w:pStyle w:val="ListNumber"/>
        <w:spacing w:after="40"/>
      </w:pPr>
      <w:r>
        <w:t>Classify the issue: science, extraction, rights, privacy, accessibility, or software defect.</w:t>
      </w:r>
    </w:p>
    <w:p>
      <w:pPr>
        <w:pStyle w:val="ListNumber"/>
        <w:spacing w:after="40"/>
      </w:pPr>
      <w:r>
        <w:t>Correct the source record and tests; find other assets generated from the same faulty component.</w:t>
      </w:r>
    </w:p>
    <w:p>
      <w:pPr>
        <w:pStyle w:val="ListNumber"/>
        <w:spacing w:after="40"/>
      </w:pPr>
      <w:r>
        <w:t>Publish a corrected version or retire the asset; keep the historical audit trail.</w:t>
      </w:r>
    </w:p>
    <w:p>
      <w:pPr>
        <w:pStyle w:val="ListNumber"/>
        <w:spacing w:after="40"/>
      </w:pPr>
      <w:r>
        <w:t>Write a short post-incident note and add a regression test.</w:t>
      </w:r>
    </w:p>
    <w:p>
      <w:r>
        <w:br w:type="page"/>
      </w:r>
    </w:p>
    <w:p>
      <w:pPr>
        <w:pStyle w:val="Heading1"/>
      </w:pPr>
      <w:r>
        <w:t>APPENDIX A — Suggested repository tree</w:t>
      </w:r>
    </w:p>
    <w:p>
      <w:r>
        <w:rPr>
          <w:i w:val="0"/>
        </w:rPr>
        <w:t>A practical starting repository can remain simpler than the full target architecture. Create a directory only when it owns a real interface or a meaningful boundary.</w:t>
      </w:r>
    </w:p>
    <w:p>
      <w:pPr>
        <w:pStyle w:val="CodeBlock"/>
        <w:keepLines/>
        <w:shd w:fill="F3F6F9"/>
      </w:pPr>
      <w:r>
        <w:t>saem-edtech/</w:t>
      </w:r>
    </w:p>
    <w:p>
      <w:pPr>
        <w:pStyle w:val="CodeBlock"/>
        <w:keepLines/>
        <w:shd w:fill="F3F6F9"/>
      </w:pPr>
      <w:r>
        <w:t xml:space="preserve">  .devcontainer/devcontainer.json</w:t>
      </w:r>
    </w:p>
    <w:p>
      <w:pPr>
        <w:pStyle w:val="CodeBlock"/>
        <w:keepLines/>
        <w:shd w:fill="F3F6F9"/>
      </w:pPr>
      <w:r>
        <w:t xml:space="preserve">  .github/workflows/ci.yml</w:t>
      </w:r>
    </w:p>
    <w:p>
      <w:pPr>
        <w:pStyle w:val="CodeBlock"/>
        <w:keepLines/>
        <w:shd w:fill="F3F6F9"/>
      </w:pPr>
      <w:r>
        <w:t xml:space="preserve">  apps/student-ui/</w:t>
      </w:r>
    </w:p>
    <w:p>
      <w:pPr>
        <w:pStyle w:val="CodeBlock"/>
        <w:keepLines/>
        <w:shd w:fill="F3F6F9"/>
      </w:pPr>
      <w:r>
        <w:t xml:space="preserve">    pyproject.toml</w:t>
      </w:r>
    </w:p>
    <w:p>
      <w:pPr>
        <w:pStyle w:val="CodeBlock"/>
        <w:keepLines/>
        <w:shd w:fill="F3F6F9"/>
      </w:pPr>
      <w:r>
        <w:t xml:space="preserve">    src/</w:t>
      </w:r>
    </w:p>
    <w:p>
      <w:pPr>
        <w:pStyle w:val="CodeBlock"/>
        <w:keepLines/>
        <w:shd w:fill="F3F6F9"/>
      </w:pPr>
      <w:r>
        <w:t xml:space="preserve">  apps/teacher-studio/</w:t>
      </w:r>
    </w:p>
    <w:p>
      <w:pPr>
        <w:pStyle w:val="CodeBlock"/>
        <w:keepLines/>
        <w:shd w:fill="F3F6F9"/>
      </w:pPr>
      <w:r>
        <w:t xml:space="preserve">    src/</w:t>
      </w:r>
    </w:p>
    <w:p>
      <w:pPr>
        <w:pStyle w:val="CodeBlock"/>
        <w:keepLines/>
        <w:shd w:fill="F3F6F9"/>
      </w:pPr>
      <w:r>
        <w:t xml:space="preserve">  services/platform-api/</w:t>
      </w:r>
    </w:p>
    <w:p>
      <w:pPr>
        <w:pStyle w:val="CodeBlock"/>
        <w:keepLines/>
        <w:shd w:fill="F3F6F9"/>
      </w:pPr>
      <w:r>
        <w:t xml:space="preserve">    Saem.Platform.sln</w:t>
      </w:r>
    </w:p>
    <w:p>
      <w:pPr>
        <w:pStyle w:val="CodeBlock"/>
        <w:keepLines/>
        <w:shd w:fill="F3F6F9"/>
      </w:pPr>
      <w:r>
        <w:t xml:space="preserve">  services/learning-engine/</w:t>
      </w:r>
    </w:p>
    <w:p>
      <w:pPr>
        <w:pStyle w:val="CodeBlock"/>
        <w:keepLines/>
        <w:shd w:fill="F3F6F9"/>
      </w:pPr>
      <w:r>
        <w:t xml:space="preserve">    Saem.Learning.sln</w:t>
      </w:r>
    </w:p>
    <w:p>
      <w:pPr>
        <w:pStyle w:val="CodeBlock"/>
        <w:keepLines/>
        <w:shd w:fill="F3F6F9"/>
      </w:pPr>
      <w:r>
        <w:t xml:space="preserve">  services/content-service/</w:t>
      </w:r>
    </w:p>
    <w:p>
      <w:pPr>
        <w:pStyle w:val="CodeBlock"/>
        <w:keepLines/>
        <w:shd w:fill="F3F6F9"/>
      </w:pPr>
      <w:r>
        <w:t xml:space="preserve">    src/</w:t>
      </w:r>
    </w:p>
    <w:p>
      <w:pPr>
        <w:pStyle w:val="CodeBlock"/>
        <w:keepLines/>
        <w:shd w:fill="F3F6F9"/>
      </w:pPr>
      <w:r>
        <w:t xml:space="preserve">  engines/scientific-cpp/</w:t>
      </w:r>
    </w:p>
    <w:p>
      <w:pPr>
        <w:pStyle w:val="CodeBlock"/>
        <w:keepLines/>
        <w:shd w:fill="F3F6F9"/>
      </w:pPr>
      <w:r>
        <w:t xml:space="preserve">    CMakeLists.txt</w:t>
      </w:r>
    </w:p>
    <w:p>
      <w:pPr>
        <w:pStyle w:val="CodeBlock"/>
        <w:keepLines/>
        <w:shd w:fill="F3F6F9"/>
      </w:pPr>
      <w:r>
        <w:t xml:space="preserve">    include/saem/</w:t>
      </w:r>
    </w:p>
    <w:p>
      <w:pPr>
        <w:pStyle w:val="CodeBlock"/>
        <w:keepLines/>
        <w:shd w:fill="F3F6F9"/>
      </w:pPr>
      <w:r>
        <w:t xml:space="preserve">    src/</w:t>
      </w:r>
    </w:p>
    <w:p>
      <w:pPr>
        <w:pStyle w:val="CodeBlock"/>
        <w:keepLines/>
        <w:shd w:fill="F3F6F9"/>
      </w:pPr>
      <w:r>
        <w:t xml:space="preserve">    tests/</w:t>
      </w:r>
    </w:p>
    <w:p>
      <w:pPr>
        <w:pStyle w:val="CodeBlock"/>
        <w:keepLines/>
        <w:shd w:fill="F3F6F9"/>
      </w:pPr>
      <w:r>
        <w:t xml:space="preserve">  engines/visual-compiler/</w:t>
      </w:r>
    </w:p>
    <w:p>
      <w:pPr>
        <w:pStyle w:val="CodeBlock"/>
        <w:keepLines/>
        <w:shd w:fill="F3F6F9"/>
      </w:pPr>
      <w:r>
        <w:t xml:space="preserve">    schemas/</w:t>
      </w:r>
    </w:p>
    <w:p>
      <w:pPr>
        <w:pStyle w:val="CodeBlock"/>
        <w:keepLines/>
        <w:shd w:fill="F3F6F9"/>
      </w:pPr>
      <w:r>
        <w:t xml:space="preserve">    src/</w:t>
      </w:r>
    </w:p>
    <w:p>
      <w:pPr>
        <w:pStyle w:val="CodeBlock"/>
        <w:keepLines/>
        <w:shd w:fill="F3F6F9"/>
      </w:pPr>
      <w:r>
        <w:t xml:space="preserve">  renderers/</w:t>
      </w:r>
    </w:p>
    <w:p>
      <w:pPr>
        <w:pStyle w:val="CodeBlock"/>
        <w:keepLines/>
        <w:shd w:fill="F3F6F9"/>
      </w:pPr>
      <w:r>
        <w:t xml:space="preserve">    web-graphics/</w:t>
      </w:r>
    </w:p>
    <w:p>
      <w:pPr>
        <w:pStyle w:val="CodeBlock"/>
        <w:keepLines/>
        <w:shd w:fill="F3F6F9"/>
      </w:pPr>
      <w:r>
        <w:t xml:space="preserve">    manim-tooling/              # optional, isolated build tool</w:t>
      </w:r>
    </w:p>
    <w:p>
      <w:pPr>
        <w:pStyle w:val="CodeBlock"/>
        <w:keepLines/>
        <w:shd w:fill="F3F6F9"/>
      </w:pPr>
      <w:r>
        <w:t xml:space="preserve">  knowledge/</w:t>
      </w:r>
    </w:p>
    <w:p>
      <w:pPr>
        <w:pStyle w:val="CodeBlock"/>
        <w:keepLines/>
        <w:shd w:fill="F3F6F9"/>
      </w:pPr>
      <w:r>
        <w:t xml:space="preserve">    concepts/</w:t>
      </w:r>
    </w:p>
    <w:p>
      <w:pPr>
        <w:pStyle w:val="CodeBlock"/>
        <w:keepLines/>
        <w:shd w:fill="F3F6F9"/>
      </w:pPr>
      <w:r>
        <w:t xml:space="preserve">    questions/synthetic/</w:t>
      </w:r>
    </w:p>
    <w:p>
      <w:pPr>
        <w:pStyle w:val="CodeBlock"/>
        <w:keepLines/>
        <w:shd w:fill="F3F6F9"/>
      </w:pPr>
      <w:r>
        <w:t xml:space="preserve">    schemas/</w:t>
      </w:r>
    </w:p>
    <w:p>
      <w:pPr>
        <w:pStyle w:val="CodeBlock"/>
        <w:keepLines/>
        <w:shd w:fill="F3F6F9"/>
      </w:pPr>
      <w:r>
        <w:t xml:space="preserve">  research/</w:t>
      </w:r>
    </w:p>
    <w:p>
      <w:pPr>
        <w:pStyle w:val="CodeBlock"/>
        <w:keepLines/>
        <w:shd w:fill="F3F6F9"/>
      </w:pPr>
      <w:r>
        <w:t xml:space="preserve">    quantum-cognition/</w:t>
      </w:r>
    </w:p>
    <w:p>
      <w:pPr>
        <w:pStyle w:val="CodeBlock"/>
        <w:keepLines/>
        <w:shd w:fill="F3F6F9"/>
      </w:pPr>
      <w:r>
        <w:t xml:space="preserve">    evaluations/</w:t>
      </w:r>
    </w:p>
    <w:p>
      <w:pPr>
        <w:pStyle w:val="CodeBlock"/>
        <w:keepLines/>
        <w:shd w:fill="F3F6F9"/>
      </w:pPr>
      <w:r>
        <w:t xml:space="preserve">  tests/</w:t>
      </w:r>
    </w:p>
    <w:p>
      <w:pPr>
        <w:pStyle w:val="CodeBlock"/>
        <w:keepLines/>
        <w:shd w:fill="F3F6F9"/>
      </w:pPr>
      <w:r>
        <w:t xml:space="preserve">    integration/</w:t>
      </w:r>
    </w:p>
    <w:p>
      <w:pPr>
        <w:pStyle w:val="CodeBlock"/>
        <w:keepLines/>
        <w:shd w:fill="F3F6F9"/>
      </w:pPr>
      <w:r>
        <w:t xml:space="preserve">    fixtures/</w:t>
      </w:r>
    </w:p>
    <w:p>
      <w:pPr>
        <w:pStyle w:val="CodeBlock"/>
        <w:keepLines/>
        <w:shd w:fill="F3F6F9"/>
      </w:pPr>
      <w:r>
        <w:t xml:space="preserve">  docs/</w:t>
      </w:r>
    </w:p>
    <w:p>
      <w:pPr>
        <w:pStyle w:val="CodeBlock"/>
        <w:keepLines/>
        <w:shd w:fill="F3F6F9"/>
      </w:pPr>
      <w:r>
        <w:t xml:space="preserve">    ADRs/</w:t>
      </w:r>
    </w:p>
    <w:p>
      <w:pPr>
        <w:pStyle w:val="CodeBlock"/>
        <w:keepLines/>
        <w:shd w:fill="F3F6F9"/>
      </w:pPr>
      <w:r>
        <w:t xml:space="preserve">    runbooks/</w:t>
      </w:r>
    </w:p>
    <w:p>
      <w:pPr>
        <w:pStyle w:val="CodeBlock"/>
        <w:keepLines/>
        <w:shd w:fill="F3F6F9"/>
      </w:pPr>
      <w:r>
        <w:t xml:space="preserve">    book-notes/</w:t>
      </w:r>
    </w:p>
    <w:p>
      <w:pPr>
        <w:pStyle w:val="CodeBlock"/>
        <w:keepLines/>
        <w:shd w:fill="F3F6F9"/>
      </w:pPr>
      <w:r>
        <w:t xml:space="preserve">  README.md</w:t>
      </w:r>
    </w:p>
    <w:p>
      <w:pPr>
        <w:pStyle w:val="CodeBlock"/>
        <w:keepLines/>
        <w:shd w:fill="F3F6F9"/>
      </w:pPr>
      <w:r>
        <w:t xml:space="preserve">  SECURITY.md</w:t>
      </w:r>
    </w:p>
    <w:p>
      <w:pPr>
        <w:pStyle w:val="CodeBlock"/>
        <w:keepLines/>
        <w:shd w:fill="F3F6F9"/>
      </w:pPr>
      <w:r>
        <w:t xml:space="preserve">  LICENSE</w:t>
      </w:r>
    </w:p>
    <w:p>
      <w:pPr>
        <w:pStyle w:val="Heading2"/>
      </w:pPr>
      <w:r>
        <w:t>A.1 Minimum files for the first milestone</w:t>
      </w:r>
    </w:p>
    <w:p>
      <w:pPr>
        <w:pStyle w:val="ListBullet"/>
        <w:spacing w:after="40"/>
      </w:pPr>
      <w:r>
        <w:t>README.md: exact quickstart commands and architecture overview.</w:t>
      </w:r>
    </w:p>
    <w:p>
      <w:pPr>
        <w:pStyle w:val="ListBullet"/>
        <w:spacing w:after="40"/>
      </w:pPr>
      <w:r>
        <w:t>devcontainer.json: pinned and documented development setup.</w:t>
      </w:r>
    </w:p>
    <w:p>
      <w:pPr>
        <w:pStyle w:val="ListBullet"/>
        <w:spacing w:after="40"/>
      </w:pPr>
      <w:r>
        <w:t>question.schema.json: strict synthetic question schema.</w:t>
      </w:r>
    </w:p>
    <w:p>
      <w:pPr>
        <w:pStyle w:val="ListBullet"/>
        <w:spacing w:after="40"/>
      </w:pPr>
      <w:r>
        <w:t>solver/mechanics: typed input and output contracts.</w:t>
      </w:r>
    </w:p>
    <w:p>
      <w:pPr>
        <w:pStyle w:val="ListBullet"/>
        <w:spacing w:after="40"/>
      </w:pPr>
      <w:r>
        <w:t>verification/checks: independent checks with explicit pass/fail status.</w:t>
      </w:r>
    </w:p>
    <w:p>
      <w:pPr>
        <w:pStyle w:val="ListBullet"/>
        <w:spacing w:after="40"/>
      </w:pPr>
      <w:r>
        <w:t>tests: hand-calculated cases, limiting cases, unit tests, and one end-to-end test.</w:t>
      </w:r>
    </w:p>
    <w:p>
      <w:pPr>
        <w:pStyle w:val="ListBullet"/>
        <w:spacing w:after="40"/>
      </w:pPr>
      <w:r>
        <w:t>scene.schema.json: small renderer-independent scene format.</w:t>
      </w:r>
    </w:p>
    <w:p>
      <w:pPr>
        <w:pStyle w:val="ListBullet"/>
        <w:spacing w:after="40"/>
      </w:pPr>
      <w:r>
        <w:t>ADR-0001: runtime backend language policy, including the treatment of rendering workers.</w:t>
      </w:r>
    </w:p>
    <w:p>
      <w:pPr>
        <w:pStyle w:val="Heading1"/>
      </w:pPr>
      <w:r>
        <w:t>APPENDIX B — Domain record examples</w:t>
      </w:r>
    </w:p>
    <w:p>
      <w:pPr>
        <w:pStyle w:val="Heading2"/>
      </w:pPr>
      <w:r>
        <w:t>B.1 Concept record</w:t>
      </w:r>
    </w:p>
    <w:p>
      <w:pPr>
        <w:pStyle w:val="CodeBlock"/>
        <w:keepLines/>
        <w:shd w:fill="F3F6F9"/>
      </w:pPr>
      <w:r>
        <w:t>{</w:t>
      </w:r>
    </w:p>
    <w:p>
      <w:pPr>
        <w:pStyle w:val="CodeBlock"/>
        <w:keepLines/>
        <w:shd w:fill="F3F6F9"/>
      </w:pPr>
      <w:r>
        <w:t xml:space="preserve">  "concept_id": "mechanics.kinematics.acceleration",</w:t>
      </w:r>
    </w:p>
    <w:p>
      <w:pPr>
        <w:pStyle w:val="CodeBlock"/>
        <w:keepLines/>
        <w:shd w:fill="F3F6F9"/>
      </w:pPr>
      <w:r>
        <w:t xml:space="preserve">  "label": "Acceleration",</w:t>
      </w:r>
    </w:p>
    <w:p>
      <w:pPr>
        <w:pStyle w:val="CodeBlock"/>
        <w:keepLines/>
        <w:shd w:fill="F3F6F9"/>
      </w:pPr>
      <w:r>
        <w:t xml:space="preserve">  "definition": "Rate of change of velocity with respect to time",</w:t>
      </w:r>
    </w:p>
    <w:p>
      <w:pPr>
        <w:pStyle w:val="CodeBlock"/>
        <w:keepLines/>
        <w:shd w:fill="F3F6F9"/>
      </w:pPr>
      <w:r>
        <w:t xml:space="preserve">  "objectives": ["Interpret acceleration as a vector", "Connect acceleration and velocity graphs"],</w:t>
      </w:r>
    </w:p>
    <w:p>
      <w:pPr>
        <w:pStyle w:val="CodeBlock"/>
        <w:keepLines/>
        <w:shd w:fill="F3F6F9"/>
      </w:pPr>
      <w:r>
        <w:t xml:space="preserve">  "prerequisites": ["mechanics.vectors", "mechanics.velocity"],</w:t>
      </w:r>
    </w:p>
    <w:p>
      <w:pPr>
        <w:pStyle w:val="CodeBlock"/>
        <w:keepLines/>
        <w:shd w:fill="F3F6F9"/>
      </w:pPr>
      <w:r>
        <w:t xml:space="preserve">  "misconceptions": ["Acceleration always points in direction of motion"],</w:t>
      </w:r>
    </w:p>
    <w:p>
      <w:pPr>
        <w:pStyle w:val="CodeBlock"/>
        <w:keepLines/>
        <w:shd w:fill="F3F6F9"/>
      </w:pPr>
      <w:r>
        <w:t xml:space="preserve">  "equation_refs": ["dv_dt"],</w:t>
      </w:r>
    </w:p>
    <w:p>
      <w:pPr>
        <w:pStyle w:val="CodeBlock"/>
        <w:keepLines/>
        <w:shd w:fill="F3F6F9"/>
      </w:pPr>
      <w:r>
        <w:t xml:space="preserve">  "source_refs": [],</w:t>
      </w:r>
    </w:p>
    <w:p>
      <w:pPr>
        <w:pStyle w:val="CodeBlock"/>
        <w:keepLines/>
        <w:shd w:fill="F3F6F9"/>
      </w:pPr>
      <w:r>
        <w:t xml:space="preserve">  "review_state": "teacher_review_required",</w:t>
      </w:r>
    </w:p>
    <w:p>
      <w:pPr>
        <w:pStyle w:val="CodeBlock"/>
        <w:keepLines/>
        <w:shd w:fill="F3F6F9"/>
      </w:pPr>
      <w:r>
        <w:t xml:space="preserve">  "version": 1</w:t>
      </w:r>
    </w:p>
    <w:p>
      <w:pPr>
        <w:pStyle w:val="CodeBlock"/>
        <w:keepLines/>
        <w:shd w:fill="F3F6F9"/>
      </w:pPr>
      <w:r>
        <w:t>}</w:t>
      </w:r>
    </w:p>
    <w:p>
      <w:pPr>
        <w:pStyle w:val="Heading2"/>
      </w:pPr>
      <w:r>
        <w:t>B.2 Question record</w:t>
      </w:r>
    </w:p>
    <w:p>
      <w:pPr>
        <w:pStyle w:val="CodeBlock"/>
        <w:keepLines/>
        <w:shd w:fill="F3F6F9"/>
      </w:pPr>
      <w:r>
        <w:t>{</w:t>
      </w:r>
    </w:p>
    <w:p>
      <w:pPr>
        <w:pStyle w:val="CodeBlock"/>
        <w:keepLines/>
        <w:shd w:fill="F3F6F9"/>
      </w:pPr>
      <w:r>
        <w:t xml:space="preserve">  "question_id": "demo.mechanics.constant_acceleration.0001",</w:t>
      </w:r>
    </w:p>
    <w:p>
      <w:pPr>
        <w:pStyle w:val="CodeBlock"/>
        <w:keepLines/>
        <w:shd w:fill="F3F6F9"/>
      </w:pPr>
      <w:r>
        <w:t xml:space="preserve">  "content_status": "synthetic_demo",</w:t>
      </w:r>
    </w:p>
    <w:p>
      <w:pPr>
        <w:pStyle w:val="CodeBlock"/>
        <w:keepLines/>
        <w:shd w:fill="F3F6F9"/>
      </w:pPr>
      <w:r>
        <w:t xml:space="preserve">  "exam": null,</w:t>
      </w:r>
    </w:p>
    <w:p>
      <w:pPr>
        <w:pStyle w:val="CodeBlock"/>
        <w:keepLines/>
        <w:shd w:fill="F3F6F9"/>
      </w:pPr>
      <w:r>
        <w:t xml:space="preserve">  "source_asset_id": null,</w:t>
      </w:r>
    </w:p>
    <w:p>
      <w:pPr>
        <w:pStyle w:val="CodeBlock"/>
        <w:keepLines/>
        <w:shd w:fill="F3F6F9"/>
      </w:pPr>
      <w:r>
        <w:t xml:space="preserve">  "rights_status": "synthetic_owned",</w:t>
      </w:r>
    </w:p>
    <w:p>
      <w:pPr>
        <w:pStyle w:val="CodeBlock"/>
        <w:keepLines/>
        <w:shd w:fill="F3F6F9"/>
      </w:pPr>
      <w:r>
        <w:t xml:space="preserve">  "statement": "A particle starts at x0=2 m with v0=3 m/s and constant a=2 m/s^2. Find x at t=4 s.",</w:t>
      </w:r>
    </w:p>
    <w:p>
      <w:pPr>
        <w:pStyle w:val="CodeBlock"/>
        <w:keepLines/>
        <w:shd w:fill="F3F6F9"/>
      </w:pPr>
      <w:r>
        <w:t xml:space="preserve">  "problem_family": "constant_acceleration_1d",</w:t>
      </w:r>
    </w:p>
    <w:p>
      <w:pPr>
        <w:pStyle w:val="CodeBlock"/>
        <w:keepLines/>
        <w:shd w:fill="F3F6F9"/>
      </w:pPr>
      <w:r>
        <w:t xml:space="preserve">  "inputs": {"x0_m": 2, "v0_mps": 3, "a_mps2": 2, "t_s": 4},</w:t>
      </w:r>
    </w:p>
    <w:p>
      <w:pPr>
        <w:pStyle w:val="CodeBlock"/>
        <w:keepLines/>
        <w:shd w:fill="F3F6F9"/>
      </w:pPr>
      <w:r>
        <w:t xml:space="preserve">  "official_answer": null,</w:t>
      </w:r>
    </w:p>
    <w:p>
      <w:pPr>
        <w:pStyle w:val="CodeBlock"/>
        <w:keepLines/>
        <w:shd w:fill="F3F6F9"/>
      </w:pPr>
      <w:r>
        <w:t xml:space="preserve">  "computed_answer_ref": "verification://run-id",</w:t>
      </w:r>
    </w:p>
    <w:p>
      <w:pPr>
        <w:pStyle w:val="CodeBlock"/>
        <w:keepLines/>
        <w:shd w:fill="F3F6F9"/>
      </w:pPr>
      <w:r>
        <w:t xml:space="preserve">  "reviewed_answer": {"value": 30, "unit": "m"},</w:t>
      </w:r>
    </w:p>
    <w:p>
      <w:pPr>
        <w:pStyle w:val="CodeBlock"/>
        <w:keepLines/>
        <w:shd w:fill="F3F6F9"/>
      </w:pPr>
      <w:r>
        <w:t xml:space="preserve">  "concept_links": [],</w:t>
      </w:r>
    </w:p>
    <w:p>
      <w:pPr>
        <w:pStyle w:val="CodeBlock"/>
        <w:keepLines/>
        <w:shd w:fill="F3F6F9"/>
      </w:pPr>
      <w:r>
        <w:t xml:space="preserve">  "review_state": "demo_only",</w:t>
      </w:r>
    </w:p>
    <w:p>
      <w:pPr>
        <w:pStyle w:val="CodeBlock"/>
        <w:keepLines/>
        <w:shd w:fill="F3F6F9"/>
      </w:pPr>
      <w:r>
        <w:t xml:space="preserve">  "version": 1</w:t>
      </w:r>
    </w:p>
    <w:p>
      <w:pPr>
        <w:pStyle w:val="CodeBlock"/>
        <w:keepLines/>
        <w:shd w:fill="F3F6F9"/>
      </w:pPr>
      <w:r>
        <w:t>}</w:t>
      </w:r>
    </w:p>
    <w:p>
      <w:pPr>
        <w:pStyle w:val="Heading2"/>
      </w:pPr>
      <w:r>
        <w:t>B.3 Verification test case</w:t>
      </w:r>
    </w:p>
    <w:p>
      <w:pPr>
        <w:pStyle w:val="CodeBlock"/>
        <w:keepLines/>
        <w:shd w:fill="F3F6F9"/>
      </w:pPr>
      <w:r>
        <w:t>{</w:t>
      </w:r>
    </w:p>
    <w:p>
      <w:pPr>
        <w:pStyle w:val="CodeBlock"/>
        <w:keepLines/>
        <w:shd w:fill="F3F6F9"/>
      </w:pPr>
      <w:r>
        <w:t xml:space="preserve">  "test_id": "kinematics.zero_time",</w:t>
      </w:r>
    </w:p>
    <w:p>
      <w:pPr>
        <w:pStyle w:val="CodeBlock"/>
        <w:keepLines/>
        <w:shd w:fill="F3F6F9"/>
      </w:pPr>
      <w:r>
        <w:t xml:space="preserve">  "family": "constant_acceleration_1d",</w:t>
      </w:r>
    </w:p>
    <w:p>
      <w:pPr>
        <w:pStyle w:val="CodeBlock"/>
        <w:keepLines/>
        <w:shd w:fill="F3F6F9"/>
      </w:pPr>
      <w:r>
        <w:t xml:space="preserve">  "input": {"x0_m": -7, "v0_mps": 12, "a_mps2": -4, "t_s": 0},</w:t>
      </w:r>
    </w:p>
    <w:p>
      <w:pPr>
        <w:pStyle w:val="CodeBlock"/>
        <w:keepLines/>
        <w:shd w:fill="F3F6F9"/>
      </w:pPr>
      <w:r>
        <w:t xml:space="preserve">  "expected": {"x_m": -7, "v_mps": 12},</w:t>
      </w:r>
    </w:p>
    <w:p>
      <w:pPr>
        <w:pStyle w:val="CodeBlock"/>
        <w:keepLines/>
        <w:shd w:fill="F3F6F9"/>
      </w:pPr>
      <w:r>
        <w:t xml:space="preserve">  "checks": ["exact_or_tolerance_match", "dimension_check"],</w:t>
      </w:r>
    </w:p>
    <w:p>
      <w:pPr>
        <w:pStyle w:val="CodeBlock"/>
        <w:keepLines/>
        <w:shd w:fill="F3F6F9"/>
      </w:pPr>
      <w:r>
        <w:t xml:space="preserve">  "purpose": "At zero elapsed time, position and velocity equal initial values"</w:t>
      </w:r>
    </w:p>
    <w:p>
      <w:pPr>
        <w:pStyle w:val="CodeBlock"/>
        <w:keepLines/>
        <w:shd w:fill="F3F6F9"/>
      </w:pPr>
      <w:r>
        <w:t>}</w:t>
      </w:r>
    </w:p>
    <w:p>
      <w:pPr>
        <w:pStyle w:val="Heading1"/>
      </w:pPr>
      <w:r>
        <w:t>APPENDIX C — Starter prompt for a coding agent</w:t>
      </w:r>
    </w:p>
    <w:tbl>
      <w:tblPr>
        <w:tblW w:type="auto" w:w="0"/>
        <w:jc w:val="center"/>
        <w:tblLook w:firstColumn="1" w:firstRow="1" w:lastColumn="0" w:lastRow="0" w:noHBand="0" w:noVBand="1" w:val="04A0"/>
      </w:tblPr>
      <w:tblGrid>
        <w:gridCol w:w="9994"/>
      </w:tblGrid>
      <w:tr>
        <w:trPr>
          <w:tblHeader w:val="true"/>
        </w:trPr>
        <w:tc>
          <w:tcPr>
            <w:tcW w:type="dxa" w:w="9994"/>
            <w:shd w:fill="EEF5F8"/>
            <w:tcMar>
              <w:top w:w="150" w:type="dxa"/>
              <w:start w:w="180" w:type="dxa"/>
              <w:bottom w:w="150" w:type="dxa"/>
              <w:end w:w="180" w:type="dxa"/>
            </w:tcMar>
          </w:tcPr>
          <w:p>
            <w:pPr>
              <w:spacing w:after="60"/>
            </w:pPr>
            <w:r>
              <w:rPr>
                <w:b/>
                <w:color w:val="176B87"/>
                <w:sz w:val="17"/>
              </w:rPr>
              <w:t>COPY THIS INTO YOUR CODING AGENT AFTER OPENING THE REPOSITORY</w:t>
            </w:r>
          </w:p>
          <w:p>
            <w:pPr>
              <w:spacing w:after="0"/>
            </w:pPr>
            <w:r>
              <w:rPr>
                <w:sz w:val="18"/>
              </w:rPr>
              <w:t>The prompt is deliberately constrained so an agent builds a tested vertical slice instead of inventing a large unimplemented architecture.</w:t>
            </w:r>
          </w:p>
        </w:tc>
      </w:tr>
    </w:tbl>
    <w:p>
      <w:pPr>
        <w:spacing w:after="20"/>
      </w:pPr>
    </w:p>
    <w:p>
      <w:pPr>
        <w:pStyle w:val="CodeBlock"/>
        <w:keepLines/>
        <w:shd w:fill="F3F6F9"/>
      </w:pPr>
      <w:r>
        <w:t>You are the senior engineer implementing Saem EdTech in this repository.</w:t>
      </w:r>
    </w:p>
    <w:p>
      <w:pPr>
        <w:pStyle w:val="CodeBlock"/>
        <w:keepLines/>
        <w:shd w:fill="F3F6F9"/>
      </w:pPr>
      <w:r>
        <w:t xml:space="preserve"> </w:t>
      </w:r>
    </w:p>
    <w:p>
      <w:pPr>
        <w:pStyle w:val="CodeBlock"/>
        <w:keepLines/>
        <w:shd w:fill="F3F6F9"/>
      </w:pPr>
      <w:r>
        <w:t>MISSION</w:t>
      </w:r>
    </w:p>
    <w:p>
      <w:pPr>
        <w:pStyle w:val="CodeBlock"/>
        <w:keepLines/>
        <w:shd w:fill="F3F6F9"/>
      </w:pPr>
      <w:r>
        <w:t>Build a reproducible, reviewable scientific-learning platform. Preserve the three-engine</w:t>
      </w:r>
    </w:p>
    <w:p>
      <w:pPr>
        <w:pStyle w:val="CodeBlock"/>
        <w:keepLines/>
        <w:shd w:fill="F3F6F9"/>
      </w:pPr>
      <w:r>
        <w:t>boundary: (1) scientific correctness, (2) learner modelling, and (3) visual explanation.</w:t>
      </w:r>
    </w:p>
    <w:p>
      <w:pPr>
        <w:pStyle w:val="CodeBlock"/>
        <w:keepLines/>
        <w:shd w:fill="F3F6F9"/>
      </w:pPr>
      <w:r>
        <w:t>The runtime backend must use C# and C/C++ only. Python may run in the browser as UI code.</w:t>
      </w:r>
    </w:p>
    <w:p>
      <w:pPr>
        <w:pStyle w:val="CodeBlock"/>
        <w:keepLines/>
        <w:shd w:fill="F3F6F9"/>
      </w:pPr>
      <w:r>
        <w:t>Any Python-based rendering tool must be explicitly isolated and documented as build-time</w:t>
      </w:r>
    </w:p>
    <w:p>
      <w:pPr>
        <w:pStyle w:val="CodeBlock"/>
        <w:keepLines/>
        <w:shd w:fill="F3F6F9"/>
      </w:pPr>
      <w:r>
        <w:t>infrastructure; do not silently introduce a Python runtime API service.</w:t>
      </w:r>
    </w:p>
    <w:p>
      <w:pPr>
        <w:pStyle w:val="CodeBlock"/>
        <w:keepLines/>
        <w:shd w:fill="F3F6F9"/>
      </w:pPr>
      <w:r>
        <w:t xml:space="preserve"> </w:t>
      </w:r>
    </w:p>
    <w:p>
      <w:pPr>
        <w:pStyle w:val="CodeBlock"/>
        <w:keepLines/>
        <w:shd w:fill="F3F6F9"/>
      </w:pPr>
      <w:r>
        <w:t>FIRST MILESTONE ONLY</w:t>
      </w:r>
    </w:p>
    <w:p>
      <w:pPr>
        <w:pStyle w:val="CodeBlock"/>
        <w:keepLines/>
        <w:shd w:fill="F3F6F9"/>
      </w:pPr>
      <w:r>
        <w:t>1. Create the devcontainer and clear README quickstart.</w:t>
      </w:r>
    </w:p>
    <w:p>
      <w:pPr>
        <w:pStyle w:val="CodeBlock"/>
        <w:keepLines/>
        <w:shd w:fill="F3F6F9"/>
      </w:pPr>
      <w:r>
        <w:t>2. Define a strict question/input schema for a synthetic 1D constant-acceleration example.</w:t>
      </w:r>
    </w:p>
    <w:p>
      <w:pPr>
        <w:pStyle w:val="CodeBlock"/>
        <w:keepLines/>
        <w:shd w:fill="F3F6F9"/>
      </w:pPr>
      <w:r>
        <w:t>3. Implement the C++ solver behind a narrow C ABI, and a C# adapter if the API skeleton is</w:t>
      </w:r>
    </w:p>
    <w:p>
      <w:pPr>
        <w:pStyle w:val="CodeBlock"/>
        <w:keepLines/>
        <w:shd w:fill="F3F6F9"/>
      </w:pPr>
      <w:r>
        <w:t xml:space="preserve">   already present. Do not overengineer cross-language integration before testing it.</w:t>
      </w:r>
    </w:p>
    <w:p>
      <w:pPr>
        <w:pStyle w:val="CodeBlock"/>
        <w:keepLines/>
        <w:shd w:fill="F3F6F9"/>
      </w:pPr>
      <w:r>
        <w:t>4. Implement checks for input validation, units/dimensional consistency, zero-time and</w:t>
      </w:r>
    </w:p>
    <w:p>
      <w:pPr>
        <w:pStyle w:val="CodeBlock"/>
        <w:keepLines/>
        <w:shd w:fill="F3F6F9"/>
      </w:pPr>
      <w:r>
        <w:t xml:space="preserve">   zero-acceleration limits, hand-calculated cases, and an independent numerical check.</w:t>
      </w:r>
    </w:p>
    <w:p>
      <w:pPr>
        <w:pStyle w:val="CodeBlock"/>
        <w:keepLines/>
        <w:shd w:fill="F3F6F9"/>
      </w:pPr>
      <w:r>
        <w:t>5. Define a renderer-independent scene schema for one graph and moving time marker.</w:t>
      </w:r>
    </w:p>
    <w:p>
      <w:pPr>
        <w:pStyle w:val="CodeBlock"/>
        <w:keepLines/>
        <w:shd w:fill="F3F6F9"/>
      </w:pPr>
      <w:r>
        <w:t>6. Generate a preview only after solver checks pass. Label the question SYNTHETIC DEMO.</w:t>
      </w:r>
    </w:p>
    <w:p>
      <w:pPr>
        <w:pStyle w:val="CodeBlock"/>
        <w:keepLines/>
        <w:shd w:fill="F3F6F9"/>
      </w:pPr>
      <w:r>
        <w:t>7. Add unit tests, an integration test, a CI workflow, and an ADR documenting decisions.</w:t>
      </w:r>
    </w:p>
    <w:p>
      <w:pPr>
        <w:pStyle w:val="CodeBlock"/>
        <w:keepLines/>
        <w:shd w:fill="F3F6F9"/>
      </w:pPr>
      <w:r>
        <w:t xml:space="preserve"> </w:t>
      </w:r>
    </w:p>
    <w:p>
      <w:pPr>
        <w:pStyle w:val="CodeBlock"/>
        <w:keepLines/>
        <w:shd w:fill="F3F6F9"/>
      </w:pPr>
      <w:r>
        <w:t>RULES</w:t>
      </w:r>
    </w:p>
    <w:p>
      <w:pPr>
        <w:pStyle w:val="CodeBlock"/>
        <w:keepLines/>
        <w:shd w:fill="F3F6F9"/>
      </w:pPr>
      <w:r>
        <w:t>- Do not invent exam questions, source citations, rights status, or official answer keys.</w:t>
      </w:r>
    </w:p>
    <w:p>
      <w:pPr>
        <w:pStyle w:val="CodeBlock"/>
        <w:keepLines/>
        <w:shd w:fill="F3F6F9"/>
      </w:pPr>
      <w:r>
        <w:t>- Keep official answers, computed answers, and teacher-reviewed answers separate.</w:t>
      </w:r>
    </w:p>
    <w:p>
      <w:pPr>
        <w:pStyle w:val="CodeBlock"/>
        <w:keepLines/>
        <w:shd w:fill="F3F6F9"/>
      </w:pPr>
      <w:r>
        <w:t>- Fail closed on malformed input or unknown rights for public publishing.</w:t>
      </w:r>
    </w:p>
    <w:p>
      <w:pPr>
        <w:pStyle w:val="CodeBlock"/>
        <w:keepLines/>
        <w:shd w:fill="F3F6F9"/>
      </w:pPr>
      <w:r>
        <w:t>- Never report “proven correct”; report which checks passed and what they do not prove.</w:t>
      </w:r>
    </w:p>
    <w:p>
      <w:pPr>
        <w:pStyle w:val="CodeBlock"/>
        <w:keepLines/>
        <w:shd w:fill="F3F6F9"/>
      </w:pPr>
      <w:r>
        <w:t>- Every generated output must include versions and enough metadata to reproduce it.</w:t>
      </w:r>
    </w:p>
    <w:p>
      <w:pPr>
        <w:pStyle w:val="CodeBlock"/>
        <w:keepLines/>
        <w:shd w:fill="F3F6F9"/>
      </w:pPr>
      <w:r>
        <w:t>- Keep commits small and edit only files needed for this milestone.</w:t>
      </w:r>
    </w:p>
    <w:p>
      <w:pPr>
        <w:pStyle w:val="CodeBlock"/>
        <w:keepLines/>
        <w:shd w:fill="F3F6F9"/>
      </w:pPr>
      <w:r>
        <w:t>- If a requirement is ambiguous, document the assumption and choose the safest reversible option.</w:t>
      </w:r>
    </w:p>
    <w:p>
      <w:pPr>
        <w:pStyle w:val="CodeBlock"/>
        <w:keepLines/>
        <w:shd w:fill="F3F6F9"/>
      </w:pPr>
      <w:r>
        <w:t xml:space="preserve"> </w:t>
      </w:r>
    </w:p>
    <w:p>
      <w:pPr>
        <w:pStyle w:val="CodeBlock"/>
        <w:keepLines/>
        <w:shd w:fill="F3F6F9"/>
      </w:pPr>
      <w:r>
        <w:t>ACCEPTANCE</w:t>
      </w:r>
    </w:p>
    <w:p>
      <w:pPr>
        <w:pStyle w:val="CodeBlock"/>
        <w:keepLines/>
        <w:shd w:fill="F3F6F9"/>
      </w:pPr>
      <w:r>
        <w:t>A new Codespace can run the documented commands; tests pass; synthetic example returns</w:t>
      </w:r>
    </w:p>
    <w:p>
      <w:pPr>
        <w:pStyle w:val="CodeBlock"/>
        <w:keepLines/>
        <w:shd w:fill="F3F6F9"/>
      </w:pPr>
      <w:r>
        <w:t>x=30 m and v=11 m/s at t=4 s; boundary cases pass; failures are typed and visible; one scene</w:t>
      </w:r>
    </w:p>
    <w:p>
      <w:pPr>
        <w:pStyle w:val="CodeBlock"/>
        <w:keepLines/>
        <w:shd w:fill="F3F6F9"/>
      </w:pPr>
      <w:r>
        <w:t>preview is reproducible; no secret or unlicensed exam content is committed.</w:t>
      </w:r>
    </w:p>
    <w:p>
      <w:pPr>
        <w:pStyle w:val="CodeBlock"/>
        <w:keepLines/>
        <w:shd w:fill="F3F6F9"/>
      </w:pPr>
      <w:r>
        <w:t xml:space="preserve"> </w:t>
      </w:r>
    </w:p>
    <w:p>
      <w:pPr>
        <w:pStyle w:val="CodeBlock"/>
        <w:keepLines/>
        <w:shd w:fill="F3F6F9"/>
      </w:pPr>
      <w:r>
        <w:t>Before coding: inspect the repository and list the files you intend to create/change.</w:t>
      </w:r>
    </w:p>
    <w:p>
      <w:pPr>
        <w:pStyle w:val="CodeBlock"/>
        <w:keepLines/>
        <w:shd w:fill="F3F6F9"/>
      </w:pPr>
      <w:r>
        <w:t>After coding: run the full relevant test suite, show results, summarize design decisions,</w:t>
      </w:r>
    </w:p>
    <w:p>
      <w:pPr>
        <w:pStyle w:val="CodeBlock"/>
        <w:keepLines/>
        <w:shd w:fill="F3F6F9"/>
      </w:pPr>
      <w:r>
        <w:t>list limitations, and identify any check that is only a consistency check rather than an</w:t>
      </w:r>
    </w:p>
    <w:p>
      <w:pPr>
        <w:pStyle w:val="CodeBlock"/>
        <w:keepLines/>
        <w:shd w:fill="F3F6F9"/>
      </w:pPr>
      <w:r>
        <w:t>independent verification.</w:t>
      </w:r>
    </w:p>
    <w:p>
      <w:pPr>
        <w:pStyle w:val="Heading1"/>
      </w:pPr>
      <w:r>
        <w:t>APPENDIX D — Acceptance-test checklist</w:t>
      </w:r>
    </w:p>
    <w:p>
      <w:pPr>
        <w:pStyle w:val="ListBullet"/>
        <w:spacing w:after="40"/>
      </w:pPr>
      <w:r>
        <w:t>☐ Fresh Codespace setup succeeds using only documented steps.</w:t>
      </w:r>
    </w:p>
    <w:p>
      <w:pPr>
        <w:pStyle w:val="ListBullet"/>
        <w:spacing w:after="40"/>
      </w:pPr>
      <w:r>
        <w:t>☐ No secrets or credentials are present in tracked files.</w:t>
      </w:r>
    </w:p>
    <w:p>
      <w:pPr>
        <w:pStyle w:val="ListBullet"/>
        <w:spacing w:after="40"/>
      </w:pPr>
      <w:r>
        <w:t>☐ Question schema rejects missing required values and invalid units.</w:t>
      </w:r>
    </w:p>
    <w:p>
      <w:pPr>
        <w:pStyle w:val="ListBullet"/>
        <w:spacing w:after="40"/>
      </w:pPr>
      <w:r>
        <w:t>☐ Question record preserves source and rights states independently from answer fields.</w:t>
      </w:r>
    </w:p>
    <w:p>
      <w:pPr>
        <w:pStyle w:val="ListBullet"/>
        <w:spacing w:after="40"/>
      </w:pPr>
      <w:r>
        <w:t>☐ Official, computed, and reviewed answers are never silently overwritten by one another.</w:t>
      </w:r>
    </w:p>
    <w:p>
      <w:pPr>
        <w:pStyle w:val="ListBullet"/>
        <w:spacing w:after="40"/>
      </w:pPr>
      <w:r>
        <w:t>☐ Solver tests include hand-calculated values and boundary/limiting cases.</w:t>
      </w:r>
    </w:p>
    <w:p>
      <w:pPr>
        <w:pStyle w:val="ListBullet"/>
        <w:spacing w:after="40"/>
      </w:pPr>
      <w:r>
        <w:t>☐ At least one independent numerical or alternate-formulation check is used where valid.</w:t>
      </w:r>
    </w:p>
    <w:p>
      <w:pPr>
        <w:pStyle w:val="ListBullet"/>
        <w:spacing w:after="40"/>
      </w:pPr>
      <w:r>
        <w:t>☐ Every check reports its own status, inputs, and solver/version metadata.</w:t>
      </w:r>
    </w:p>
    <w:p>
      <w:pPr>
        <w:pStyle w:val="ListBullet"/>
        <w:spacing w:after="40"/>
      </w:pPr>
      <w:r>
        <w:t>☐ Unknown problem families return an explicit unsupported status rather than a guessed solution.</w:t>
      </w:r>
    </w:p>
    <w:p>
      <w:pPr>
        <w:pStyle w:val="ListBullet"/>
        <w:spacing w:after="40"/>
      </w:pPr>
      <w:r>
        <w:t>☐ Concept tags distinguish model-suggested from teacher-reviewed links.</w:t>
      </w:r>
    </w:p>
    <w:p>
      <w:pPr>
        <w:pStyle w:val="ListBullet"/>
        <w:spacing w:after="40"/>
      </w:pPr>
      <w:r>
        <w:t>☐ Scene IR is schema-validated and does not contain hidden unreviewed equations.</w:t>
      </w:r>
    </w:p>
    <w:p>
      <w:pPr>
        <w:pStyle w:val="ListBullet"/>
        <w:spacing w:after="40"/>
      </w:pPr>
      <w:r>
        <w:t>☐ Generated graph axes and physical units match the approved model.</w:t>
      </w:r>
    </w:p>
    <w:p>
      <w:pPr>
        <w:pStyle w:val="ListBullet"/>
        <w:spacing w:after="40"/>
      </w:pPr>
      <w:r>
        <w:t>☐ Preview can be reproduced from versioned scene data and pinned dependencies.</w:t>
      </w:r>
    </w:p>
    <w:p>
      <w:pPr>
        <w:pStyle w:val="ListBullet"/>
        <w:spacing w:after="40"/>
      </w:pPr>
      <w:r>
        <w:t>☐ Public release blocks when rights or approval status is unknown.</w:t>
      </w:r>
    </w:p>
    <w:p>
      <w:pPr>
        <w:pStyle w:val="ListBullet"/>
        <w:spacing w:after="40"/>
      </w:pPr>
      <w:r>
        <w:t>☐ Learner events are minimised, access-controlled, and retention-governed.</w:t>
      </w:r>
    </w:p>
    <w:p>
      <w:pPr>
        <w:pStyle w:val="ListBullet"/>
        <w:spacing w:after="40"/>
      </w:pPr>
      <w:r>
        <w:t>☐ Quantum-cognition candidate is compared with strong baselines on held-out data.</w:t>
      </w:r>
    </w:p>
    <w:p>
      <w:pPr>
        <w:pStyle w:val="ListBullet"/>
        <w:spacing w:after="40"/>
      </w:pPr>
      <w:r>
        <w:t>☐ No quantum advantage is claimed unless a reproducible evaluation supports the claim.</w:t>
      </w:r>
    </w:p>
    <w:p>
      <w:pPr>
        <w:pStyle w:val="ListBullet"/>
        <w:spacing w:after="40"/>
      </w:pPr>
      <w:r>
        <w:t>☐ Pull request CI runs formatting, schema validation, unit tests, and native compilation.</w:t>
      </w:r>
    </w:p>
    <w:p>
      <w:pPr>
        <w:pStyle w:val="ListBullet"/>
        <w:spacing w:after="40"/>
      </w:pPr>
      <w:r>
        <w:t>☐ An ADR records the Python UI and runtime-backend policy.</w:t>
      </w:r>
    </w:p>
    <w:p>
      <w:pPr>
        <w:pStyle w:val="ListBullet"/>
        <w:spacing w:after="40"/>
      </w:pPr>
      <w:r>
        <w:t>☐ A teacher can reject, revise, approve, and retire a lesson with an audit record.</w:t>
      </w:r>
    </w:p>
    <w:p>
      <w:pPr>
        <w:pStyle w:val="Heading1"/>
      </w:pPr>
      <w:r>
        <w:t>APPENDIX E — Research bibliography and technical documentation</w:t>
      </w:r>
    </w:p>
    <w:p>
      <w:r>
        <w:rPr>
          <w:i w:val="0"/>
        </w:rPr>
        <w:t>The following are useful starting references for the concepts discussed. They are cited by bracketed identifiers throughout the book. Verify edition details, links, and applicability before using the document as a formal academic publication.</w:t>
      </w:r>
    </w:p>
    <w:p>
      <w:pPr>
        <w:spacing w:after="80"/>
      </w:pPr>
      <w:r>
        <w:rPr>
          <w:b/>
          <w:color w:val="16324F"/>
        </w:rPr>
        <w:t xml:space="preserve">[R1] Roediger, H. L., III, &amp; Karpicke, J. D. (2006). </w:t>
      </w:r>
      <w:r>
        <w:t>Test-enhanced learning: Taking memory tests improves long-term retention. Psychological Science, 17(3), 249–255. https://doi.org/10.1111/j.1467-9280.2006.01693.x</w:t>
      </w:r>
    </w:p>
    <w:p>
      <w:pPr>
        <w:spacing w:after="80"/>
      </w:pPr>
      <w:r>
        <w:rPr>
          <w:b/>
          <w:color w:val="16324F"/>
        </w:rPr>
        <w:t xml:space="preserve">[R2] Cepeda, N. J., Pashler, H., Vul, E., Wixted, J. T., &amp; Rohrer, D. (2006). </w:t>
      </w:r>
      <w:r>
        <w:t>Distributed practice in verbal recall tasks: A review and quantitative synthesis. Psychological Bulletin, 132(3), 354–380. https://doi.org/10.1037/0033-2909.132.3.354</w:t>
      </w:r>
    </w:p>
    <w:p>
      <w:pPr>
        <w:spacing w:after="80"/>
      </w:pPr>
      <w:r>
        <w:rPr>
          <w:b/>
          <w:color w:val="16324F"/>
        </w:rPr>
        <w:t xml:space="preserve">[R3] Dunlosky, J., Rawson, K. A., Marsh, E. J., Nathan, M. J., &amp; Willingham, D. T. (2013). </w:t>
      </w:r>
      <w:r>
        <w:t>Improving students’ learning with effective learning techniques: Promising directions from cognitive and educational psychology. Psychological Science in the Public Interest, 14(1), 4–58. https://doi.org/10.1177/1529100612453266</w:t>
      </w:r>
    </w:p>
    <w:p>
      <w:pPr>
        <w:spacing w:after="80"/>
      </w:pPr>
      <w:r>
        <w:rPr>
          <w:b/>
          <w:color w:val="16324F"/>
        </w:rPr>
        <w:t xml:space="preserve">[R4] Corbett, A. T., &amp; Anderson, J. R. (1995). </w:t>
      </w:r>
      <w:r>
        <w:t>Knowledge tracing: Modeling the acquisition of procedural knowledge. User Modeling and User-Adapted Interaction, 4, 253–278. https://doi.org/10.1007/BF01099821</w:t>
      </w:r>
    </w:p>
    <w:p>
      <w:pPr>
        <w:spacing w:after="80"/>
      </w:pPr>
      <w:r>
        <w:rPr>
          <w:b/>
          <w:color w:val="16324F"/>
        </w:rPr>
        <w:t xml:space="preserve">[R5] Lord, F. M. (1980). </w:t>
      </w:r>
      <w:r>
        <w:t>Applications of Item Response Theory to Practical Testing Problems. Lawrence Erlbaum Associates.</w:t>
      </w:r>
    </w:p>
    <w:p>
      <w:pPr>
        <w:spacing w:after="80"/>
      </w:pPr>
      <w:r>
        <w:rPr>
          <w:b/>
          <w:color w:val="16324F"/>
        </w:rPr>
        <w:t xml:space="preserve">[R6] Busemeyer, J. R., &amp; Bruza, P. D. (2012). </w:t>
      </w:r>
      <w:r>
        <w:t>Quantum Models of Cognition and Decision. Cambridge University Press.</w:t>
      </w:r>
    </w:p>
    <w:p>
      <w:pPr>
        <w:spacing w:after="80"/>
      </w:pPr>
      <w:r>
        <w:rPr>
          <w:b/>
          <w:color w:val="16324F"/>
        </w:rPr>
        <w:t xml:space="preserve">[R7] Pothos, E. M., &amp; Busemeyer, J. R. (2013). </w:t>
      </w:r>
      <w:r>
        <w:t>Can quantum probability provide a new direction for cognitive modeling? Behavioral and Brain Sciences, 36(3), 255–274. https://doi.org/10.1017/S0140525X12001525</w:t>
      </w:r>
    </w:p>
    <w:p>
      <w:pPr>
        <w:spacing w:after="80"/>
      </w:pPr>
      <w:r>
        <w:rPr>
          <w:b/>
          <w:color w:val="16324F"/>
        </w:rPr>
        <w:t xml:space="preserve">[R8] Feynman, R. P., Leighton, R. B., &amp; Sands, M. (1963 and subsequent editions). </w:t>
      </w:r>
      <w:r>
        <w:t>The Feynman Lectures on Physics. Online text: https://www.feynmanlectures.caltech.edu/</w:t>
      </w:r>
    </w:p>
    <w:p>
      <w:pPr>
        <w:spacing w:after="80"/>
      </w:pPr>
      <w:r>
        <w:rPr>
          <w:b/>
          <w:color w:val="16324F"/>
        </w:rPr>
        <w:t xml:space="preserve">[R9] Strang, G. (various editions). </w:t>
      </w:r>
      <w:r>
        <w:t>Introduction to Linear Algebra. Wellesley-Cambridge Press. Use as a reference for structural mathematical explanations, not as a source to copy.</w:t>
      </w:r>
    </w:p>
    <w:p>
      <w:pPr>
        <w:spacing w:after="80"/>
      </w:pPr>
      <w:r>
        <w:rPr>
          <w:b/>
          <w:color w:val="16324F"/>
        </w:rPr>
        <w:t xml:space="preserve">[R10] Freeman, S., et al. (2014). </w:t>
      </w:r>
      <w:r>
        <w:t>Active learning increases student performance in science, engineering, and mathematics. Proceedings of the National Academy of Sciences, 111(23), 8410–8415. https://doi.org/10.1073/pnas.1319030111</w:t>
      </w:r>
    </w:p>
    <w:p>
      <w:pPr>
        <w:spacing w:after="80"/>
      </w:pPr>
      <w:r>
        <w:rPr>
          <w:b/>
          <w:color w:val="16324F"/>
        </w:rPr>
        <w:t xml:space="preserve">[R11] GitHub Docs. </w:t>
      </w:r>
      <w:r>
        <w:t>GitHub Codespaces documentation: https://docs.github.com/en/codespaces</w:t>
      </w:r>
    </w:p>
    <w:p>
      <w:pPr>
        <w:spacing w:after="80"/>
      </w:pPr>
      <w:r>
        <w:rPr>
          <w:b/>
          <w:color w:val="16324F"/>
        </w:rPr>
        <w:t xml:space="preserve">[R12] Microsoft Learn. </w:t>
      </w:r>
      <w:r>
        <w:t>ASP.NET Core documentation: https://learn.microsoft.com/aspnet/core</w:t>
      </w:r>
    </w:p>
    <w:p>
      <w:pPr>
        <w:spacing w:after="80"/>
      </w:pPr>
      <w:r>
        <w:rPr>
          <w:b/>
          <w:color w:val="16324F"/>
        </w:rPr>
        <w:t xml:space="preserve">[R13] SymPy documentation. </w:t>
      </w:r>
      <w:r>
        <w:t>Symbolic mathematics and equation manipulation: https://docs.sympy.org/</w:t>
      </w:r>
    </w:p>
    <w:p>
      <w:pPr>
        <w:spacing w:after="80"/>
      </w:pPr>
      <w:r>
        <w:rPr>
          <w:b/>
          <w:color w:val="16324F"/>
        </w:rPr>
        <w:t xml:space="preserve">[R14] Pint documentation. </w:t>
      </w:r>
      <w:r>
        <w:t>Units and dimensional quantities for Python workflows: https://pint.readthedocs.io/</w:t>
      </w:r>
    </w:p>
    <w:p>
      <w:pPr>
        <w:spacing w:after="80"/>
      </w:pPr>
      <w:r>
        <w:rPr>
          <w:b/>
          <w:color w:val="16324F"/>
        </w:rPr>
        <w:t xml:space="preserve">[R15] Manim Community documentation. </w:t>
      </w:r>
      <w:r>
        <w:t>Mathematical animation framework: https://docs.manim.community/</w:t>
      </w:r>
    </w:p>
    <w:p>
      <w:pPr>
        <w:spacing w:after="80"/>
      </w:pPr>
      <w:r>
        <w:rPr>
          <w:b/>
          <w:color w:val="16324F"/>
        </w:rPr>
        <w:t xml:space="preserve">[R16] Pyodide documentation. </w:t>
      </w:r>
      <w:r>
        <w:t>Python runtime compiled for the browser environment: https://pyodide.org/en/stable/</w:t>
      </w:r>
    </w:p>
    <w:p>
      <w:pPr>
        <w:spacing w:after="80"/>
      </w:pPr>
      <w:r>
        <w:rPr>
          <w:b/>
          <w:color w:val="16324F"/>
        </w:rPr>
        <w:t xml:space="preserve">[R17] PyScript documentation. </w:t>
      </w:r>
      <w:r>
        <w:t>Python-in-browser authoring approach: https://docs.pyscript.net/</w:t>
      </w:r>
    </w:p>
    <w:p>
      <w:pPr>
        <w:spacing w:after="80"/>
      </w:pPr>
      <w:r>
        <w:rPr>
          <w:b/>
          <w:color w:val="16324F"/>
        </w:rPr>
        <w:t xml:space="preserve">[R18] PostgreSQL documentation. </w:t>
      </w:r>
      <w:r>
        <w:t>Relational database behavior, indexing, security, and operations: https://www.postgresql.org/docs/</w:t>
      </w:r>
    </w:p>
    <w:p>
      <w:pPr>
        <w:pStyle w:val="Heading2"/>
      </w:pPr>
      <w:r>
        <w:t>Reading priority for Saem EdTech</w:t>
      </w:r>
    </w:p>
    <w:p>
      <w:pPr>
        <w:pStyle w:val="ListNumber"/>
        <w:spacing w:after="40"/>
      </w:pPr>
      <w:r>
        <w:t>Learning science: R1–R3 for retrieval, spacing, and evidence-based study techniques.</w:t>
      </w:r>
    </w:p>
    <w:p>
      <w:pPr>
        <w:pStyle w:val="ListNumber"/>
        <w:spacing w:after="40"/>
      </w:pPr>
      <w:r>
        <w:t>Learner modeling: R4–R5 for a transparent baseline before experimenting with complex models.</w:t>
      </w:r>
    </w:p>
    <w:p>
      <w:pPr>
        <w:pStyle w:val="ListNumber"/>
        <w:spacing w:after="40"/>
      </w:pPr>
      <w:r>
        <w:t>Quantum cognition: R6–R7 for the formal research frame and its limits.</w:t>
      </w:r>
    </w:p>
    <w:p>
      <w:pPr>
        <w:pStyle w:val="ListNumber"/>
        <w:spacing w:after="40"/>
      </w:pPr>
      <w:r>
        <w:t>Physics and mathematical explanation: R8–R9 for intellectual grounding and mathematical structure.</w:t>
      </w:r>
    </w:p>
    <w:p>
      <w:pPr>
        <w:pStyle w:val="ListNumber"/>
        <w:spacing w:after="40"/>
      </w:pPr>
      <w:r>
        <w:t>Engineering: R11–R18 for implementation details, read alongside versioned project decisions and tests.</w:t>
      </w:r>
    </w:p>
    <w:p>
      <w:pPr>
        <w:pStyle w:val="Heading1"/>
      </w:pPr>
      <w:r>
        <w:t>APPENDIX F —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vAlign w:val="center"/>
            <w:tcMar>
              <w:top w:w="90" w:type="dxa"/>
              <w:start w:w="100" w:type="dxa"/>
              <w:bottom w:w="90" w:type="dxa"/>
              <w:end w:w="100" w:type="dxa"/>
            </w:tcMar>
          </w:tcPr>
          <w:p>
            <w:pPr>
              <w:spacing w:after="0"/>
            </w:pPr>
            <w:r>
              <w:rPr>
                <w:b/>
                <w:color w:val="FFFFFF"/>
                <w:sz w:val="16"/>
              </w:rPr>
              <w:t>Term</w:t>
            </w:r>
          </w:p>
        </w:tc>
        <w:tc>
          <w:tcPr>
            <w:tcW w:type="dxa" w:w="4997"/>
            <w:shd w:fill="16324F"/>
            <w:vAlign w:val="center"/>
            <w:tcMar>
              <w:top w:w="90" w:type="dxa"/>
              <w:start w:w="100" w:type="dxa"/>
              <w:bottom w:w="90" w:type="dxa"/>
              <w:end w:w="100" w:type="dxa"/>
            </w:tcMar>
          </w:tcPr>
          <w:p>
            <w:pPr>
              <w:spacing w:after="0"/>
            </w:pPr>
            <w:r>
              <w:rPr>
                <w:b/>
                <w:color w:val="FFFFFF"/>
                <w:sz w:val="16"/>
              </w:rPr>
              <w:t>Meaning in this book</w:t>
            </w:r>
          </w:p>
        </w:tc>
      </w:tr>
      <w:tr>
        <w:tc>
          <w:tcPr>
            <w:tcW w:type="dxa" w:w="4997"/>
            <w:vAlign w:val="center"/>
            <w:tcMar>
              <w:top w:w="90" w:type="dxa"/>
              <w:start w:w="100" w:type="dxa"/>
              <w:bottom w:w="90" w:type="dxa"/>
              <w:end w:w="100" w:type="dxa"/>
            </w:tcMar>
          </w:tcPr>
          <w:p>
            <w:pPr>
              <w:spacing w:after="0" w:line="240" w:lineRule="auto"/>
            </w:pPr>
            <w:r>
              <w:rPr>
                <w:color w:val="243447"/>
                <w:sz w:val="16"/>
              </w:rPr>
              <w:t>BKT</w:t>
            </w:r>
          </w:p>
        </w:tc>
        <w:tc>
          <w:tcPr>
            <w:tcW w:type="dxa" w:w="4997"/>
            <w:vAlign w:val="center"/>
            <w:tcMar>
              <w:top w:w="90" w:type="dxa"/>
              <w:start w:w="100" w:type="dxa"/>
              <w:bottom w:w="90" w:type="dxa"/>
              <w:end w:w="100" w:type="dxa"/>
            </w:tcMar>
          </w:tcPr>
          <w:p>
            <w:pPr>
              <w:spacing w:after="0" w:line="240" w:lineRule="auto"/>
            </w:pPr>
            <w:r>
              <w:rPr>
                <w:color w:val="243447"/>
                <w:sz w:val="16"/>
              </w:rPr>
              <w:t>Bayesian Knowledge Tracing: a probabilistic model of mastery over a skill across response events.</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IRT</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Item Response Theory: a family of models linking item properties and learner response probability.</w:t>
            </w:r>
          </w:p>
        </w:tc>
      </w:tr>
      <w:tr>
        <w:tc>
          <w:tcPr>
            <w:tcW w:type="dxa" w:w="4997"/>
            <w:vAlign w:val="center"/>
            <w:tcMar>
              <w:top w:w="90" w:type="dxa"/>
              <w:start w:w="100" w:type="dxa"/>
              <w:bottom w:w="90" w:type="dxa"/>
              <w:end w:w="100" w:type="dxa"/>
            </w:tcMar>
          </w:tcPr>
          <w:p>
            <w:pPr>
              <w:spacing w:after="0" w:line="240" w:lineRule="auto"/>
            </w:pPr>
            <w:r>
              <w:rPr>
                <w:color w:val="243447"/>
                <w:sz w:val="16"/>
              </w:rPr>
              <w:t>Quantum cognition</w:t>
            </w:r>
          </w:p>
        </w:tc>
        <w:tc>
          <w:tcPr>
            <w:tcW w:type="dxa" w:w="4997"/>
            <w:vAlign w:val="center"/>
            <w:tcMar>
              <w:top w:w="90" w:type="dxa"/>
              <w:start w:w="100" w:type="dxa"/>
              <w:bottom w:w="90" w:type="dxa"/>
              <w:end w:w="100" w:type="dxa"/>
            </w:tcMar>
          </w:tcPr>
          <w:p>
            <w:pPr>
              <w:spacing w:after="0" w:line="240" w:lineRule="auto"/>
            </w:pPr>
            <w:r>
              <w:rPr>
                <w:color w:val="243447"/>
                <w:sz w:val="16"/>
              </w:rPr>
              <w:t>Use of quantum-probability formalism in cognitive models; does not automatically imply quantum hardware.</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Quantum-inspired</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Algorithmic ideas motivated by quantum theory but run on classical computers.</w:t>
            </w:r>
          </w:p>
        </w:tc>
      </w:tr>
      <w:tr>
        <w:tc>
          <w:tcPr>
            <w:tcW w:type="dxa" w:w="4997"/>
            <w:vAlign w:val="center"/>
            <w:tcMar>
              <w:top w:w="90" w:type="dxa"/>
              <w:start w:w="100" w:type="dxa"/>
              <w:bottom w:w="90" w:type="dxa"/>
              <w:end w:w="100" w:type="dxa"/>
            </w:tcMar>
          </w:tcPr>
          <w:p>
            <w:pPr>
              <w:spacing w:after="0" w:line="240" w:lineRule="auto"/>
            </w:pPr>
            <w:r>
              <w:rPr>
                <w:color w:val="243447"/>
                <w:sz w:val="16"/>
              </w:rPr>
              <w:t>Provenance</w:t>
            </w:r>
          </w:p>
        </w:tc>
        <w:tc>
          <w:tcPr>
            <w:tcW w:type="dxa" w:w="4997"/>
            <w:vAlign w:val="center"/>
            <w:tcMar>
              <w:top w:w="90" w:type="dxa"/>
              <w:start w:w="100" w:type="dxa"/>
              <w:bottom w:w="90" w:type="dxa"/>
              <w:end w:w="100" w:type="dxa"/>
            </w:tcMar>
          </w:tcPr>
          <w:p>
            <w:pPr>
              <w:spacing w:after="0" w:line="240" w:lineRule="auto"/>
            </w:pPr>
            <w:r>
              <w:rPr>
                <w:color w:val="243447"/>
                <w:sz w:val="16"/>
              </w:rPr>
              <w:t>A traceable record of where content came from and how it was transformed and reviewed.</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Concept graph</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A structured network of concepts and relations such as prerequisite, example, misconception, or equation.</w:t>
            </w:r>
          </w:p>
        </w:tc>
      </w:tr>
      <w:tr>
        <w:tc>
          <w:tcPr>
            <w:tcW w:type="dxa" w:w="4997"/>
            <w:vAlign w:val="center"/>
            <w:tcMar>
              <w:top w:w="90" w:type="dxa"/>
              <w:start w:w="100" w:type="dxa"/>
              <w:bottom w:w="90" w:type="dxa"/>
              <w:end w:w="100" w:type="dxa"/>
            </w:tcMar>
          </w:tcPr>
          <w:p>
            <w:pPr>
              <w:spacing w:after="0" w:line="240" w:lineRule="auto"/>
            </w:pPr>
            <w:r>
              <w:rPr>
                <w:color w:val="243447"/>
                <w:sz w:val="16"/>
              </w:rPr>
              <w:t>Scene IR</w:t>
            </w:r>
          </w:p>
        </w:tc>
        <w:tc>
          <w:tcPr>
            <w:tcW w:type="dxa" w:w="4997"/>
            <w:vAlign w:val="center"/>
            <w:tcMar>
              <w:top w:w="90" w:type="dxa"/>
              <w:start w:w="100" w:type="dxa"/>
              <w:bottom w:w="90" w:type="dxa"/>
              <w:end w:w="100" w:type="dxa"/>
            </w:tcMar>
          </w:tcPr>
          <w:p>
            <w:pPr>
              <w:spacing w:after="0" w:line="240" w:lineRule="auto"/>
            </w:pPr>
            <w:r>
              <w:rPr>
                <w:color w:val="243447"/>
                <w:sz w:val="16"/>
              </w:rPr>
              <w:t>Renderer-independent intermediate representation of the objects, claims, timing, and narrative in an animation.</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Vertical slice</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A narrow feature that traverses the whole system end to end and demonstrates real integration.</w:t>
            </w:r>
          </w:p>
        </w:tc>
      </w:tr>
      <w:tr>
        <w:tc>
          <w:tcPr>
            <w:tcW w:type="dxa" w:w="4997"/>
            <w:vAlign w:val="center"/>
            <w:tcMar>
              <w:top w:w="90" w:type="dxa"/>
              <w:start w:w="100" w:type="dxa"/>
              <w:bottom w:w="90" w:type="dxa"/>
              <w:end w:w="100" w:type="dxa"/>
            </w:tcMar>
          </w:tcPr>
          <w:p>
            <w:pPr>
              <w:spacing w:after="0" w:line="240" w:lineRule="auto"/>
            </w:pPr>
            <w:r>
              <w:rPr>
                <w:color w:val="243447"/>
                <w:sz w:val="16"/>
              </w:rPr>
              <w:t>Calibration</w:t>
            </w:r>
          </w:p>
        </w:tc>
        <w:tc>
          <w:tcPr>
            <w:tcW w:type="dxa" w:w="4997"/>
            <w:vAlign w:val="center"/>
            <w:tcMar>
              <w:top w:w="90" w:type="dxa"/>
              <w:start w:w="100" w:type="dxa"/>
              <w:bottom w:w="90" w:type="dxa"/>
              <w:end w:w="100" w:type="dxa"/>
            </w:tcMar>
          </w:tcPr>
          <w:p>
            <w:pPr>
              <w:spacing w:after="0" w:line="240" w:lineRule="auto"/>
            </w:pPr>
            <w:r>
              <w:rPr>
                <w:color w:val="243447"/>
                <w:sz w:val="16"/>
              </w:rPr>
              <w:t>Agreement between predicted probabilities and observed event frequencies.</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Metamorphic test</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A test of a known relationship between related inputs and outputs, useful when exact expected values are limited.</w:t>
            </w:r>
          </w:p>
        </w:tc>
      </w:tr>
      <w:tr>
        <w:tc>
          <w:tcPr>
            <w:tcW w:type="dxa" w:w="4997"/>
            <w:vAlign w:val="center"/>
            <w:tcMar>
              <w:top w:w="90" w:type="dxa"/>
              <w:start w:w="100" w:type="dxa"/>
              <w:bottom w:w="90" w:type="dxa"/>
              <w:end w:w="100" w:type="dxa"/>
            </w:tcMar>
          </w:tcPr>
          <w:p>
            <w:pPr>
              <w:spacing w:after="0" w:line="240" w:lineRule="auto"/>
            </w:pPr>
            <w:r>
              <w:rPr>
                <w:color w:val="243447"/>
                <w:sz w:val="16"/>
              </w:rPr>
              <w:t>ADR</w:t>
            </w:r>
          </w:p>
        </w:tc>
        <w:tc>
          <w:tcPr>
            <w:tcW w:type="dxa" w:w="4997"/>
            <w:vAlign w:val="center"/>
            <w:tcMar>
              <w:top w:w="90" w:type="dxa"/>
              <w:start w:w="100" w:type="dxa"/>
              <w:bottom w:w="90" w:type="dxa"/>
              <w:end w:w="100" w:type="dxa"/>
            </w:tcMar>
          </w:tcPr>
          <w:p>
            <w:pPr>
              <w:spacing w:after="0" w:line="240" w:lineRule="auto"/>
            </w:pPr>
            <w:r>
              <w:rPr>
                <w:color w:val="243447"/>
                <w:sz w:val="16"/>
              </w:rPr>
              <w:t>Architecture Decision Record: a concise record of a design decision and its consequences.</w:t>
            </w:r>
          </w:p>
        </w:tc>
      </w:tr>
      <w:tr>
        <w:tc>
          <w:tcPr>
            <w:tcW w:type="dxa" w:w="4997"/>
            <w:vAlign w:val="center"/>
            <w:tcMar>
              <w:top w:w="90" w:type="dxa"/>
              <w:start w:w="100" w:type="dxa"/>
              <w:bottom w:w="90" w:type="dxa"/>
              <w:end w:w="100" w:type="dxa"/>
            </w:tcMar>
            <w:shd w:fill="F2F6F9"/>
          </w:tcPr>
          <w:p>
            <w:pPr>
              <w:spacing w:after="0" w:line="240" w:lineRule="auto"/>
            </w:pPr>
            <w:r>
              <w:rPr>
                <w:color w:val="243447"/>
                <w:sz w:val="16"/>
              </w:rPr>
              <w:t>Human approval gate</w:t>
            </w:r>
          </w:p>
        </w:tc>
        <w:tc>
          <w:tcPr>
            <w:tcW w:type="dxa" w:w="4997"/>
            <w:vAlign w:val="center"/>
            <w:tcMar>
              <w:top w:w="90" w:type="dxa"/>
              <w:start w:w="100" w:type="dxa"/>
              <w:bottom w:w="90" w:type="dxa"/>
              <w:end w:w="100" w:type="dxa"/>
            </w:tcMar>
            <w:shd w:fill="F2F6F9"/>
          </w:tcPr>
          <w:p>
            <w:pPr>
              <w:spacing w:after="0" w:line="240" w:lineRule="auto"/>
            </w:pPr>
            <w:r>
              <w:rPr>
                <w:color w:val="243447"/>
                <w:sz w:val="16"/>
              </w:rPr>
              <w:t>An explicit review step required before an artifact or consequential model becomes an approved release.</w:t>
            </w:r>
          </w:p>
        </w:tc>
      </w:tr>
    </w:tbl>
    <w:p>
      <w:pPr>
        <w:spacing w:after="20"/>
      </w:pPr>
    </w:p>
    <w:p>
      <w:pPr>
        <w:pStyle w:val="Heading2"/>
      </w:pPr>
      <w:r>
        <w:t>First-week execution plan</w:t>
      </w:r>
    </w:p>
    <w:p>
      <w:pPr>
        <w:pStyle w:val="ListBullet"/>
        <w:spacing w:after="40"/>
      </w:pPr>
      <w:r>
        <w:t>Day 1: create the GitHub repository, select the runtime-language policy, and record it as ADR-0001.</w:t>
      </w:r>
    </w:p>
    <w:p>
      <w:pPr>
        <w:pStyle w:val="ListBullet"/>
        <w:spacing w:after="40"/>
      </w:pPr>
      <w:r>
        <w:t>Day 2: establish the Codespaces devcontainer, format/lint/test commands, and a synthetic-data-only rule for fixtures.</w:t>
      </w:r>
    </w:p>
    <w:p>
      <w:pPr>
        <w:pStyle w:val="ListBullet"/>
        <w:spacing w:after="40"/>
      </w:pPr>
      <w:r>
        <w:t>Day 3: define the strict question and solver-result schemas; include units, assumptions, provenance, and review state.</w:t>
      </w:r>
    </w:p>
    <w:p>
      <w:pPr>
        <w:pStyle w:val="ListBullet"/>
        <w:spacing w:after="40"/>
      </w:pPr>
      <w:r>
        <w:t>Day 4: implement constant-acceleration calculations with typed errors and hand-checked tests for zero time, zero acceleration, and signs.</w:t>
      </w:r>
    </w:p>
    <w:p>
      <w:pPr>
        <w:pStyle w:val="ListBullet"/>
        <w:spacing w:after="40"/>
      </w:pPr>
      <w:r>
        <w:t>Day 5: add at least one independent numerical or alternate-formulation check, then review what that check can and cannot prove.</w:t>
      </w:r>
    </w:p>
    <w:p>
      <w:pPr>
        <w:pStyle w:val="ListBullet"/>
        <w:spacing w:after="40"/>
      </w:pPr>
      <w:r>
        <w:t>Day 6: define a small scene IR and render one preview whose graph and values are driven by the validated question record.</w:t>
      </w:r>
    </w:p>
    <w:p>
      <w:pPr>
        <w:pStyle w:val="ListBullet"/>
        <w:spacing w:after="40"/>
      </w:pPr>
      <w:r>
        <w:t>Day 7: run the fresh-Codespace acceptance checklist, review the demo as a teacher, and open issues for every failed gate rather than hiding defects.</w:t>
      </w:r>
    </w:p>
    <w:p>
      <w:pPr>
        <w:spacing w:after="120"/>
      </w:pPr>
      <w:r>
        <w:t>Exit condition: the team can reproduce the same checked result and preview from a clean environment, explain every source and assumption, and point to tests for the failure modes it claims to cover.</w:t>
      </w:r>
    </w:p>
    <w:p>
      <w:pPr>
        <w:pStyle w:val="Heading1"/>
      </w:pPr>
      <w:r>
        <w:t>Closing operating doctrine</w:t>
      </w:r>
    </w:p>
    <w:tbl>
      <w:tblPr>
        <w:tblW w:type="auto" w:w="0"/>
        <w:jc w:val="center"/>
        <w:tblLook w:firstColumn="1" w:firstRow="1" w:lastColumn="0" w:lastRow="0" w:noHBand="0" w:noVBand="1" w:val="04A0"/>
      </w:tblPr>
      <w:tblGrid>
        <w:gridCol w:w="9994"/>
      </w:tblGrid>
      <w:tr>
        <w:trPr>
          <w:tblHeader w:val="true"/>
        </w:trPr>
        <w:tc>
          <w:tcPr>
            <w:tcW w:type="dxa" w:w="9994"/>
            <w:shd w:fill="EEF5F8"/>
            <w:tcMar>
              <w:top w:w="150" w:type="dxa"/>
              <w:start w:w="180" w:type="dxa"/>
              <w:bottom w:w="150" w:type="dxa"/>
              <w:end w:w="180" w:type="dxa"/>
            </w:tcMar>
          </w:tcPr>
          <w:p>
            <w:pPr>
              <w:spacing w:after="60"/>
            </w:pPr>
            <w:r>
              <w:rPr>
                <w:b/>
                <w:color w:val="176B87"/>
                <w:sz w:val="17"/>
              </w:rPr>
              <w:t>BUILD THE EVIDENCE BEFORE THE SCALE</w:t>
            </w:r>
          </w:p>
          <w:p>
            <w:pPr>
              <w:spacing w:after="0"/>
            </w:pPr>
            <w:r>
              <w:rPr>
                <w:sz w:val="18"/>
              </w:rPr>
              <w:t>Saem EdTech becomes real when one question can move from a rights-aware source record, through an explicit scientific model and independent checks, into a concept-aware explanation, an original visual lesson, a measured learning activity, and a human-approved release—reproducibly from Codespaces. Everything else should earn its place by improving that path.</w:t>
            </w:r>
          </w:p>
        </w:tc>
      </w:tr>
    </w:tbl>
    <w:p>
      <w:pPr>
        <w:spacing w:after="20"/>
      </w:pPr>
    </w:p>
    <w:p>
      <w:r>
        <w:rPr>
          <w:i w:val="0"/>
        </w:rPr>
        <w:t>The next concrete action is to create the repository and implement the synthetic mechanics vertical slice from Appendix C. In parallel, attach the separate books you intended this research to draw from. They can then be read chapter by chapter, integrated into the architecture with page-level citations, and used to refine the learner model and research hypotheses rather than being treated as inaccessible background.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Saem EdTech Research Book  •  Working specification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176B87"/>
        <w:sz w:val="15"/>
      </w:rPr>
      <w:t>SAEM EDTECH  /  RESEARCH &amp;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176B8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line="240" w:lineRule="auto"/>
      <w:ind w:left="259" w:right="173"/>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Saem EdTech Research and Codespaces Build Book</dc:title>
  <dc:subject>Research and implementation specification for Saem EdTech</dc:subject>
  <dc:creator>Saem EdTech Research</dc:creator>
  <cp:keywords>Saem EdTech, Codespaces, physics education, scientific verification, learner modeling, quantum cognition, Manim</cp:keywords>
  <dc:description>Research edition based on available SaemPhysics project documents and established reference literature; separate user reference books pending access.</dc:description>
  <cp:lastModifiedBy/>
  <cp:revision>1</cp:revision>
  <dcterms:created xsi:type="dcterms:W3CDTF">2013-12-23T23:15:00Z</dcterms:created>
  <dcterms:modified xsi:type="dcterms:W3CDTF">2013-12-23T23:15:00Z</dcterms:modified>
  <cp:category/>
</cp:coreProperties>
</file>