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t>Multi-omics data integration with COSMOS</w:t>
      </w:r>
    </w:p>
    <w:p>
      <w:pPr>
        <w:jc w:val="center"/>
      </w:pPr>
      <w:r>
        <w:t>Saez-Rodriguez Group</w:t>
      </w:r>
    </w:p>
    <w:p>
      <w:pPr>
        <w:jc w:val="center"/>
      </w:pPr>
      <w:r>
        <w:t>[Dates TBD], 2026</w:t>
      </w:r>
    </w:p>
    <w:p>
      <w:pPr>
        <w:pStyle w:val="Heading2"/>
        <w:jc w:val="both"/>
      </w:pPr>
      <w:r>
        <w:t>Overview</w:t>
      </w:r>
    </w:p>
    <w:p>
      <w:pPr>
        <w:jc w:val="both"/>
      </w:pPr>
      <w:r>
        <w:t xml:space="preserve">Understanding how cellular signalling cascades connect to metabolic changes is a central challenge in cancer biology. Multi-omics datasets—combining transcriptomics, phosphoproteomics, and metabolomics—offer complementary views of cellular state, but integrating them into a coherent mechanistic picture requires a structured computational framework. The central contribution of COSMOS (Causal Oriented Search of Multi-Omic Space) is a large, signed and directed prior knowledge network (PKN) that bridges signalling, gene regulation, and metabolism in a common interaction format (Dugourd </w:t>
      </w:r>
      <w:r>
        <w:rPr>
          <w:i/>
        </w:rPr>
        <w:t>et al.</w:t>
      </w:r>
      <w:r>
        <w:t xml:space="preserve"> 2021). A major part of this work involved parsing genome-scale metabolic models from the BiGG database and defining a set of rules to convert metabolic reactions—originally represented as stoichiometric equations with metabolites as nodes and reactions as hyperedges—into a signed, directed, simple interaction format (SIF) compatible with signalling networks from resources such as OmniPath. By unifying these two network types under a common representation, COSMOS enables algorithms that operate on signed directed graphs to reason jointly across signalling and metabolism. While this course focuses on the MOON algorithm (Dugourd </w:t>
      </w:r>
      <w:r>
        <w:rPr>
          <w:i/>
        </w:rPr>
        <w:t>et al.</w:t>
      </w:r>
      <w:r>
        <w:t xml:space="preserve"> 2024), the same PKN can be leveraged by other network inference methods such as CARNIVAL (Liu </w:t>
      </w:r>
      <w:r>
        <w:rPr>
          <w:i/>
        </w:rPr>
        <w:t>et al.</w:t>
      </w:r>
      <w:r>
        <w:t xml:space="preserve"> 2019) or CORNETO (Rodriguez-Mier </w:t>
      </w:r>
      <w:r>
        <w:rPr>
          <w:i/>
        </w:rPr>
        <w:t>et al.</w:t>
      </w:r>
      <w:r>
        <w:t xml:space="preserve"> 2025).</w:t>
      </w:r>
    </w:p>
    <w:p>
      <w:pPr>
        <w:jc w:val="both"/>
      </w:pPr>
      <w:r>
        <w:t>In this course, you will use the MOON (Meta-fOOtprint aNalysis) scoring algorithm to traverse this PKN. MOON propagates observed downstream measurements (e.g. metabolite abundances) upstream through the network, layer by layer, to estimate the activity of intermediate signalling nodes. At each layer, a node’s score reflects how consistently its direct targets are up- or down-regulated, accounting for the sign of each interaction. Edges that are incoherent with the observed RNA expression are iteratively pruned until the network converges. The result is a mechanistic subnetwork of the most significant nodes connecting transcription factor (TF) activities to metabolic changes, which can be visualised and explored in tools such as Cytoscape.</w:t>
      </w:r>
    </w:p>
    <w:p>
      <w:pPr>
        <w:jc w:val="both"/>
      </w:pPr>
      <w:r>
        <w:t>In this course, you will apply COSMOS to multi-omics data from the NCI-60 cancer cell line panel, a collection of 60 cell lines from 9 tissue types that has been extensively profiled at the transcriptomic and metabolomic levels. You will choose individual cell lines, run the MOON pipeline, interpret the resulting mechanistic networks, and compare results across cell lines to build intuition for what the method captures and where its limits are.</w:t>
      </w:r>
    </w:p>
    <w:p>
      <w:pPr>
        <w:pStyle w:val="Heading2"/>
        <w:jc w:val="both"/>
      </w:pPr>
      <w:r>
        <w:t>Expected outcomes</w:t>
      </w:r>
    </w:p>
    <w:p>
      <w:pPr>
        <w:jc w:val="both"/>
      </w:pPr>
      <w:r>
        <w:t>By the end of this course, you should be able to:</w:t>
      </w:r>
    </w:p>
    <w:p>
      <w:pPr>
        <w:ind w:left="720" w:hanging="360"/>
        <w:jc w:val="both"/>
      </w:pPr>
      <w:r>
        <w:t>•  Explore and interpret NCI-60 cell line multi-omics datasets (RNA-seq and metabolomics).</w:t>
      </w:r>
    </w:p>
    <w:p>
      <w:pPr>
        <w:ind w:left="720" w:hanging="360"/>
        <w:jc w:val="both"/>
      </w:pPr>
      <w:r>
        <w:t>•  Understand how transcription factor activities are estimated from RNA-seq data using footprint analysis.</w:t>
      </w:r>
    </w:p>
    <w:p>
      <w:pPr>
        <w:ind w:left="720" w:hanging="360"/>
        <w:jc w:val="both"/>
      </w:pPr>
      <w:r>
        <w:t>•  Use the cosmosR R package to integrate signalling and metabolic data with prior knowledge networks.</w:t>
      </w:r>
    </w:p>
    <w:p>
      <w:pPr>
        <w:ind w:left="720" w:hanging="360"/>
        <w:jc w:val="both"/>
      </w:pPr>
      <w:r>
        <w:t>•  Generate and interpret testable mechanistic hypotheses linking TF activity to metabolic changes.</w:t>
      </w:r>
    </w:p>
    <w:p>
      <w:pPr>
        <w:ind w:left="720" w:hanging="360"/>
        <w:jc w:val="both"/>
      </w:pPr>
      <w:r>
        <w:t>•  Critically evaluate the outputs of network-based multi-omics integration, including understanding the limits of the method.</w:t>
      </w:r>
    </w:p>
    <w:p>
      <w:pPr>
        <w:pStyle w:val="Heading2"/>
        <w:jc w:val="both"/>
      </w:pPr>
      <w:r>
        <w:t>Requirements</w:t>
      </w:r>
    </w:p>
    <w:p>
      <w:pPr>
        <w:jc w:val="both"/>
      </w:pPr>
      <w:r>
        <w:t>A computer (any standard laptop should do) with the following software installed:</w:t>
      </w:r>
    </w:p>
    <w:p>
      <w:pPr>
        <w:ind w:left="720" w:hanging="360"/>
        <w:jc w:val="both"/>
      </w:pPr>
      <w:r>
        <w:t>•  R (version 4.1 or later)</w:t>
      </w:r>
    </w:p>
    <w:p>
      <w:pPr>
        <w:ind w:left="720" w:hanging="360"/>
        <w:jc w:val="both"/>
      </w:pPr>
      <w:r>
        <w:t>•  RStudio</w:t>
      </w:r>
    </w:p>
    <w:p>
      <w:pPr>
        <w:ind w:left="720" w:hanging="360"/>
        <w:jc w:val="both"/>
      </w:pPr>
      <w:r>
        <w:t>•  cosmosR R package (installed from GitHub: saezlab/cosmosR)</w:t>
      </w:r>
    </w:p>
    <w:p>
      <w:pPr>
        <w:ind w:left="720" w:hanging="360"/>
        <w:jc w:val="both"/>
      </w:pPr>
      <w:r>
        <w:t>•  Git</w:t>
      </w:r>
    </w:p>
    <w:p>
      <w:pPr>
        <w:jc w:val="both"/>
      </w:pPr>
      <w:r>
        <w:t xml:space="preserve">Other R dependencies (decoupleR, reshape2, readr, igraph, ggplot2) will be installed automatically with cosmosR. Installation instructions are provided in the GitHub repository: </w:t>
      </w:r>
      <w:r>
        <w:rPr>
          <w:color w:val="1155CC"/>
        </w:rPr>
        <w:t>https://github.com/saezlab/COSMOS_basic</w:t>
      </w:r>
    </w:p>
    <w:p>
      <w:pPr>
        <w:pStyle w:val="Heading2"/>
        <w:jc w:val="both"/>
      </w:pPr>
      <w:r>
        <w:t>1. Data exploration and cell line selection</w:t>
      </w:r>
    </w:p>
    <w:p>
      <w:pPr>
        <w:jc w:val="both"/>
      </w:pPr>
      <w:r>
        <w:t>Before running any computational analysis, it is important to understand the data you are working with. The NCI-60 panel provides RNA-seq expression profiles and metabolomic measurements (Metabolon platform) for 60 cancer cell lines spanning 9 tissue types: breast, CNS, colon, leukaemia, melanoma, non-small-cell lung, ovarian, prostate, and renal cancers. All values are z-transformed across cell lines, so each value represents how high or low a gene or metabolite is in a given cell line compared to the rest of the panel.</w:t>
      </w:r>
    </w:p>
    <w:p>
      <w:pPr>
        <w:jc w:val="both"/>
      </w:pPr>
      <w:r>
        <w:t>Transcription factor activities are estimated from the RNA-seq data using footprint analysis (decoupleR), which infers the activity of a TF from the expression pattern of its known target genes. A TF is scored as active if its targets are consistently up- or down-regulated in the direction predicted by the TF–target interaction signs. These TF activity scores serve as the upstream input to COSMOS.</w:t>
      </w:r>
    </w:p>
    <w:p>
      <w:pPr>
        <w:pStyle w:val="Heading3"/>
      </w:pPr>
      <w:r>
        <w:t>Exercise</w:t>
      </w:r>
    </w:p>
    <w:p>
      <w:pPr>
        <w:jc w:val="both"/>
      </w:pPr>
      <w:r>
        <w:t>Open the pre-processed COSMOS inputs (</w:t>
      </w:r>
      <w:r>
        <w:rPr>
          <w:b/>
        </w:rPr>
        <w:t>data/cosmos/cosmos_inputs.RData</w:t>
      </w:r>
      <w:r>
        <w:t>) and explore the TF activity scores and metabolomic measurements for several cell lines. Choose a first cell line for your analysis. Consider: which cell lines show strong TF activity signals? Are there tissue types you are particularly interested in? Discuss your choice with the group.</w:t>
      </w:r>
    </w:p>
    <w:p>
      <w:pPr>
        <w:pStyle w:val="Heading2"/>
        <w:jc w:val="both"/>
      </w:pPr>
      <w:r>
        <w:t>2. Running COSMOS on a first cell line</w:t>
      </w:r>
    </w:p>
    <w:p>
      <w:pPr>
        <w:jc w:val="both"/>
      </w:pPr>
      <w:r>
        <w:t>The main analysis script (</w:t>
      </w:r>
      <w:r>
        <w:rPr>
          <w:b/>
        </w:rPr>
        <w:t>scripts/net_compr_MOON.R</w:t>
      </w:r>
      <w:r>
        <w:t>) takes the pre-processed inputs for a single NCI-60 cell line and builds a mechanistic network connecting upstream TF activities to downstream metabolomic measurements. The pipeline proceeds in five stages:</w:t>
      </w:r>
    </w:p>
    <w:p>
      <w:pPr>
        <w:ind w:left="720" w:hanging="360"/>
        <w:jc w:val="both"/>
      </w:pPr>
      <w:r>
        <w:t xml:space="preserve">1.  </w:t>
      </w:r>
      <w:r>
        <w:rPr>
          <w:b/>
        </w:rPr>
        <w:t xml:space="preserve">PKN filtering. </w:t>
      </w:r>
      <w:r>
        <w:t>The generic COSMOS prior knowledge network (~100,000 interactions spanning signalling, gene regulation, and metabolism) is pruned by removing genes not expressed in the cell line of interest. Nodes that cannot be reached from the upstream TF inputs or that have no path to the downstream metabolomic measurements within a given number of steps are also removed.</w:t>
      </w:r>
    </w:p>
    <w:p>
      <w:pPr>
        <w:ind w:left="720" w:hanging="360"/>
        <w:jc w:val="both"/>
      </w:pPr>
      <w:r>
        <w:t xml:space="preserve">2.  </w:t>
      </w:r>
      <w:r>
        <w:rPr>
          <w:b/>
        </w:rPr>
        <w:t xml:space="preserve">Network compression. </w:t>
      </w:r>
      <w:r>
        <w:t>Parent nodes that regulate the exact same set of children are merged into a single representative node. This prevents redundant nodes from inflating scores in subsequent upstream scoring rounds.</w:t>
      </w:r>
    </w:p>
    <w:p>
      <w:pPr>
        <w:ind w:left="720" w:hanging="360"/>
        <w:jc w:val="both"/>
      </w:pPr>
      <w:r>
        <w:t xml:space="preserve">3.  </w:t>
      </w:r>
      <w:r>
        <w:rPr>
          <w:b/>
        </w:rPr>
        <w:t xml:space="preserve">MOON scoring. </w:t>
      </w:r>
      <w:r>
        <w:t>Every node is scored iteratively using decoupleR’s Univariate Linear Model. Scoring starts at the downstream metabolomic layer and propagates upstream, layer by layer, toward the TF activity scores. After each pass, TF-to-target edges incoherent with observed RNA expression are removed, and scoring is repeated until convergence.</w:t>
      </w:r>
    </w:p>
    <w:p>
      <w:pPr>
        <w:ind w:left="720" w:hanging="360"/>
        <w:jc w:val="both"/>
      </w:pPr>
      <w:r>
        <w:t xml:space="preserve">4.  </w:t>
      </w:r>
      <w:r>
        <w:rPr>
          <w:b/>
        </w:rPr>
        <w:t xml:space="preserve">Decompression. </w:t>
      </w:r>
      <w:r>
        <w:t>The compressed node groups are expanded back to individual nodes, recovering full-resolution scores.</w:t>
      </w:r>
    </w:p>
    <w:p>
      <w:pPr>
        <w:ind w:left="720" w:hanging="360"/>
        <w:jc w:val="both"/>
      </w:pPr>
      <w:r>
        <w:t xml:space="preserve">5.  </w:t>
      </w:r>
      <w:r>
        <w:rPr>
          <w:b/>
        </w:rPr>
        <w:t xml:space="preserve">Solution network extraction. </w:t>
      </w:r>
      <w:r>
        <w:t>A score threshold selects the most significant nodes and extracts the corresponding subnetwork from the original PKN. The output is a SIF (edge list) and ATT (node attribute table) pair that can be visualised in Cytoscape.</w:t>
      </w:r>
    </w:p>
    <w:p>
      <w:pPr>
        <w:pStyle w:val="Heading3"/>
      </w:pPr>
      <w:r>
        <w:t>Exercise</w:t>
      </w:r>
    </w:p>
    <w:p>
      <w:pPr>
        <w:jc w:val="both"/>
      </w:pPr>
      <w:r>
        <w:t xml:space="preserve">Run </w:t>
      </w:r>
      <w:r>
        <w:rPr>
          <w:b/>
        </w:rPr>
        <w:t>scripts/net_compr_MOON.R</w:t>
      </w:r>
      <w:r>
        <w:t xml:space="preserve"> for your chosen cell line. Examine the output SIF and ATT files in the </w:t>
      </w:r>
      <w:r>
        <w:rPr>
          <w:b/>
        </w:rPr>
        <w:t>results/</w:t>
      </w:r>
      <w:r>
        <w:t xml:space="preserve"> folder. Try loading the network in Cytoscape or inspecting it programmatically. Which TFs appear as the most active upstream regulators? Which metabolites are highlighted downstream? Do the connections make biological sense given what is known about your cell line?</w:t>
      </w:r>
    </w:p>
    <w:p>
      <w:pPr>
        <w:pStyle w:val="Heading2"/>
        <w:jc w:val="both"/>
      </w:pPr>
      <w:r>
        <w:t>3. Comparing a second cell line</w:t>
      </w:r>
    </w:p>
    <w:p>
      <w:pPr>
        <w:jc w:val="both"/>
      </w:pPr>
      <w:r>
        <w:t>A single-cell-line analysis reveals which signalling–metabolism connections are active in that particular context, but comparing two cell lines can highlight what is shared (conserved mechanisms) and what is specific (context-dependent regulation). Choosing a second cell line from a different tissue type, or one with a contrasting phenotype, will make the comparison more informative.</w:t>
      </w:r>
    </w:p>
    <w:p>
      <w:pPr>
        <w:pStyle w:val="Heading3"/>
      </w:pPr>
      <w:r>
        <w:t>Exercise</w:t>
      </w:r>
    </w:p>
    <w:p>
      <w:pPr>
        <w:jc w:val="both"/>
      </w:pPr>
      <w:r>
        <w:t>Choose a second cell line and repeat the MOON analysis. Compare the two solution networks: which nodes and edges are shared? Which are unique to each cell line? Consider experimenting with the key parameters described below to see how they affect the results:</w:t>
      </w:r>
    </w:p>
    <w:p>
      <w:pPr>
        <w:ind w:left="720" w:hanging="360"/>
        <w:jc w:val="both"/>
      </w:pPr>
      <w:r>
        <w:t xml:space="preserve">•  </w:t>
      </w:r>
      <w:r>
        <w:rPr>
          <w:b/>
        </w:rPr>
        <w:t xml:space="preserve">Network depth (n_steps): </w:t>
      </w:r>
      <w:r>
        <w:t>Controls how many steps away from the input nodes the PKN extends. Smaller values (e.g. 4) yield compact networks; larger values (e.g. 8) allow longer signalling cascades.</w:t>
      </w:r>
    </w:p>
    <w:p>
      <w:pPr>
        <w:ind w:left="720" w:hanging="360"/>
        <w:jc w:val="both"/>
      </w:pPr>
      <w:r>
        <w:t xml:space="preserve">•  </w:t>
      </w:r>
      <w:r>
        <w:rPr>
          <w:b/>
        </w:rPr>
        <w:t xml:space="preserve">TF activity threshold: </w:t>
      </w:r>
      <w:r>
        <w:t>The line tf_input &lt;- tf_input[abs(tf_input) &gt; 2] filters upstream TFs by significance. Lowering the threshold includes more TFs (broader but noisier).</w:t>
      </w:r>
    </w:p>
    <w:p>
      <w:pPr>
        <w:ind w:left="720" w:hanging="360"/>
        <w:jc w:val="both"/>
      </w:pPr>
      <w:r>
        <w:t xml:space="preserve">•  </w:t>
      </w:r>
      <w:r>
        <w:rPr>
          <w:b/>
        </w:rPr>
        <w:t xml:space="preserve">Score thresholds for solution extraction: </w:t>
      </w:r>
      <w:r>
        <w:t>reduce_solution_network_double_thresh() uses a primary threshold (e.g. 1.7) to select core nodes and a secondary threshold (e.g. 1.0) to include connecting neighbours.</w:t>
      </w:r>
    </w:p>
    <w:p>
      <w:pPr>
        <w:ind w:left="720" w:hanging="360"/>
        <w:jc w:val="both"/>
      </w:pPr>
      <w:r>
        <w:t xml:space="preserve">•  </w:t>
      </w:r>
      <w:r>
        <w:rPr>
          <w:b/>
        </w:rPr>
        <w:t xml:space="preserve">Metabolite compartments: </w:t>
      </w:r>
      <w:r>
        <w:t>prepare_metab_inputs(metab_input, c("c", "m")) assigns compartments. Adding compartments (e.g. "r" for ER, "e" for extracellular) changes which metabolic reactions are reachable.</w:t>
      </w:r>
    </w:p>
    <w:p>
      <w:pPr>
        <w:pStyle w:val="Heading2"/>
        <w:jc w:val="both"/>
      </w:pPr>
      <w:r>
        <w:t>4. Interpretation and presentation</w:t>
      </w:r>
    </w:p>
    <w:p>
      <w:pPr>
        <w:jc w:val="both"/>
      </w:pPr>
      <w:r>
        <w:t>The final day is dedicated to interpreting your results and preparing a short presentation for the group. Focus on telling a biological story: what mechanistic hypotheses does your network suggest? Are there known biology or published findings that support (or contradict) the connections you observe? What would you do to experimentally validate the most interesting predictions?</w:t>
      </w:r>
    </w:p>
    <w:p>
      <w:pPr>
        <w:pStyle w:val="Heading3"/>
      </w:pPr>
      <w:r>
        <w:t>Exercise</w:t>
      </w:r>
    </w:p>
    <w:p>
      <w:pPr>
        <w:jc w:val="both"/>
      </w:pPr>
      <w:r>
        <w:t>Prepare a short presentation (10–15 minutes) covering:</w:t>
      </w:r>
    </w:p>
    <w:p>
      <w:pPr>
        <w:ind w:left="720" w:hanging="360"/>
        <w:jc w:val="both"/>
      </w:pPr>
      <w:r>
        <w:t>•  Your choice of cell lines and the rationale behind the selection.</w:t>
      </w:r>
    </w:p>
    <w:p>
      <w:pPr>
        <w:ind w:left="720" w:hanging="360"/>
        <w:jc w:val="both"/>
      </w:pPr>
      <w:r>
        <w:t>•  Key features of the solution networks: highlighted TFs, metabolites, and connecting pathways.</w:t>
      </w:r>
    </w:p>
    <w:p>
      <w:pPr>
        <w:ind w:left="720" w:hanging="360"/>
        <w:jc w:val="both"/>
      </w:pPr>
      <w:r>
        <w:t>•  A comparison between the two cell lines: shared and unique mechanisms.</w:t>
      </w:r>
    </w:p>
    <w:p>
      <w:pPr>
        <w:ind w:left="720" w:hanging="360"/>
        <w:jc w:val="both"/>
      </w:pPr>
      <w:r>
        <w:t>•  Biological interpretation: do the results align with known biology? What hypotheses emerge?</w:t>
      </w:r>
    </w:p>
    <w:p>
      <w:pPr>
        <w:ind w:left="720" w:hanging="360"/>
        <w:jc w:val="both"/>
      </w:pPr>
      <w:r>
        <w:t>•  Critical assessment: what are the limitations of the analysis? How sensitive are the results to parameter choices?</w:t>
      </w:r>
    </w:p>
    <w:p>
      <w:pPr>
        <w:pStyle w:val="Heading2"/>
      </w:pPr>
      <w:r>
        <w:t>References</w:t>
      </w:r>
    </w:p>
    <w:p>
      <w:pPr>
        <w:jc w:val="both"/>
      </w:pPr>
      <w:r>
        <w:t>Dugourd, Aurélien, Christoph Kuppe, Marco Sciacovelli, et al. 2021. “Causal integration of multi-omics data with prior knowledge to generate mechanistic hypotheses.” Molecular Systems Biology 17 (1): e9730. doi:10.15252/msb.20209730.</w:t>
      </w:r>
    </w:p>
    <w:p>
      <w:pPr>
        <w:jc w:val="both"/>
      </w:pPr>
      <w:r>
        <w:t>Dugourd, Aurélien, Pascal Lafrenz, Diego Mañanes, et al. 2024. “Modeling causal signal propagation in multi-omic factor space with COSMOS.” bioRxiv. doi:10.1101/2024.07.15.603538.</w:t>
      </w:r>
    </w:p>
    <w:p>
      <w:pPr>
        <w:jc w:val="both"/>
      </w:pPr>
      <w:r>
        <w:t>Badia-i-Mompel, Pau, Jesús Vélez Santiago, Jana Braunger, et al. 2022. “decoupleR: Ensemble of computational methods to infer biological activities from omics data.” Bioinformatics Advances 2 (1): vbac016. doi:10.1093/bioadv/vbac016.</w:t>
      </w:r>
    </w:p>
    <w:p>
      <w:pPr>
        <w:jc w:val="both"/>
      </w:pPr>
      <w:r>
        <w:t>Shoemaker, Robert H. 2006. “The NCI60 Human Tumour Cell Line Anticancer Drug Screen.” Nature Reviews Cancer 6 (10): 813–823. doi:10.1038/nrc1951.</w:t>
      </w:r>
    </w:p>
    <w:p>
      <w:pPr>
        <w:jc w:val="both"/>
      </w:pPr>
      <w:r>
        <w:t>Reinhold, William C., Margot Sunshine, Hongfang Liu, et al. 2012. “CellMiner: A Web-Based Suite of Genomic and Pharmacologic Tools to Explore Transcript and Drug Patterns in the NCI-60 Cell Line Set.” Cancer Research 72 (14): 3499–3511. doi:10.1158/0008-5472.CAN-12-1370.</w:t>
      </w:r>
    </w:p>
    <w:p>
      <w:pPr>
        <w:jc w:val="both"/>
      </w:pPr>
      <w:r>
        <w:t>Liu, Anika, Panuwat Trairatphisan, Enio Gjerga, et al. 2019. “From expression footprints to causal pathways: contextualizing large signaling networks with CARNIVAL.” npj Systems Biology and Applications 5: 40. doi:10.1038/s41540-019-0118-z.</w:t>
      </w:r>
    </w:p>
    <w:p>
      <w:pPr>
        <w:jc w:val="both"/>
      </w:pPr>
      <w:r>
        <w:t>Rodriguez-Mier, Pablo, Martin Garrido-Rodriguez, Attila Gabor, and Julio Saez-Rodriguez. 2025. “Unifying multi-sample network inference from prior knowledge and omics data with CORNETO.” Nature Machine Intelligence 7: 1168–1186. doi:10.1038/s42256-025-01069-9.</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40" Type="http://schemas.openxmlformats.org/officeDocument/2006/relationships/hyperlink" Target="http://paperpile.com/b/erv5xW/BDfN" TargetMode="External"/><Relationship Id="rId20" Type="http://schemas.openxmlformats.org/officeDocument/2006/relationships/hyperlink" Target="https://github.com/afermg/cp_measure/blob/main/README.md" TargetMode="External"/><Relationship Id="rId42" Type="http://schemas.openxmlformats.org/officeDocument/2006/relationships/hyperlink" Target="http://paperpile.com/b/erv5xW/CIOd" TargetMode="External"/><Relationship Id="rId41" Type="http://schemas.openxmlformats.org/officeDocument/2006/relationships/hyperlink" Target="http://paperpile.com/b/erv5xW/CIOd" TargetMode="External"/><Relationship Id="rId22" Type="http://schemas.openxmlformats.org/officeDocument/2006/relationships/hyperlink" Target="https://cytomining.github.io/DeepProfiler-handbook/docs/00-welcome.html" TargetMode="External"/><Relationship Id="rId44" Type="http://schemas.openxmlformats.org/officeDocument/2006/relationships/hyperlink" Target="http://paperpile.com/b/erv5xW/tGGy" TargetMode="External"/><Relationship Id="rId21" Type="http://schemas.openxmlformats.org/officeDocument/2006/relationships/hyperlink" Target="https://paperpile.com/c/erv5xW/E9f8" TargetMode="External"/><Relationship Id="rId43" Type="http://schemas.openxmlformats.org/officeDocument/2006/relationships/hyperlink" Target="http://paperpile.com/b/erv5xW/CIOd" TargetMode="External"/><Relationship Id="rId24" Type="http://schemas.openxmlformats.org/officeDocument/2006/relationships/hyperlink" Target="http://paperpile.com/b/erv5xW/hT28" TargetMode="External"/><Relationship Id="rId46" Type="http://schemas.openxmlformats.org/officeDocument/2006/relationships/hyperlink" Target="http://paperpile.com/b/erv5xW/tGGy" TargetMode="External"/><Relationship Id="rId23" Type="http://schemas.openxmlformats.org/officeDocument/2006/relationships/image" Target="media/image3.png"/><Relationship Id="rId45" Type="http://schemas.openxmlformats.org/officeDocument/2006/relationships/hyperlink" Target="http://paperpile.com/b/erv5xW/tG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paperpile.com/b/erv5xW/hT28" TargetMode="External"/><Relationship Id="rId25" Type="http://schemas.openxmlformats.org/officeDocument/2006/relationships/hyperlink" Target="http://paperpile.com/b/erv5xW/hT28" TargetMode="External"/><Relationship Id="rId28" Type="http://schemas.openxmlformats.org/officeDocument/2006/relationships/hyperlink" Target="http://paperpile.com/b/erv5xW/uvnn" TargetMode="External"/><Relationship Id="rId27" Type="http://schemas.openxmlformats.org/officeDocument/2006/relationships/hyperlink" Target="http://paperpile.com/b/erv5xW/uvnn" TargetMode="External"/><Relationship Id="rId5" Type="http://schemas.openxmlformats.org/officeDocument/2006/relationships/styles" Target="styles.xml"/><Relationship Id="rId6" Type="http://schemas.openxmlformats.org/officeDocument/2006/relationships/hyperlink" Target="https://paperpile.com/c/erv5xW/hT28" TargetMode="External"/><Relationship Id="rId29" Type="http://schemas.openxmlformats.org/officeDocument/2006/relationships/hyperlink" Target="http://paperpile.com/b/erv5xW/uvnn" TargetMode="External"/><Relationship Id="rId7" Type="http://schemas.openxmlformats.org/officeDocument/2006/relationships/image" Target="media/image2.png"/><Relationship Id="rId8" Type="http://schemas.openxmlformats.org/officeDocument/2006/relationships/hyperlink" Target="https://paperpile.com/c/erv5xW/YFou" TargetMode="External"/><Relationship Id="rId31" Type="http://schemas.openxmlformats.org/officeDocument/2006/relationships/hyperlink" Target="http://paperpile.com/b/erv5xW/YFou" TargetMode="External"/><Relationship Id="rId30" Type="http://schemas.openxmlformats.org/officeDocument/2006/relationships/hyperlink" Target="http://paperpile.com/b/erv5xW/YFou" TargetMode="External"/><Relationship Id="rId11" Type="http://schemas.openxmlformats.org/officeDocument/2006/relationships/hyperlink" Target="https://cellprofiler.org/releases" TargetMode="External"/><Relationship Id="rId33" Type="http://schemas.openxmlformats.org/officeDocument/2006/relationships/hyperlink" Target="http://paperpile.com/b/erv5xW/E9f8" TargetMode="External"/><Relationship Id="rId10" Type="http://schemas.openxmlformats.org/officeDocument/2006/relationships/hyperlink" Target="https://paperpile.com/c/erv5xW/uvnn" TargetMode="External"/><Relationship Id="rId32" Type="http://schemas.openxmlformats.org/officeDocument/2006/relationships/hyperlink" Target="http://paperpile.com/b/erv5xW/YFou" TargetMode="External"/><Relationship Id="rId13" Type="http://schemas.openxmlformats.org/officeDocument/2006/relationships/hyperlink" Target="https://paperpile.com/c/erv5xW/tGGy" TargetMode="External"/><Relationship Id="rId35" Type="http://schemas.openxmlformats.org/officeDocument/2006/relationships/hyperlink" Target="http://paperpile.com/b/erv5xW/E9f8" TargetMode="External"/><Relationship Id="rId12" Type="http://schemas.openxmlformats.org/officeDocument/2006/relationships/hyperlink" Target="https://docs.astral.sh/uv/getting-started/installation/" TargetMode="External"/><Relationship Id="rId34" Type="http://schemas.openxmlformats.org/officeDocument/2006/relationships/hyperlink" Target="http://paperpile.com/b/erv5xW/E9f8" TargetMode="External"/><Relationship Id="rId15" Type="http://schemas.openxmlformats.org/officeDocument/2006/relationships/hyperlink" Target="https://www.youtube.com/watch?v=OXHOuRcxr-A&amp;list=PLXSm9cHbSZBBy7JkChB32_e3lURUcT3RL&amp;index=6" TargetMode="External"/><Relationship Id="rId37" Type="http://schemas.openxmlformats.org/officeDocument/2006/relationships/hyperlink" Target="http://paperpile.com/b/erv5xW/BDfN" TargetMode="External"/><Relationship Id="rId14" Type="http://schemas.openxmlformats.org/officeDocument/2006/relationships/hyperlink" Target="https://tutorials.cellprofiler.org/#beginner-segmentation" TargetMode="External"/><Relationship Id="rId36" Type="http://schemas.openxmlformats.org/officeDocument/2006/relationships/hyperlink" Target="http://paperpile.com/b/erv5xW/BDfN" TargetMode="External"/><Relationship Id="rId17" Type="http://schemas.openxmlformats.org/officeDocument/2006/relationships/hyperlink" Target="https://paperpile.com/c/erv5xW/S3he+CQmU" TargetMode="External"/><Relationship Id="rId39" Type="http://schemas.openxmlformats.org/officeDocument/2006/relationships/hyperlink" Target="http://dx.doi.org/10.48550/arXiv.2507.01163" TargetMode="External"/><Relationship Id="rId16" Type="http://schemas.openxmlformats.org/officeDocument/2006/relationships/hyperlink" Target="https://paperpile.com/c/erv5xW/CIOd" TargetMode="External"/><Relationship Id="rId38" Type="http://schemas.openxmlformats.org/officeDocument/2006/relationships/hyperlink" Target="http://paperpile.com/b/erv5xW/BDfN" TargetMode="External"/><Relationship Id="rId19" Type="http://schemas.openxmlformats.org/officeDocument/2006/relationships/hyperlink" Target="https://paperpile.com/c/erv5xW/BDfN" TargetMode="External"/><Relationship Id="rId18" Type="http://schemas.openxmlformats.org/officeDocument/2006/relationships/hyperlink" Target="https://github.com/ewald-lab/2025_CellPainting_Training/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