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Trabajo de Fin de Máster</w:t>
      </w:r>
    </w:p>
    <w:p>
      <w:pPr>
        <w:jc w:val="center"/>
      </w:pPr>
      <w:r>
        <w:rPr>
          <w:rFonts w:ascii="Calibri" w:hAnsi="Calibri"/>
          <w:b w:val="0"/>
          <w:i w:val="0"/>
          <w:sz w:val="20"/>
        </w:rPr>
      </w:r>
    </w:p>
    <w:p>
      <w:pPr>
        <w:jc w:val="center"/>
      </w:pPr>
      <w:r>
        <w:rPr>
          <w:b/>
          <w:sz w:val="44"/>
        </w:rPr>
        <w:t>Evaluación de LLMs para la Generación</w:t>
        <w:br/>
        <w:t>de Ontologías en Bases de Datos Genéticas</w:t>
      </w:r>
    </w:p>
    <w:p>
      <w:pPr>
        <w:jc w:val="center"/>
      </w:pPr>
      <w:r>
        <w:rPr>
          <w:rFonts w:ascii="Calibri" w:hAnsi="Calibri"/>
          <w:b w:val="0"/>
          <w:i w:val="0"/>
          <w:sz w:val="20"/>
        </w:rPr>
      </w:r>
    </w:p>
    <w:p>
      <w:pPr>
        <w:jc w:val="left"/>
        <w:spacing w:before="60" w:after="60"/>
      </w:pPr>
      <w:r>
        <w:rPr>
          <w:b/>
          <w:sz w:val="28"/>
        </w:rPr>
        <w:t xml:space="preserve">Máster Universitario en Inteligencia Artificial</w:t>
      </w:r>
    </w:p>
    <w:p>
      <w:pPr>
        <w:jc w:val="left"/>
        <w:spacing w:before="60" w:after="60"/>
      </w:pPr>
      <w:r>
        <w:rPr>
          <w:i/>
          <w:sz w:val="24"/>
          <w:color w:val="555555"/>
        </w:rPr>
        <w:t xml:space="preserve">Facultad de Informática · Universidad de Murcia</w:t>
      </w:r>
    </w:p>
    <w:p>
      <w:pPr>
        <w:jc w:val="center"/>
      </w:pPr>
      <w:r>
        <w:rPr>
          <w:i/>
          <w:color w:val="595959"/>
          <w:sz w:val="28"/>
        </w:rPr>
        <w:t>Documento de metodología</w:t>
      </w:r>
    </w:p>
    <w:p/>
    <w:p/>
    <w:p/>
    <w:p/>
    <w:p>
      <w:pPr>
        <w:jc w:val="center"/>
      </w:pPr>
      <w:r>
        <w:rPr>
          <w:sz w:val="24"/>
        </w:rPr>
        <w:t>Autor: Francisco Sáez</w:t>
        <w:br/>
        <w:t>Versión: 11.0</w:t>
        <w:br/>
        <w:t>Fecha: 9 de mayo de 2026</w:t>
      </w:r>
    </w:p>
    <w:p>
      <w:pPr>
        <w:jc w:val="left"/>
        <w:spacing w:before="60" w:after="60"/>
      </w:pPr>
      <w:r>
        <w:rPr>
          <w:i/>
          <w:sz w:val="24"/>
          <w:color w:val="555555"/>
        </w:rPr>
        <w:t xml:space="preserve">Tutor: [Nombre del tutor o tutora]</w:t>
      </w:r>
    </w:p>
    <w:p>
      <w:r>
        <w:br w:type="page"/>
      </w:r>
    </w:p>
    <w:p>
      <w:pPr>
        <w:pStyle w:val="Heading1"/>
      </w:pPr>
      <w:r>
        <w:t>Resumen ejecutivo</w:t>
      </w:r>
    </w:p>
    <w:p>
      <w:r>
        <w:t>Construir una ontología biomédica a mano lleva semanas. Dos ontólogos rara vez convergen en el mismo esquema. La pregunta de este TFM es operativa: dado un CSV de una base de datos genética, ¿qué tan lejos puede llegar un LLM solo, y dónde merece la pena ayudarle?</w:t>
      </w:r>
    </w:p>
    <w:p>
      <w:r>
        <w:t>Para responderlo construyo un banco de pruebas con cuatro estrategias (zero-shot, vocabulario controlado, RAG, pipeline multi-agente OntoGenix), tres modelos (gpt-4o, Llama 3.1 8B, Qwen 2.5 Coder 7B) y cuatro bases de datos del dominio cis-regulatorio (FANTOM5, dbSUPER, HACER, DiseaseEnhancer). Genero unas 140 ontologías y las evalúo con OQuaRE, el marco normativo basado en ISO/IEC 25000, integrando el razonador HermiT a través de owlready2. Sustituyo además el RAG por keywords del experimento original por uno semántico real, indexado en Neo4j con embeddings de sentence-transformers.</w:t>
      </w:r>
    </w:p>
    <w:p>
      <w:r>
        <w:t>Los resultados son menos lineales de lo que esperaba. La pipeline multi-agente E4 (OntoGenix) gana en riqueza absoluta —ontologías entre 3.7× y 5.3× más densas en triples que las baselines E1-E3 (media 4.4×)— pero pierde en OQuaRE, porque las rúbricas penalizan la complejidad estructural. El RAG semántico real eleva el score E3 de 2.91 a 4.20 en gpt-4o, un salto de +44 %, gracias a una mejora ×6 en operatividad relacional. Cuando aplico el mismo RAG a Llama, el efecto se invierte: el modelo pequeño se satura con el contexto rico y la mitad de las corridas dejan de validar. Bajar top_k a 2 cierra el 76 % del gap respecto a gpt-4o sin tocar el modelo. Cada estrategia tiene su patrón de error característico: Llama omite el «:» de los prefijos, Qwen mezcla sintaxis Turtle con RDF/XML, gpt-4o no falla.</w:t>
      </w:r>
    </w:p>
    <w:p>
      <w:r>
        <w:t>El TFM aporta tres contribuciones que considero replicables. Una guía empírica de calibración del RAG por tamaño de modelo (§10.7.7). Una serie de fixes mecánicos que rescatan el 100 % de los TTL recuperables sin volver a llamar al modelo (§7). Un marco de reproducibilidad alineado con la crisis de la replicación (§12) que reconoce explícitamente lo que los LLM hacen difícil de garantizar. Lo que queda fuera es igual de relevante: ningún experimento aquí prueba que un LLM pueda sustituir a un ontólogo en producción, y los benchmarks normativos como OQuaRE pueden favorecer ontologías pobres si no se interpretan junto a métricas absolutas de cobertura.</w:t>
      </w:r>
    </w:p>
    <w:p>
      <w:r>
        <w:br w:type="page"/>
      </w:r>
    </w:p>
    <w:p>
      <w:pPr>
        <w:pStyle w:val="Heading1"/>
      </w:pPr>
      <w:r>
        <w:rPr>
          <w:b/>
          <w:sz w:val="36"/>
        </w:rPr>
        <w:t>Abstract</w:t>
      </w:r>
    </w:p>
    <w:p>
      <w:pPr>
        <w:spacing w:after="120"/>
      </w:pPr>
      <w:r>
        <w:rPr>
          <w:sz w:val="22"/>
        </w:rPr>
        <w:t xml:space="preserve">Building a biomedical ontology by hand takes weeks. Two ontologists rarely converge on the same schema. The operational question of this Master's Thesis is: given a CSV from a genetic database, how far can a Large Language Model go on its own, and where is it worth helping it?</w:t>
      </w:r>
    </w:p>
    <w:p>
      <w:pPr>
        <w:spacing w:after="120"/>
      </w:pPr>
      <w:r>
        <w:rPr>
          <w:sz w:val="22"/>
        </w:rPr>
        <w:t xml:space="preserve">I build a benchmark with four strategies (zero-shot, controlled vocabulary, RAG, multi-agent OntoGenix pipeline), three models (gpt-4o, Llama 3.1 8B, Qwen 2.5 Coder 7B) and four cis-regulatory databases (FANTOM5, dbSUPER, HACER, DiseaseEnhancer). I generate around 140 ontologies and evaluate them with OQuaRE — the normative framework based on ISO/IEC 25000 — integrating the HermiT reasoner via owlready2. I also replace the keyword-RAG with a real semantic RAG, indexed in Neo4j with sentence-transformers embeddings.</w:t>
      </w:r>
    </w:p>
    <w:p>
      <w:pPr>
        <w:spacing w:after="120"/>
      </w:pPr>
      <w:r>
        <w:rPr>
          <w:sz w:val="22"/>
        </w:rPr>
        <w:t xml:space="preserve">The multi-agent E4 pipeline (OntoGenix) wins in absolute richness — ontologies between 3.7× and 5.3× denser than E1–E3 baselines (mean 4.4×) — but loses on OQuaRE because the rubric penalises structural complexity. The semantic RAG raises gpt-4o's E3 score from 2.91 to 4.20, a +44% gain driven by a ×6 improvement in relational operability. When the same RAG is applied to Llama, the effect inverts: the small model saturates with rich context and half the runs no longer validate. Lowering top_k to 2 closes 76% of the gap relative to gpt-4o without changing the model. Each strategy has its characteristic error pattern: Llama omits the prefix colon, Qwen mixes Turtle with RDF/XML, gpt-4o does not fail.</w:t>
      </w:r>
    </w:p>
    <w:p>
      <w:pPr>
        <w:spacing w:after="120"/>
      </w:pPr>
      <w:r>
        <w:rPr>
          <w:sz w:val="22"/>
        </w:rPr>
        <w:t xml:space="preserve">The thesis contributes three replicable findings: an empirical calibration guide for RAG by model size, a set of mechanical fixes that rescue 100% of recoverable TTLs without re-prompting, and a reproducibility framework aligned with the replication crisis in machine learning research.</w:t>
      </w:r>
    </w:p>
    <w:p>
      <w:pPr>
        <w:pStyle w:val="Heading2"/>
      </w:pPr>
      <w:r>
        <w:rPr>
          <w:b/>
          <w:sz w:val="28"/>
        </w:rPr>
        <w:t>Palabras clave / Keywords</w:t>
      </w:r>
    </w:p>
    <w:p>
      <w:pPr>
        <w:spacing w:after="120"/>
      </w:pPr>
      <w:r>
        <w:rPr>
          <w:sz w:val="22"/>
        </w:rPr>
        <w:t xml:space="preserve">Palabras clave: ontologías biomédicas; modelos de lenguaje grandes; generación de ontologías; RAG semántico; OQuaRE; OntoGenix; reproducibilidad; dominio cis-regulatorio; OWL; HermiT.</w:t>
      </w:r>
    </w:p>
    <w:p>
      <w:pPr>
        <w:spacing w:after="120"/>
      </w:pPr>
      <w:r>
        <w:rPr>
          <w:i/>
          <w:sz w:val="22"/>
        </w:rPr>
        <w:t xml:space="preserve">Keywords: biomedical ontologies; Large Language Models; ontology generation; semantic Retrieval-Augmented Generation; OQuaRE; OntoGenix; reproducibility; cis-regulatory domain; OWL; HermiT.</w:t>
      </w:r>
    </w:p>
    <w:p>
      <w:pPr>
        <w:pStyle w:val="Heading2"/>
      </w:pPr>
      <w:r>
        <w:rPr>
          <w:b/>
          <w:sz w:val="28"/>
        </w:rPr>
        <w:t>Lista de tablas</w:t>
      </w:r>
    </w:p>
    <w:p>
      <w:pPr>
        <w:spacing w:after="120"/>
      </w:pPr>
      <w:r>
        <w:rPr>
          <w:sz w:val="21"/>
        </w:rPr>
        <w:t xml:space="preserve">Tabla 1. Configuración global del experimento (campo y valor por defecto)</w:t>
      </w:r>
    </w:p>
    <w:p>
      <w:pPr>
        <w:spacing w:after="120"/>
      </w:pPr>
      <w:r>
        <w:rPr>
          <w:sz w:val="21"/>
        </w:rPr>
        <w:t xml:space="preserve">Tabla 2. Pipeline replicada de OntoGenix, paso a paso</w:t>
      </w:r>
    </w:p>
    <w:p>
      <w:pPr>
        <w:spacing w:after="120"/>
      </w:pPr>
      <w:r>
        <w:rPr>
          <w:sz w:val="21"/>
        </w:rPr>
        <w:t xml:space="preserve">Tabla 3. Adaptaciones técnicas de OntoGenix al entorno del TFM</w:t>
      </w:r>
    </w:p>
    <w:p>
      <w:pPr>
        <w:spacing w:after="120"/>
      </w:pPr>
      <w:r>
        <w:rPr>
          <w:sz w:val="21"/>
        </w:rPr>
        <w:t xml:space="preserve">Tabla 4. Parámetros de generación comunes (E1–E3)</w:t>
      </w:r>
    </w:p>
    <w:p>
      <w:pPr>
        <w:spacing w:after="120"/>
      </w:pPr>
      <w:r>
        <w:rPr>
          <w:sz w:val="21"/>
        </w:rPr>
        <w:t xml:space="preserve">Tabla 5. Corpus de datos del dominio cis-regulatorio utilizado</w:t>
      </w:r>
    </w:p>
    <w:p>
      <w:pPr>
        <w:spacing w:after="120"/>
      </w:pPr>
      <w:r>
        <w:rPr>
          <w:sz w:val="21"/>
        </w:rPr>
        <w:t xml:space="preserve">Tabla 6. Estrategias de muestreo evaluadas (cabecera, aleatorio, estratificado, diversidad)</w:t>
      </w:r>
    </w:p>
    <w:p>
      <w:pPr>
        <w:spacing w:after="120"/>
      </w:pPr>
      <w:r>
        <w:rPr>
          <w:sz w:val="21"/>
        </w:rPr>
        <w:t xml:space="preserve">Tabla 7. Resultados del análisis de sensibilidad por (modelo × experimento × estrategia)</w:t>
      </w:r>
    </w:p>
    <w:p>
      <w:pPr>
        <w:spacing w:after="120"/>
      </w:pPr>
      <w:r>
        <w:rPr>
          <w:sz w:val="21"/>
        </w:rPr>
        <w:t xml:space="preserve">Tabla 8. Roles de los tres agentes de la pipeline OntoGenix</w:t>
      </w:r>
    </w:p>
    <w:p>
      <w:pPr>
        <w:spacing w:after="120"/>
      </w:pPr>
      <w:r>
        <w:rPr>
          <w:sz w:val="21"/>
        </w:rPr>
        <w:t xml:space="preserve">Tabla 9. Métricas estructurales de evaluación calculadas sobre cada ontología</w:t>
      </w:r>
    </w:p>
    <w:p>
      <w:pPr>
        <w:spacing w:after="120"/>
      </w:pPr>
      <w:r>
        <w:rPr>
          <w:sz w:val="21"/>
        </w:rPr>
        <w:t xml:space="preserve">Tabla 10. Efecto del post-procesado mecánico sobre la validez sintáctica</w:t>
      </w:r>
    </w:p>
    <w:p>
      <w:pPr>
        <w:spacing w:after="120"/>
      </w:pPr>
      <w:r>
        <w:rPr>
          <w:sz w:val="21"/>
        </w:rPr>
        <w:t xml:space="preserve">Tabla 11. Tabla resumen consolidada — métricas absolutas por experimento y base de datos</w:t>
      </w:r>
    </w:p>
    <w:p>
      <w:pPr>
        <w:spacing w:after="120"/>
      </w:pPr>
      <w:r>
        <w:rPr>
          <w:sz w:val="21"/>
        </w:rPr>
        <w:t xml:space="preserve">Tabla 12. Rúbricas OQuaRE (Duque-Ramos et al., 2014) por sub-característica</w:t>
      </w:r>
    </w:p>
    <w:p>
      <w:pPr>
        <w:spacing w:after="120"/>
      </w:pPr>
      <w:r>
        <w:rPr>
          <w:sz w:val="21"/>
        </w:rPr>
        <w:t xml:space="preserve">Tabla 13. OQuaRE Global por modelo y experimento (escala 1–5)</w:t>
      </w:r>
    </w:p>
    <w:p>
      <w:pPr>
        <w:spacing w:after="120"/>
      </w:pPr>
      <w:r>
        <w:rPr>
          <w:sz w:val="21"/>
        </w:rPr>
        <w:t xml:space="preserve">Tabla 14. Validez sintáctica cross-model tras post-procesado</w:t>
      </w:r>
    </w:p>
    <w:p>
      <w:pPr>
        <w:spacing w:after="120"/>
      </w:pPr>
      <w:r>
        <w:rPr>
          <w:sz w:val="21"/>
        </w:rPr>
        <w:t xml:space="preserve">Tabla 15. OQuaRE Global por celda — modelo × experimento × base de datos</w:t>
      </w:r>
    </w:p>
    <w:p>
      <w:pPr>
        <w:spacing w:after="120"/>
      </w:pPr>
      <w:r>
        <w:rPr>
          <w:sz w:val="21"/>
        </w:rPr>
        <w:t xml:space="preserve">Tabla 16. Comparativa E4 OntoGenix con gpt-4o frente a Llama 3.1 8B (riqueza vs sintaxis)</w:t>
      </w:r>
    </w:p>
    <w:p>
      <w:pPr>
        <w:spacing w:after="120"/>
      </w:pPr>
      <w:r>
        <w:rPr>
          <w:sz w:val="21"/>
        </w:rPr>
        <w:t xml:space="preserve">Tabla 17. Arquitectura del RAG semántico (annotationRAG): componentes y responsabilidades</w:t>
      </w:r>
    </w:p>
    <w:p>
      <w:pPr>
        <w:spacing w:after="120"/>
      </w:pPr>
      <w:r>
        <w:rPr>
          <w:sz w:val="21"/>
        </w:rPr>
        <w:t xml:space="preserve">Tabla 18. Descomposición OQuaRE: RAG por keywords frente a RAG semántico (gpt-4o)</w:t>
      </w:r>
    </w:p>
    <w:p>
      <w:pPr>
        <w:spacing w:after="120"/>
      </w:pPr>
      <w:r>
        <w:rPr>
          <w:sz w:val="21"/>
        </w:rPr>
        <w:t xml:space="preserve">Tabla 19. Coste de la integración del RAG semántico (recursos y dependencias)</w:t>
      </w:r>
    </w:p>
    <w:p>
      <w:pPr>
        <w:spacing w:after="120"/>
      </w:pPr>
      <w:r>
        <w:rPr>
          <w:sz w:val="21"/>
        </w:rPr>
        <w:t xml:space="preserve">Tabla 20. Cuadro 2×2: efecto del backend RAG (legacy vs semántico) en gpt-4o y Llama 3.1 8B</w:t>
      </w:r>
    </w:p>
    <w:p>
      <w:pPr>
        <w:spacing w:after="120"/>
      </w:pPr>
      <w:r>
        <w:rPr>
          <w:sz w:val="21"/>
        </w:rPr>
        <w:t xml:space="preserve">Tabla 21. Configuraciones de calibración del RAG (C1: top_k=2, C2: thr=0.6, C3: combinada)</w:t>
      </w:r>
    </w:p>
    <w:p>
      <w:pPr>
        <w:spacing w:after="120"/>
      </w:pPr>
      <w:r>
        <w:rPr>
          <w:sz w:val="21"/>
        </w:rPr>
        <w:t xml:space="preserve">Tabla 22. Resultados de la calibración del RAG semántico sobre Llama 3.1 8B en E3</w:t>
      </w:r>
    </w:p>
    <w:p>
      <w:pPr>
        <w:spacing w:after="120"/>
      </w:pPr>
      <w:r>
        <w:rPr>
          <w:sz w:val="21"/>
        </w:rPr>
        <w:t xml:space="preserve">Tabla 23. Recomendación operativa de top_k según el tamaño del modelo</w:t>
      </w:r>
    </w:p>
    <w:p>
      <w:pPr>
        <w:spacing w:after="120"/>
      </w:pPr>
      <w:r>
        <w:rPr>
          <w:sz w:val="21"/>
        </w:rPr>
        <w:t xml:space="preserve">Tabla 24. Pila de herramientas y dependencias del banco experimental</w:t>
      </w:r>
    </w:p>
    <w:p>
      <w:pPr>
        <w:spacing w:after="120"/>
      </w:pPr>
      <w:r>
        <w:rPr>
          <w:sz w:val="21"/>
        </w:rPr>
        <w:t xml:space="preserve">Tabla 25. Amenazas específicas a la reproducibilidad en investigación con LLMs</w:t>
      </w:r>
    </w:p>
    <w:p>
      <w:pPr>
        <w:spacing w:after="120"/>
      </w:pPr>
      <w:r>
        <w:rPr>
          <w:sz w:val="21"/>
        </w:rPr>
        <w:t xml:space="preserve">Tabla 26. Tres niveles de garantía de reproducibilidad (R1 estricto · R2 estadístico · R3 metodológico)</w:t>
      </w:r>
    </w:p>
    <w:p>
      <w:pPr>
        <w:pStyle w:val="Heading1"/>
      </w:pPr>
      <w:r>
        <w:t>1. Introducción y objetivos</w:t>
      </w:r>
    </w:p>
    <w:p>
      <w:r>
        <w:t>Las ontologías biomédicas son caras. Formalizar la jerarquía de elementos cis-regulatorios humanos (enhancers, super-enhancers, elementos reguladores activos) requiere semanas de trabajo de un experto en semántica que también conozca el dominio. Hay pocos perfiles así, y los que existen están saturados. Las bases de datos del dominio crecen más rápido que la capacidad de los ontólogos para mantenerlas anotadas.</w:t>
      </w:r>
    </w:p>
    <w:p>
      <w:r>
        <w:t>Los modelos de lenguaje grandes producen Turtle. Lo hacen bien, lo hacen mal o lo hacen a medias según cómo se les pregunte. La literatura propone cuatro estrategias principales: zero-shot, vocabulario controlado, RAG y pipelines multi-agente. La más elaborada (OntoGenix, Val Calvo et al., 2024) usa tres agentes secuenciales y promete ontologías más ricas que cualquier prompt directo. Las afirmaciones de la literatura, sin embargo, son difíciles de comparar porque cada paper usa su propio dataset, su propia métrica y su propio modelo cerrado.</w:t>
      </w:r>
    </w:p>
    <w:p>
      <w:r>
        <w:t>El TFM mide las cuatro estrategias en el mismo banco. Mismas bases de datos, mismas semillas, mismas métricas, los mismos tres modelos. La pregunta de fondo no es académica: si un equipo biomédico tiene 40 horas para anotar una nueva fuente de datos, ¿qué combinación de modelo y técnica le da el mejor punto de partida? La respuesta no es una sola, depende de qué tipo de error pueda permitirse. Lo que sigue es la base de evidencia que permite hacer esa elección con criterio.</w:t>
      </w:r>
    </w:p>
    <w:p>
      <w:pPr>
        <w:pStyle w:val="Heading2"/>
      </w:pPr>
      <w:r>
        <w:t>1.1. Objetivos específicos (alcanzados)</w:t>
      </w:r>
    </w:p>
    <w:p>
      <w:r>
        <w:t>Los objetivos iniciales del TFM, planteados en la versión 1.0 de esta memoria, eran cuatro. La versión actual los amplía con dos objetivos emergentes que surgieron durante la ejecución y que han terminado siendo tan relevantes como los de partida. Lista completa, marcando cuáles eran iniciales (I) y cuáles emergieron durante el trabajo (E):</w:t>
      </w:r>
    </w:p>
    <w:p>
      <w:pPr>
        <w:pStyle w:val="ListBullet"/>
      </w:pPr>
      <w:r>
        <w:rPr>
          <w:b/>
        </w:rPr>
        <w:t>(I) Banco de pruebas reproducible</w:t>
      </w:r>
      <w:r>
        <w:t>. Construido con cuatro experimentos (E1–E4), cuatro bases de datos del dominio cisreg (FANTOM5, dbSUPER, HACER, DiseaseEnhancer) y tres semillas (42, 43, 44) para estimar variabilidad inter-corrida. 96 corridas en el experimento principal y 144 corridas adicionales en los sub-experimentos.</w:t>
      </w:r>
    </w:p>
    <w:p>
      <w:pPr>
        <w:pStyle w:val="ListBullet"/>
      </w:pPr>
      <w:r>
        <w:rPr>
          <w:b/>
        </w:rPr>
        <w:t>(I) Replicación funcional de OntoGenix</w:t>
      </w:r>
      <w:r>
        <w:t>. Pipeline ejecutada sobre las cuatro BBDD sin la GUI PyQt5, con tres adaptaciones técnicas documentadas (bypass de Searcher, bypass del paso SERP, snapshot del modelo). Detalle en §3.</w:t>
      </w:r>
    </w:p>
    <w:p>
      <w:pPr>
        <w:pStyle w:val="ListBullet"/>
      </w:pPr>
      <w:r>
        <w:rPr>
          <w:b/>
        </w:rPr>
        <w:t>(I) Métricas objetivas, no caseras</w:t>
      </w:r>
      <w:r>
        <w:t>. OQuaRE como marco normativo (§9), implementado contra el razonador HermiT vía owlready2. Cinco sub-características más Global, todas en escala 1–5 con rúbricas publicadas (Duque-Ramos et al., 2014).</w:t>
      </w:r>
    </w:p>
    <w:p>
      <w:pPr>
        <w:pStyle w:val="ListBullet"/>
      </w:pPr>
      <w:r>
        <w:rPr>
          <w:b/>
        </w:rPr>
        <w:t>(I) Patrones de error por estrategia y por modelo</w:t>
      </w:r>
      <w:r>
        <w:t xml:space="preserve"> documentados en §10.2: Llama omite el «:» del prefijo en cuerpos del esquema; Qwen mezcla sintaxis Turtle con RDF/XML y JSON-LD; gpt-4o no comete ninguno de los dos. Las plantillas cisreg originales también tenían erratas tipográficas (un «&gt;» espurio en crm2tfac.ttl) que el experimento sacó a la luz.</w:t>
      </w:r>
    </w:p>
    <w:p>
      <w:pPr>
        <w:pStyle w:val="ListBullet"/>
      </w:pPr>
      <w:r>
        <w:rPr>
          <w:b/>
        </w:rPr>
        <w:t>(E) Comparativa cross-model</w:t>
      </w:r>
      <w:r>
        <w:t xml:space="preserve"> (§10) entre modelo cerrado (gpt-4o) y dos open-source (Llama 3.1 8B, Qwen 2.5 Coder 7B). Resultado contraintuitivo: en E2 el modelo pequeño supera al grande en OQuaRE, porque la rúbrica penaliza la complejidad. La comparación cualitativa de §8 sigue dando ventaja a gpt-4o en riqueza absoluta.</w:t>
      </w:r>
    </w:p>
    <w:p>
      <w:pPr>
        <w:pStyle w:val="ListBullet"/>
      </w:pPr>
      <w:r>
        <w:rPr>
          <w:b/>
        </w:rPr>
        <w:t>(E) RAG semántico real</w:t>
      </w:r>
      <w:r>
        <w:t xml:space="preserve"> sustituye al keyword-match estático del experimento original (§10.7). Subo el OQuaRE de E3 con gpt-4o de 2.91 a 4.20 (+44 %). Para Llama el efecto es opuesto hasta calibrar top_k=2, momento en el que el 76 % del gap modelo-cerrado se cierra (§10.7.7). La calibración constituye una guía operativa cuantitativa, no una recomendación cualitativa.</w:t>
      </w:r>
    </w:p>
    <w:p>
      <w:pPr>
        <w:pStyle w:val="Heading2"/>
      </w:pPr>
      <w:r>
        <w:t>1.2. Lo que NO cubre este TFM</w:t>
      </w:r>
    </w:p>
    <w:p>
      <w:r>
        <w:t>Reconocer el alcance es tan importante como reportar los logros. Cuatro cosas que el trabajo no demuestra y que merecen aclararse:</w:t>
      </w:r>
    </w:p>
    <w:p>
      <w:pPr>
        <w:pStyle w:val="ListBullet"/>
      </w:pPr>
      <w:r>
        <w:rPr>
          <w:b/>
        </w:rPr>
        <w:t>No prueba que un LLM pueda sustituir a un ontólogo en producción</w:t>
      </w:r>
      <w:r>
        <w:t>. Las ontologías generadas necesitan revisión humana para uso real. El TFM mide cuánto trabajo ahorra el LLM, no si el resultado es publicable.</w:t>
      </w:r>
    </w:p>
    <w:p>
      <w:pPr>
        <w:pStyle w:val="ListBullet"/>
      </w:pPr>
      <w:r>
        <w:rPr>
          <w:b/>
        </w:rPr>
        <w:t>No es generalizable a otros dominios sin replicación</w:t>
      </w:r>
      <w:r>
        <w:t>. Todos los experimentos usan bases de datos cis-regulatorias humanas. Un dominio con vocabulario más amplio (clinical trials, drug-target) podría dar otra distribución de errores y otro ranking entre modelos.</w:t>
      </w:r>
    </w:p>
    <w:p>
      <w:pPr>
        <w:pStyle w:val="ListBullet"/>
      </w:pPr>
      <w:r>
        <w:rPr>
          <w:b/>
        </w:rPr>
        <w:t>No evalúa la calidad de las relaciones inferidas</w:t>
      </w:r>
      <w:r>
        <w:t>. OQuaRE y sus 11 métricas estructurales miden la forma del esquema, no la corrección biomédica de las clases que declara. Para eso haría falta validación experta sobre una muestra.</w:t>
      </w:r>
    </w:p>
    <w:p>
      <w:pPr>
        <w:pStyle w:val="ListBullet"/>
      </w:pPr>
      <w:r>
        <w:rPr>
          <w:b/>
        </w:rPr>
        <w:t>No es 100 % reproducible bit-a-bit</w:t>
      </w:r>
      <w:r>
        <w:t>. OpenAI no garantiza determinismo, aunque la temperatura sea 0 y la seed esté fijada. El TFM admite la limitación y la encuadra en el marco de reproducibilidad de §12.</w:t>
      </w:r>
    </w:p>
    <w:p>
      <w:pPr>
        <w:pStyle w:val="Heading1"/>
      </w:pPr>
      <w:r>
        <w:t>2. Marco teórico</w:t>
      </w:r>
    </w:p>
    <w:p>
      <w:pPr>
        <w:pStyle w:val="Heading2"/>
      </w:pPr>
      <w:r>
        <w:t>2.1. Ontologías y OWL 2</w:t>
      </w:r>
    </w:p>
    <w:p>
      <w:r>
        <w:t>Una ontología es una especificación formal y explícita de una conceptualización compartida (Studer, Benjamins &amp; Fensel, 1998). En la web semántica se expresan habitualmente en OWL 2 serializado en Turtle (W3C, 2012), una sintaxis orientada a triples sujeto-predicado-objeto. Los elementos fundamentales son las clases (owl:Class), las propiedades de objeto (owl:ObjectProperty), las propiedades de datos (owl:DatatypeProperty), las restricciones (owl:Restriction) y los axiomas subsumptivos (rdfs:subClassOf).</w:t>
      </w:r>
    </w:p>
    <w:p>
      <w:pPr>
        <w:pStyle w:val="Heading2"/>
      </w:pPr>
      <w:r>
        <w:t>2.2. Generación de ontologías con LLM</w:t>
      </w:r>
    </w:p>
    <w:p>
      <w:r>
        <w:t>El uso de LLM para tareas de ingeniería ontológica ha generado en los últimos dos años una línea de trabajo activa. Tres estrategias emergen como referentes: la generación zero-shot a partir de texto o datos en bruto, la generación guiada por vocabularios controlados, y la generación aumentada por recuperación (RAG) con fragmentos de ontologías de referencia (Meyer et al., 2023; Neuhaus, 2023). A estas se suma una cuarta aproximación más reciente: las pipelines multi-agente, donde un LLM planifica, otro escribe el esquema y un tercero lo mapea contra datos. OntoGenix es el exponente publicado más completo de esta aproximación (Val Calvo et al., 2024).</w:t>
      </w:r>
    </w:p>
    <w:p>
      <w:pPr>
        <w:pStyle w:val="Heading1"/>
      </w:pPr>
      <w:r>
        <w:t>3. Artículo de referencia: OntoGenix</w:t>
      </w:r>
    </w:p>
    <w:p>
      <w:r>
        <w:t>La herramienta sobre la que se apoya el experimento E4 del presente trabajo es OntoGenix, publicada por el grupo Tecnomod de la Universidad de Murcia. Los datos de cita son:</w:t>
      </w:r>
    </w:p>
    <w:p>
      <w:pPr>
        <w:pStyle w:val="Caption"/>
        <w:jc w:val="center"/>
        <w:spacing w:before="120" w:after="60"/>
      </w:pPr>
      <w:r>
        <w:rPr>
          <w:b/>
          <w:sz w:val="20"/>
          <w:i/>
        </w:rPr>
        <w:t xml:space="preserve">Tabla 1. </w:t>
      </w:r>
      <w:r>
        <w:rPr>
          <w:sz w:val="20"/>
          <w:i/>
        </w:rPr>
        <w:t>Configuración global del experimento (campo y valor por defecto)</w:t>
      </w:r>
    </w:p>
    <w:tbl>
      <w:tblPr>
        <w:tblStyle w:val="TableGrid"/>
        <w:tblW w:type="auto" w:w="0"/>
        <w:tblLook w:firstColumn="1" w:firstRow="1" w:lastColumn="0" w:lastRow="0" w:noHBand="0" w:noVBand="1" w:val="04A0"/>
      </w:tblPr>
      <w:tblGrid>
        <w:gridCol w:w="4419"/>
        <w:gridCol w:w="4419"/>
      </w:tblGrid>
      <w:tr>
        <w:tc>
          <w:tcPr>
            <w:tcW w:type="dxa" w:w="2268"/>
            <w:shd w:val="clear" w:color="auto" w:fill="1F4E79"/>
            <w:vAlign w:val="center"/>
          </w:tcPr>
          <w:p>
            <w:pPr>
              <w:jc w:val="center"/>
            </w:pPr>
            <w:r/>
            <w:r>
              <w:rPr>
                <w:b/>
                <w:color w:val="FFFFFF"/>
                <w:sz w:val="20"/>
              </w:rPr>
              <w:t>Campo</w:t>
            </w:r>
          </w:p>
        </w:tc>
        <w:tc>
          <w:tcPr>
            <w:tcW w:type="dxa" w:w="6236"/>
            <w:shd w:val="clear" w:color="auto" w:fill="1F4E79"/>
            <w:vAlign w:val="center"/>
          </w:tcPr>
          <w:p>
            <w:pPr>
              <w:jc w:val="center"/>
            </w:pPr>
            <w:r/>
            <w:r>
              <w:rPr>
                <w:b/>
                <w:color w:val="FFFFFF"/>
                <w:sz w:val="20"/>
              </w:rPr>
              <w:t>Valor</w:t>
            </w:r>
          </w:p>
        </w:tc>
      </w:tr>
      <w:tr>
        <w:tc>
          <w:tcPr>
            <w:tcW w:type="dxa" w:w="2268"/>
            <w:vAlign w:val="center"/>
          </w:tcPr>
          <w:p>
            <w:r/>
            <w:r>
              <w:rPr>
                <w:sz w:val="20"/>
              </w:rPr>
              <w:t>Título</w:t>
            </w:r>
          </w:p>
        </w:tc>
        <w:tc>
          <w:tcPr>
            <w:tcW w:type="dxa" w:w="6236"/>
            <w:vAlign w:val="center"/>
          </w:tcPr>
          <w:p>
            <w:r/>
            <w:r>
              <w:rPr>
                <w:sz w:val="20"/>
              </w:rPr>
              <w:t>OntoGenix: Leveraging large language models for enhanced ontology engineering from datasets</w:t>
            </w:r>
          </w:p>
        </w:tc>
      </w:tr>
      <w:tr>
        <w:tc>
          <w:tcPr>
            <w:tcW w:type="dxa" w:w="2268"/>
            <w:shd w:val="clear" w:color="auto" w:fill="F2F6FA"/>
            <w:vAlign w:val="center"/>
          </w:tcPr>
          <w:p>
            <w:r/>
            <w:r>
              <w:rPr>
                <w:sz w:val="20"/>
              </w:rPr>
              <w:t>Autores</w:t>
            </w:r>
          </w:p>
        </w:tc>
        <w:tc>
          <w:tcPr>
            <w:tcW w:type="dxa" w:w="6236"/>
            <w:shd w:val="clear" w:color="auto" w:fill="F2F6FA"/>
            <w:vAlign w:val="center"/>
          </w:tcPr>
          <w:p>
            <w:r/>
            <w:r>
              <w:rPr>
                <w:sz w:val="20"/>
              </w:rPr>
              <w:t>Val Calvo, M.; Egaña Aranguren, M.; Fernández Breis, J. T. (Universidad de Murcia · Universidad del País Vasco)</w:t>
            </w:r>
          </w:p>
        </w:tc>
      </w:tr>
      <w:tr>
        <w:tc>
          <w:tcPr>
            <w:tcW w:type="dxa" w:w="2268"/>
            <w:vAlign w:val="center"/>
          </w:tcPr>
          <w:p>
            <w:r/>
            <w:r>
              <w:rPr>
                <w:sz w:val="20"/>
              </w:rPr>
              <w:t>Repositorio</w:t>
            </w:r>
          </w:p>
        </w:tc>
        <w:tc>
          <w:tcPr>
            <w:tcW w:type="dxa" w:w="6236"/>
            <w:vAlign w:val="center"/>
          </w:tcPr>
          <w:p>
            <w:r/>
            <w:r>
              <w:rPr>
                <w:sz w:val="20"/>
              </w:rPr>
              <w:t>https://github.com/tecnomod-um/OntoGenix</w:t>
            </w:r>
          </w:p>
        </w:tc>
      </w:tr>
      <w:tr>
        <w:tc>
          <w:tcPr>
            <w:tcW w:type="dxa" w:w="2268"/>
            <w:shd w:val="clear" w:color="auto" w:fill="F2F6FA"/>
            <w:vAlign w:val="center"/>
          </w:tcPr>
          <w:p>
            <w:r/>
            <w:r>
              <w:rPr>
                <w:sz w:val="20"/>
              </w:rPr>
              <w:t>Licencia</w:t>
            </w:r>
          </w:p>
        </w:tc>
        <w:tc>
          <w:tcPr>
            <w:tcW w:type="dxa" w:w="6236"/>
            <w:shd w:val="clear" w:color="auto" w:fill="F2F6FA"/>
            <w:vAlign w:val="center"/>
          </w:tcPr>
          <w:p>
            <w:r/>
            <w:r>
              <w:rPr>
                <w:sz w:val="20"/>
              </w:rPr>
              <w:t>MIT (según LICENSE del repositorio)</w:t>
            </w:r>
          </w:p>
        </w:tc>
      </w:tr>
      <w:tr>
        <w:tc>
          <w:tcPr>
            <w:tcW w:type="dxa" w:w="2268"/>
            <w:vAlign w:val="center"/>
          </w:tcPr>
          <w:p>
            <w:r/>
            <w:r>
              <w:rPr>
                <w:sz w:val="20"/>
              </w:rPr>
              <w:t>Modelo LLM utilizado</w:t>
            </w:r>
          </w:p>
        </w:tc>
        <w:tc>
          <w:tcPr>
            <w:tcW w:type="dxa" w:w="6236"/>
            <w:vAlign w:val="center"/>
          </w:tcPr>
          <w:p>
            <w:r/>
            <w:r>
              <w:rPr>
                <w:sz w:val="20"/>
              </w:rPr>
              <w:t>gpt-4o-2024-05-13 (OpenAI)</w:t>
            </w:r>
          </w:p>
        </w:tc>
      </w:tr>
      <w:tr>
        <w:tc>
          <w:tcPr>
            <w:tcW w:type="dxa" w:w="2268"/>
            <w:shd w:val="clear" w:color="auto" w:fill="F2F6FA"/>
            <w:vAlign w:val="center"/>
          </w:tcPr>
          <w:p>
            <w:r/>
            <w:r>
              <w:rPr>
                <w:sz w:val="20"/>
              </w:rPr>
              <w:t>Arquitectura</w:t>
            </w:r>
          </w:p>
        </w:tc>
        <w:tc>
          <w:tcPr>
            <w:tcW w:type="dxa" w:w="6236"/>
            <w:shd w:val="clear" w:color="auto" w:fill="F2F6FA"/>
            <w:vAlign w:val="center"/>
          </w:tcPr>
          <w:p>
            <w:r/>
            <w:r>
              <w:rPr>
                <w:sz w:val="20"/>
              </w:rPr>
              <w:t>Sistema multi-agente con tres agentes LLM: LlmPlanner, LlmOntology y LlmOntoMapper</w:t>
            </w:r>
          </w:p>
        </w:tc>
      </w:tr>
    </w:tbl>
    <w:p>
      <w:pPr>
        <w:pStyle w:val="Heading2"/>
      </w:pPr>
      <w:r>
        <w:t>3.1. Pipeline replicada</w:t>
      </w:r>
    </w:p>
    <w:p>
      <w:r>
        <w:t>OntoGenix implementa una pipeline de cinco pasos que se ha replicado íntegramente en el experimento E4, omitiendo únicamente el paso de interoperabilidad con SERP API por no disponer de clave. La tabla siguiente resume el flujo:</w:t>
      </w:r>
    </w:p>
    <w:p>
      <w:pPr>
        <w:pStyle w:val="Caption"/>
        <w:jc w:val="center"/>
        <w:spacing w:before="120" w:after="60"/>
      </w:pPr>
      <w:r>
        <w:rPr>
          <w:b/>
          <w:sz w:val="20"/>
          <w:i/>
        </w:rPr>
        <w:t xml:space="preserve">Tabla 2. </w:t>
      </w:r>
      <w:r>
        <w:rPr>
          <w:sz w:val="20"/>
          <w:i/>
        </w:rPr>
        <w:t>Pipeline replicada de OntoGenix, paso a paso</w:t>
      </w:r>
    </w:p>
    <w:tbl>
      <w:tblPr>
        <w:tblStyle w:val="TableGrid"/>
        <w:tblW w:type="auto" w:w="0"/>
        <w:tblLook w:firstColumn="1" w:firstRow="1" w:lastColumn="0" w:lastRow="0" w:noHBand="0" w:noVBand="1" w:val="04A0"/>
      </w:tblPr>
      <w:tblGrid>
        <w:gridCol w:w="2209"/>
        <w:gridCol w:w="2209"/>
        <w:gridCol w:w="2209"/>
        <w:gridCol w:w="2209"/>
      </w:tblGrid>
      <w:tr>
        <w:tc>
          <w:tcPr>
            <w:tcW w:type="dxa" w:w="567"/>
            <w:shd w:val="clear" w:color="auto" w:fill="1F4E79"/>
            <w:vAlign w:val="center"/>
          </w:tcPr>
          <w:p>
            <w:pPr>
              <w:jc w:val="center"/>
            </w:pPr>
            <w:r/>
            <w:r>
              <w:rPr>
                <w:b/>
                <w:color w:val="FFFFFF"/>
                <w:sz w:val="20"/>
              </w:rPr>
              <w:t>Paso</w:t>
            </w:r>
          </w:p>
        </w:tc>
        <w:tc>
          <w:tcPr>
            <w:tcW w:type="dxa" w:w="2268"/>
            <w:shd w:val="clear" w:color="auto" w:fill="1F4E79"/>
            <w:vAlign w:val="center"/>
          </w:tcPr>
          <w:p>
            <w:pPr>
              <w:jc w:val="center"/>
            </w:pPr>
            <w:r/>
            <w:r>
              <w:rPr>
                <w:b/>
                <w:color w:val="FFFFFF"/>
                <w:sz w:val="20"/>
              </w:rPr>
              <w:t>Agente / función</w:t>
            </w:r>
          </w:p>
        </w:tc>
        <w:tc>
          <w:tcPr>
            <w:tcW w:type="dxa" w:w="2835"/>
            <w:shd w:val="clear" w:color="auto" w:fill="1F4E79"/>
            <w:vAlign w:val="center"/>
          </w:tcPr>
          <w:p>
            <w:pPr>
              <w:jc w:val="center"/>
            </w:pPr>
            <w:r/>
            <w:r>
              <w:rPr>
                <w:b/>
                <w:color w:val="FFFFFF"/>
                <w:sz w:val="20"/>
              </w:rPr>
              <w:t>Entrada</w:t>
            </w:r>
          </w:p>
        </w:tc>
        <w:tc>
          <w:tcPr>
            <w:tcW w:type="dxa" w:w="2835"/>
            <w:shd w:val="clear" w:color="auto" w:fill="1F4E79"/>
            <w:vAlign w:val="center"/>
          </w:tcPr>
          <w:p>
            <w:pPr>
              <w:jc w:val="center"/>
            </w:pPr>
            <w:r/>
            <w:r>
              <w:rPr>
                <w:b/>
                <w:color w:val="FFFFFF"/>
                <w:sz w:val="20"/>
              </w:rPr>
              <w:t>Salida</w:t>
            </w:r>
          </w:p>
        </w:tc>
      </w:tr>
      <w:tr>
        <w:tc>
          <w:tcPr>
            <w:tcW w:type="dxa" w:w="567"/>
            <w:vAlign w:val="center"/>
          </w:tcPr>
          <w:p>
            <w:r/>
            <w:r>
              <w:rPr>
                <w:sz w:val="20"/>
              </w:rPr>
              <w:t>1</w:t>
            </w:r>
          </w:p>
        </w:tc>
        <w:tc>
          <w:tcPr>
            <w:tcW w:type="dxa" w:w="2268"/>
            <w:vAlign w:val="center"/>
          </w:tcPr>
          <w:p>
            <w:r/>
            <w:r>
              <w:rPr>
                <w:sz w:val="20"/>
              </w:rPr>
              <w:t>csv_data_preprocessing</w:t>
            </w:r>
          </w:p>
        </w:tc>
        <w:tc>
          <w:tcPr>
            <w:tcW w:type="dxa" w:w="2835"/>
            <w:vAlign w:val="center"/>
          </w:tcPr>
          <w:p>
            <w:r/>
            <w:r>
              <w:rPr>
                <w:sz w:val="20"/>
              </w:rPr>
              <w:t>CSV limpio de la base de datos</w:t>
            </w:r>
          </w:p>
        </w:tc>
        <w:tc>
          <w:tcPr>
            <w:tcW w:type="dxa" w:w="2835"/>
            <w:vAlign w:val="center"/>
          </w:tcPr>
          <w:p>
            <w:r/>
            <w:r>
              <w:rPr>
                <w:sz w:val="20"/>
              </w:rPr>
              <w:t>DataFrame con estadísticas por columna</w:t>
            </w:r>
          </w:p>
        </w:tc>
      </w:tr>
      <w:tr>
        <w:tc>
          <w:tcPr>
            <w:tcW w:type="dxa" w:w="567"/>
            <w:shd w:val="clear" w:color="auto" w:fill="F2F6FA"/>
            <w:vAlign w:val="center"/>
          </w:tcPr>
          <w:p>
            <w:r/>
            <w:r>
              <w:rPr>
                <w:sz w:val="20"/>
              </w:rPr>
              <w:t>2</w:t>
            </w:r>
          </w:p>
        </w:tc>
        <w:tc>
          <w:tcPr>
            <w:tcW w:type="dxa" w:w="2268"/>
            <w:shd w:val="clear" w:color="auto" w:fill="F2F6FA"/>
            <w:vAlign w:val="center"/>
          </w:tcPr>
          <w:p>
            <w:r/>
            <w:r>
              <w:rPr>
                <w:sz w:val="20"/>
              </w:rPr>
              <w:t>dataframe2prettyjson</w:t>
            </w:r>
          </w:p>
        </w:tc>
        <w:tc>
          <w:tcPr>
            <w:tcW w:type="dxa" w:w="2835"/>
            <w:shd w:val="clear" w:color="auto" w:fill="F2F6FA"/>
            <w:vAlign w:val="center"/>
          </w:tcPr>
          <w:p>
            <w:r/>
            <w:r>
              <w:rPr>
                <w:sz w:val="20"/>
              </w:rPr>
              <w:t>DataFrame de estadísticas</w:t>
            </w:r>
          </w:p>
        </w:tc>
        <w:tc>
          <w:tcPr>
            <w:tcW w:type="dxa" w:w="2835"/>
            <w:shd w:val="clear" w:color="auto" w:fill="F2F6FA"/>
            <w:vAlign w:val="center"/>
          </w:tcPr>
          <w:p>
            <w:r/>
            <w:r>
              <w:rPr>
                <w:sz w:val="20"/>
              </w:rPr>
              <w:t>Descripción columnar en JSON</w:t>
            </w:r>
          </w:p>
        </w:tc>
      </w:tr>
      <w:tr>
        <w:tc>
          <w:tcPr>
            <w:tcW w:type="dxa" w:w="567"/>
            <w:vAlign w:val="center"/>
          </w:tcPr>
          <w:p>
            <w:r/>
            <w:r>
              <w:rPr>
                <w:sz w:val="20"/>
              </w:rPr>
              <w:t>3</w:t>
            </w:r>
          </w:p>
        </w:tc>
        <w:tc>
          <w:tcPr>
            <w:tcW w:type="dxa" w:w="2268"/>
            <w:vAlign w:val="center"/>
          </w:tcPr>
          <w:p>
            <w:r/>
            <w:r>
              <w:rPr>
                <w:sz w:val="20"/>
              </w:rPr>
              <w:t>LlmPlanner.interaction()</w:t>
            </w:r>
          </w:p>
        </w:tc>
        <w:tc>
          <w:tcPr>
            <w:tcW w:type="dxa" w:w="2835"/>
            <w:vAlign w:val="center"/>
          </w:tcPr>
          <w:p>
            <w:r/>
            <w:r>
              <w:rPr>
                <w:sz w:val="20"/>
              </w:rPr>
              <w:t>JSON + descripción de la tarea</w:t>
            </w:r>
          </w:p>
        </w:tc>
        <w:tc>
          <w:tcPr>
            <w:tcW w:type="dxa" w:w="2835"/>
            <w:vAlign w:val="center"/>
          </w:tcPr>
          <w:p>
            <w:r/>
            <w:r>
              <w:rPr>
                <w:sz w:val="20"/>
              </w:rPr>
              <w:t>data_description_run{N}.md (razonamiento)</w:t>
            </w:r>
          </w:p>
        </w:tc>
      </w:tr>
      <w:tr>
        <w:tc>
          <w:tcPr>
            <w:tcW w:type="dxa" w:w="567"/>
            <w:shd w:val="clear" w:color="auto" w:fill="F2F6FA"/>
            <w:vAlign w:val="center"/>
          </w:tcPr>
          <w:p>
            <w:r/>
            <w:r>
              <w:rPr>
                <w:sz w:val="20"/>
              </w:rPr>
              <w:t>4</w:t>
            </w:r>
          </w:p>
        </w:tc>
        <w:tc>
          <w:tcPr>
            <w:tcW w:type="dxa" w:w="2268"/>
            <w:shd w:val="clear" w:color="auto" w:fill="F2F6FA"/>
            <w:vAlign w:val="center"/>
          </w:tcPr>
          <w:p>
            <w:r/>
            <w:r>
              <w:rPr>
                <w:sz w:val="20"/>
              </w:rPr>
              <w:t>LlmOntology.interact()</w:t>
            </w:r>
          </w:p>
        </w:tc>
        <w:tc>
          <w:tcPr>
            <w:tcW w:type="dxa" w:w="2835"/>
            <w:shd w:val="clear" w:color="auto" w:fill="F2F6FA"/>
            <w:vAlign w:val="center"/>
          </w:tcPr>
          <w:p>
            <w:r/>
            <w:r>
              <w:rPr>
                <w:sz w:val="20"/>
              </w:rPr>
              <w:t>JSON + descripción del planner</w:t>
            </w:r>
          </w:p>
        </w:tc>
        <w:tc>
          <w:tcPr>
            <w:tcW w:type="dxa" w:w="2835"/>
            <w:shd w:val="clear" w:color="auto" w:fill="F2F6FA"/>
            <w:vAlign w:val="center"/>
          </w:tcPr>
          <w:p>
            <w:r/>
            <w:r>
              <w:rPr>
                <w:sz w:val="20"/>
              </w:rPr>
              <w:t>ontology_run{N}.ttl (OWL 2 Turtle)</w:t>
            </w:r>
          </w:p>
        </w:tc>
      </w:tr>
      <w:tr>
        <w:tc>
          <w:tcPr>
            <w:tcW w:type="dxa" w:w="567"/>
            <w:vAlign w:val="center"/>
          </w:tcPr>
          <w:p>
            <w:r/>
            <w:r>
              <w:rPr>
                <w:sz w:val="20"/>
              </w:rPr>
              <w:t>5</w:t>
            </w:r>
          </w:p>
        </w:tc>
        <w:tc>
          <w:tcPr>
            <w:tcW w:type="dxa" w:w="2268"/>
            <w:vAlign w:val="center"/>
          </w:tcPr>
          <w:p>
            <w:r/>
            <w:r>
              <w:rPr>
                <w:sz w:val="20"/>
              </w:rPr>
              <w:t>LlmOntoMapper.interact()</w:t>
            </w:r>
          </w:p>
        </w:tc>
        <w:tc>
          <w:tcPr>
            <w:tcW w:type="dxa" w:w="2835"/>
            <w:vAlign w:val="center"/>
          </w:tcPr>
          <w:p>
            <w:r/>
            <w:r>
              <w:rPr>
                <w:sz w:val="20"/>
              </w:rPr>
              <w:t>Descripción + ontología + nombre del CSV</w:t>
            </w:r>
          </w:p>
        </w:tc>
        <w:tc>
          <w:tcPr>
            <w:tcW w:type="dxa" w:w="2835"/>
            <w:vAlign w:val="center"/>
          </w:tcPr>
          <w:p>
            <w:r/>
            <w:r>
              <w:rPr>
                <w:sz w:val="20"/>
              </w:rPr>
              <w:t>mapping_run{N}.ttl (mapping RML/TTL)</w:t>
            </w:r>
          </w:p>
        </w:tc>
      </w:tr>
    </w:tbl>
    <w:p>
      <w:pPr>
        <w:pStyle w:val="Heading2"/>
      </w:pPr>
      <w:r>
        <w:t>3.2. Adaptación al entorno del TFM</w:t>
      </w:r>
    </w:p>
    <w:p>
      <w:r>
        <w:t>Para poder ejecutar OntoGenix de forma reproducible se han realizado las adaptaciones siguientes. Todas ellas quedan registradas en scripts/run_ontogenix_experiments.py dentro del repositorio del TFM.</w:t>
      </w:r>
    </w:p>
    <w:p>
      <w:pPr>
        <w:pStyle w:val="ListBullet"/>
      </w:pPr>
      <w:r>
        <w:t>Bypass de la GUI PyQt5: se instancian directamente los agentes LlmPlanner, LlmOntology y LlmOntoMapper, reproduciendo en código la interpolación de plantillas que realiza el GuiManager a partir de metadata.json.</w:t>
      </w:r>
    </w:p>
    <w:p>
      <w:pPr>
        <w:pStyle w:val="ListBullet"/>
      </w:pPr>
      <w:r>
        <w:t>Requirements mínimo: se genera scripts/requirements_e4.txt con solo openai, pandas, numpy, chardet, python-dotenv, python-dateutil, serpapi y rdflib. Se excluyen PyQt5 y morph-kgc por no ser necesarios en modo headless.</w:t>
      </w:r>
    </w:p>
    <w:p>
      <w:pPr>
        <w:pStyle w:val="ListBullet"/>
      </w:pPr>
      <w:r>
        <w:t>Semilla y temperatura: temperatura = 0, seed base = 42 e incremento por run (42, 43, 44) para obtener repeticiones reproducibles.</w:t>
      </w:r>
    </w:p>
    <w:p>
      <w:pPr>
        <w:pStyle w:val="ListBullet"/>
      </w:pPr>
      <w:r>
        <w:t>Omisión de LlmPlanner.update(): este paso invoca SERP API para añadir contexto de schema.org; se sustituye por una clave dummy que evita el crash del Searcher y no se ejecuta la llamada externa.</w:t>
      </w:r>
    </w:p>
    <w:p>
      <w:pPr>
        <w:pStyle w:val="Heading1"/>
      </w:pPr>
      <w:r>
        <w:t>4. Diseño experimental</w:t>
      </w:r>
    </w:p>
    <w:p>
      <w:r>
        <w:t>Se definen cuatro experimentos que comparten el mismo modelo base (gpt-4o) y el mismo corpus de datos, pero difieren en la estrategia de prompting y en la arquitectura del sistema. La comparación es, por tanto, apples-to-apples: cualquier diferencia observada es atribuible a la estrategia, no al modelo.</w:t>
      </w:r>
    </w:p>
    <w:p>
      <w:pPr>
        <w:pStyle w:val="Caption"/>
        <w:jc w:val="center"/>
        <w:spacing w:before="120" w:after="60"/>
      </w:pPr>
      <w:r>
        <w:rPr>
          <w:b/>
          <w:sz w:val="20"/>
          <w:i/>
        </w:rPr>
        <w:t xml:space="preserve">Tabla 3. </w:t>
      </w:r>
      <w:r>
        <w:rPr>
          <w:sz w:val="20"/>
          <w:i/>
        </w:rPr>
        <w:t>Adaptaciones técnicas de OntoGenix al entorno del TFM</w:t>
      </w:r>
    </w:p>
    <w:tbl>
      <w:tblPr>
        <w:tblStyle w:val="TableGrid"/>
        <w:tblW w:type="auto" w:w="0"/>
        <w:tblLook w:firstColumn="1" w:firstRow="1" w:lastColumn="0" w:lastRow="0" w:noHBand="0" w:noVBand="1" w:val="04A0"/>
      </w:tblPr>
      <w:tblGrid>
        <w:gridCol w:w="2209"/>
        <w:gridCol w:w="2209"/>
        <w:gridCol w:w="2209"/>
        <w:gridCol w:w="2209"/>
      </w:tblGrid>
      <w:tr>
        <w:tc>
          <w:tcPr>
            <w:tcW w:type="dxa" w:w="680"/>
            <w:shd w:val="clear" w:color="auto" w:fill="1F4E79"/>
            <w:vAlign w:val="center"/>
          </w:tcPr>
          <w:p>
            <w:pPr>
              <w:jc w:val="center"/>
            </w:pPr>
            <w:r/>
            <w:r>
              <w:rPr>
                <w:b/>
                <w:color w:val="FFFFFF"/>
                <w:sz w:val="20"/>
              </w:rPr>
              <w:t>ID</w:t>
            </w:r>
          </w:p>
        </w:tc>
        <w:tc>
          <w:tcPr>
            <w:tcW w:type="dxa" w:w="1984"/>
            <w:shd w:val="clear" w:color="auto" w:fill="1F4E79"/>
            <w:vAlign w:val="center"/>
          </w:tcPr>
          <w:p>
            <w:pPr>
              <w:jc w:val="center"/>
            </w:pPr>
            <w:r/>
            <w:r>
              <w:rPr>
                <w:b/>
                <w:color w:val="FFFFFF"/>
                <w:sz w:val="20"/>
              </w:rPr>
              <w:t>Nombre</w:t>
            </w:r>
          </w:p>
        </w:tc>
        <w:tc>
          <w:tcPr>
            <w:tcW w:type="dxa" w:w="2154"/>
            <w:shd w:val="clear" w:color="auto" w:fill="1F4E79"/>
            <w:vAlign w:val="center"/>
          </w:tcPr>
          <w:p>
            <w:pPr>
              <w:jc w:val="center"/>
            </w:pPr>
            <w:r/>
            <w:r>
              <w:rPr>
                <w:b/>
                <w:color w:val="FFFFFF"/>
                <w:sz w:val="20"/>
              </w:rPr>
              <w:t>Estrategia</w:t>
            </w:r>
          </w:p>
        </w:tc>
        <w:tc>
          <w:tcPr>
            <w:tcW w:type="dxa" w:w="3685"/>
            <w:shd w:val="clear" w:color="auto" w:fill="1F4E79"/>
            <w:vAlign w:val="center"/>
          </w:tcPr>
          <w:p>
            <w:pPr>
              <w:jc w:val="center"/>
            </w:pPr>
            <w:r/>
            <w:r>
              <w:rPr>
                <w:b/>
                <w:color w:val="FFFFFF"/>
                <w:sz w:val="20"/>
              </w:rPr>
              <w:t>Contexto adicional</w:t>
            </w:r>
          </w:p>
        </w:tc>
      </w:tr>
      <w:tr>
        <w:tc>
          <w:tcPr>
            <w:tcW w:type="dxa" w:w="680"/>
            <w:vAlign w:val="center"/>
          </w:tcPr>
          <w:p>
            <w:r/>
            <w:r>
              <w:rPr>
                <w:sz w:val="20"/>
              </w:rPr>
              <w:t>E1</w:t>
            </w:r>
          </w:p>
        </w:tc>
        <w:tc>
          <w:tcPr>
            <w:tcW w:type="dxa" w:w="1984"/>
            <w:vAlign w:val="center"/>
          </w:tcPr>
          <w:p>
            <w:r/>
            <w:r>
              <w:rPr>
                <w:sz w:val="20"/>
              </w:rPr>
              <w:t>Base (zero-shot)</w:t>
            </w:r>
          </w:p>
        </w:tc>
        <w:tc>
          <w:tcPr>
            <w:tcW w:type="dxa" w:w="2154"/>
            <w:vAlign w:val="center"/>
          </w:tcPr>
          <w:p>
            <w:r/>
            <w:r>
              <w:rPr>
                <w:sz w:val="20"/>
              </w:rPr>
              <w:t>Prompting directo</w:t>
            </w:r>
          </w:p>
        </w:tc>
        <w:tc>
          <w:tcPr>
            <w:tcW w:type="dxa" w:w="3685"/>
            <w:vAlign w:val="center"/>
          </w:tcPr>
          <w:p>
            <w:r/>
            <w:r>
              <w:rPr>
                <w:sz w:val="20"/>
              </w:rPr>
              <w:t>Solo la muestra de datos</w:t>
            </w:r>
          </w:p>
        </w:tc>
      </w:tr>
      <w:tr>
        <w:tc>
          <w:tcPr>
            <w:tcW w:type="dxa" w:w="680"/>
            <w:shd w:val="clear" w:color="auto" w:fill="F2F6FA"/>
            <w:vAlign w:val="center"/>
          </w:tcPr>
          <w:p>
            <w:r/>
            <w:r>
              <w:rPr>
                <w:sz w:val="20"/>
              </w:rPr>
              <w:t>E2</w:t>
            </w:r>
          </w:p>
        </w:tc>
        <w:tc>
          <w:tcPr>
            <w:tcW w:type="dxa" w:w="1984"/>
            <w:shd w:val="clear" w:color="auto" w:fill="F2F6FA"/>
            <w:vAlign w:val="center"/>
          </w:tcPr>
          <w:p>
            <w:r/>
            <w:r>
              <w:rPr>
                <w:sz w:val="20"/>
              </w:rPr>
              <w:t>Vocabulario controlado</w:t>
            </w:r>
          </w:p>
        </w:tc>
        <w:tc>
          <w:tcPr>
            <w:tcW w:type="dxa" w:w="2154"/>
            <w:shd w:val="clear" w:color="auto" w:fill="F2F6FA"/>
            <w:vAlign w:val="center"/>
          </w:tcPr>
          <w:p>
            <w:r/>
            <w:r>
              <w:rPr>
                <w:sz w:val="20"/>
              </w:rPr>
              <w:t>Prompting con vocabulario</w:t>
            </w:r>
          </w:p>
        </w:tc>
        <w:tc>
          <w:tcPr>
            <w:tcW w:type="dxa" w:w="3685"/>
            <w:shd w:val="clear" w:color="auto" w:fill="F2F6FA"/>
            <w:vAlign w:val="center"/>
          </w:tcPr>
          <w:p>
            <w:r/>
            <w:r>
              <w:rPr>
                <w:sz w:val="20"/>
              </w:rPr>
              <w:t>Términos skos:prefLabel/skos:definition de la ontología cisreg</w:t>
            </w:r>
          </w:p>
        </w:tc>
      </w:tr>
      <w:tr>
        <w:tc>
          <w:tcPr>
            <w:tcW w:type="dxa" w:w="680"/>
            <w:vAlign w:val="center"/>
          </w:tcPr>
          <w:p>
            <w:r/>
            <w:r>
              <w:rPr>
                <w:sz w:val="20"/>
              </w:rPr>
              <w:t>E3</w:t>
            </w:r>
          </w:p>
        </w:tc>
        <w:tc>
          <w:tcPr>
            <w:tcW w:type="dxa" w:w="1984"/>
            <w:vAlign w:val="center"/>
          </w:tcPr>
          <w:p>
            <w:r/>
            <w:r>
              <w:rPr>
                <w:sz w:val="20"/>
              </w:rPr>
              <w:t>RAG ontología cisreg</w:t>
            </w:r>
          </w:p>
        </w:tc>
        <w:tc>
          <w:tcPr>
            <w:tcW w:type="dxa" w:w="2154"/>
            <w:vAlign w:val="center"/>
          </w:tcPr>
          <w:p>
            <w:r/>
            <w:r>
              <w:rPr>
                <w:sz w:val="20"/>
              </w:rPr>
              <w:t>Retrieval augmented</w:t>
            </w:r>
          </w:p>
        </w:tc>
        <w:tc>
          <w:tcPr>
            <w:tcW w:type="dxa" w:w="3685"/>
            <w:vAlign w:val="center"/>
          </w:tcPr>
          <w:p>
            <w:r/>
            <w:r>
              <w:rPr>
                <w:sz w:val="20"/>
              </w:rPr>
              <w:t>Fragmentos relevantes de la ontología cisreg (crm, crm2gene, crm2phen, crm2tfac)</w:t>
            </w:r>
          </w:p>
        </w:tc>
      </w:tr>
      <w:tr>
        <w:tc>
          <w:tcPr>
            <w:tcW w:type="dxa" w:w="680"/>
            <w:shd w:val="clear" w:color="auto" w:fill="F2F6FA"/>
            <w:vAlign w:val="center"/>
          </w:tcPr>
          <w:p>
            <w:r/>
            <w:r>
              <w:rPr>
                <w:sz w:val="20"/>
              </w:rPr>
              <w:t>E4</w:t>
            </w:r>
          </w:p>
        </w:tc>
        <w:tc>
          <w:tcPr>
            <w:tcW w:type="dxa" w:w="1984"/>
            <w:shd w:val="clear" w:color="auto" w:fill="F2F6FA"/>
            <w:vAlign w:val="center"/>
          </w:tcPr>
          <w:p>
            <w:r/>
            <w:r>
              <w:rPr>
                <w:sz w:val="20"/>
              </w:rPr>
              <w:t>OntoGenix (multi-agente)</w:t>
            </w:r>
          </w:p>
        </w:tc>
        <w:tc>
          <w:tcPr>
            <w:tcW w:type="dxa" w:w="2154"/>
            <w:shd w:val="clear" w:color="auto" w:fill="F2F6FA"/>
            <w:vAlign w:val="center"/>
          </w:tcPr>
          <w:p>
            <w:r/>
            <w:r>
              <w:rPr>
                <w:sz w:val="20"/>
              </w:rPr>
              <w:t>Pipeline multi-agente</w:t>
            </w:r>
          </w:p>
        </w:tc>
        <w:tc>
          <w:tcPr>
            <w:tcW w:type="dxa" w:w="3685"/>
            <w:shd w:val="clear" w:color="auto" w:fill="F2F6FA"/>
            <w:vAlign w:val="center"/>
          </w:tcPr>
          <w:p>
            <w:r/>
            <w:r>
              <w:rPr>
                <w:sz w:val="20"/>
              </w:rPr>
              <w:t>Descripción generada por LlmPlanner + estadísticas del CSV</w:t>
            </w:r>
          </w:p>
        </w:tc>
      </w:tr>
    </w:tbl>
    <w:p>
      <w:pPr>
        <w:pStyle w:val="Heading2"/>
      </w:pPr>
      <w:r>
        <w:t>4.1. Parámetros de generación comunes</w:t>
      </w:r>
    </w:p>
    <w:p>
      <w:pPr>
        <w:pStyle w:val="Caption"/>
        <w:jc w:val="center"/>
        <w:spacing w:before="120" w:after="60"/>
      </w:pPr>
      <w:r>
        <w:rPr>
          <w:b/>
          <w:sz w:val="20"/>
          <w:i/>
        </w:rPr>
        <w:t xml:space="preserve">Tabla 4. </w:t>
      </w:r>
      <w:r>
        <w:rPr>
          <w:sz w:val="20"/>
          <w:i/>
        </w:rPr>
        <w:t>Parámetros de generación comunes (E1–E3)</w:t>
      </w:r>
    </w:p>
    <w:tbl>
      <w:tblPr>
        <w:tblStyle w:val="TableGrid"/>
        <w:tblW w:type="auto" w:w="0"/>
        <w:tblLook w:firstColumn="1" w:firstRow="1" w:lastColumn="0" w:lastRow="0" w:noHBand="0" w:noVBand="1" w:val="04A0"/>
      </w:tblPr>
      <w:tblGrid>
        <w:gridCol w:w="2946"/>
        <w:gridCol w:w="2946"/>
        <w:gridCol w:w="2946"/>
      </w:tblGrid>
      <w:tr>
        <w:tc>
          <w:tcPr>
            <w:tcW w:type="dxa" w:w="1587"/>
            <w:shd w:val="clear" w:color="auto" w:fill="1F4E79"/>
            <w:vAlign w:val="center"/>
          </w:tcPr>
          <w:p>
            <w:pPr>
              <w:jc w:val="center"/>
            </w:pPr>
            <w:r/>
            <w:r>
              <w:rPr>
                <w:b/>
                <w:color w:val="FFFFFF"/>
                <w:sz w:val="20"/>
              </w:rPr>
              <w:t>Parámetro</w:t>
            </w:r>
          </w:p>
        </w:tc>
        <w:tc>
          <w:tcPr>
            <w:tcW w:type="dxa" w:w="1984"/>
            <w:shd w:val="clear" w:color="auto" w:fill="1F4E79"/>
            <w:vAlign w:val="center"/>
          </w:tcPr>
          <w:p>
            <w:pPr>
              <w:jc w:val="center"/>
            </w:pPr>
            <w:r/>
            <w:r>
              <w:rPr>
                <w:b/>
                <w:color w:val="FFFFFF"/>
                <w:sz w:val="20"/>
              </w:rPr>
              <w:t>Valor</w:t>
            </w:r>
          </w:p>
        </w:tc>
        <w:tc>
          <w:tcPr>
            <w:tcW w:type="dxa" w:w="4932"/>
            <w:shd w:val="clear" w:color="auto" w:fill="1F4E79"/>
            <w:vAlign w:val="center"/>
          </w:tcPr>
          <w:p>
            <w:pPr>
              <w:jc w:val="center"/>
            </w:pPr>
            <w:r/>
            <w:r>
              <w:rPr>
                <w:b/>
                <w:color w:val="FFFFFF"/>
                <w:sz w:val="20"/>
              </w:rPr>
              <w:t>Justificación</w:t>
            </w:r>
          </w:p>
        </w:tc>
      </w:tr>
      <w:tr>
        <w:tc>
          <w:tcPr>
            <w:tcW w:type="dxa" w:w="1587"/>
            <w:vAlign w:val="center"/>
          </w:tcPr>
          <w:p>
            <w:r/>
            <w:r>
              <w:rPr>
                <w:sz w:val="20"/>
              </w:rPr>
              <w:t>Modelo</w:t>
            </w:r>
          </w:p>
        </w:tc>
        <w:tc>
          <w:tcPr>
            <w:tcW w:type="dxa" w:w="1984"/>
            <w:vAlign w:val="center"/>
          </w:tcPr>
          <w:p>
            <w:r/>
            <w:r>
              <w:rPr>
                <w:sz w:val="20"/>
              </w:rPr>
              <w:t>gpt-4o (OpenAI)</w:t>
            </w:r>
          </w:p>
        </w:tc>
        <w:tc>
          <w:tcPr>
            <w:tcW w:type="dxa" w:w="4932"/>
            <w:vAlign w:val="center"/>
          </w:tcPr>
          <w:p>
            <w:r/>
            <w:r>
              <w:rPr>
                <w:sz w:val="20"/>
              </w:rPr>
              <w:t>Modelo declarado por OntoGenix; se usa también en E1–E3 para garantizar comparabilidad</w:t>
            </w:r>
          </w:p>
        </w:tc>
      </w:tr>
      <w:tr>
        <w:tc>
          <w:tcPr>
            <w:tcW w:type="dxa" w:w="1587"/>
            <w:shd w:val="clear" w:color="auto" w:fill="F2F6FA"/>
            <w:vAlign w:val="center"/>
          </w:tcPr>
          <w:p>
            <w:r/>
            <w:r>
              <w:rPr>
                <w:sz w:val="20"/>
              </w:rPr>
              <w:t>temperature</w:t>
            </w:r>
          </w:p>
        </w:tc>
        <w:tc>
          <w:tcPr>
            <w:tcW w:type="dxa" w:w="1984"/>
            <w:shd w:val="clear" w:color="auto" w:fill="F2F6FA"/>
            <w:vAlign w:val="center"/>
          </w:tcPr>
          <w:p>
            <w:r/>
            <w:r>
              <w:rPr>
                <w:sz w:val="20"/>
              </w:rPr>
              <w:t>0.1 (E1–E3) / 0 (E4)</w:t>
            </w:r>
          </w:p>
        </w:tc>
        <w:tc>
          <w:tcPr>
            <w:tcW w:type="dxa" w:w="4932"/>
            <w:shd w:val="clear" w:color="auto" w:fill="F2F6FA"/>
            <w:vAlign w:val="center"/>
          </w:tcPr>
          <w:p>
            <w:r/>
            <w:r>
              <w:rPr>
                <w:sz w:val="20"/>
              </w:rPr>
              <w:t>Se minimiza la aleatoriedad para favorecer reproducibilidad del código Turtle</w:t>
            </w:r>
          </w:p>
        </w:tc>
      </w:tr>
      <w:tr>
        <w:tc>
          <w:tcPr>
            <w:tcW w:type="dxa" w:w="1587"/>
            <w:vAlign w:val="center"/>
          </w:tcPr>
          <w:p>
            <w:r/>
            <w:r>
              <w:rPr>
                <w:sz w:val="20"/>
              </w:rPr>
              <w:t>top_p</w:t>
            </w:r>
          </w:p>
        </w:tc>
        <w:tc>
          <w:tcPr>
            <w:tcW w:type="dxa" w:w="1984"/>
            <w:vAlign w:val="center"/>
          </w:tcPr>
          <w:p>
            <w:r/>
            <w:r>
              <w:rPr>
                <w:sz w:val="20"/>
              </w:rPr>
              <w:t>0.9</w:t>
            </w:r>
          </w:p>
        </w:tc>
        <w:tc>
          <w:tcPr>
            <w:tcW w:type="dxa" w:w="4932"/>
            <w:vAlign w:val="center"/>
          </w:tcPr>
          <w:p>
            <w:r/>
            <w:r>
              <w:rPr>
                <w:sz w:val="20"/>
              </w:rPr>
              <w:t>Muestreo nucleico estándar</w:t>
            </w:r>
          </w:p>
        </w:tc>
      </w:tr>
      <w:tr>
        <w:tc>
          <w:tcPr>
            <w:tcW w:type="dxa" w:w="1587"/>
            <w:shd w:val="clear" w:color="auto" w:fill="F2F6FA"/>
            <w:vAlign w:val="center"/>
          </w:tcPr>
          <w:p>
            <w:r/>
            <w:r>
              <w:rPr>
                <w:sz w:val="20"/>
              </w:rPr>
              <w:t>max_tokens</w:t>
            </w:r>
          </w:p>
        </w:tc>
        <w:tc>
          <w:tcPr>
            <w:tcW w:type="dxa" w:w="1984"/>
            <w:shd w:val="clear" w:color="auto" w:fill="F2F6FA"/>
            <w:vAlign w:val="center"/>
          </w:tcPr>
          <w:p>
            <w:r/>
            <w:r>
              <w:rPr>
                <w:sz w:val="20"/>
              </w:rPr>
              <w:t>4096</w:t>
            </w:r>
          </w:p>
        </w:tc>
        <w:tc>
          <w:tcPr>
            <w:tcW w:type="dxa" w:w="4932"/>
            <w:shd w:val="clear" w:color="auto" w:fill="F2F6FA"/>
            <w:vAlign w:val="center"/>
          </w:tcPr>
          <w:p>
            <w:r/>
            <w:r>
              <w:rPr>
                <w:sz w:val="20"/>
              </w:rPr>
              <w:t>Suficiente para ontologías de ≈200–300 triples</w:t>
            </w:r>
          </w:p>
        </w:tc>
      </w:tr>
      <w:tr>
        <w:tc>
          <w:tcPr>
            <w:tcW w:type="dxa" w:w="1587"/>
            <w:vAlign w:val="center"/>
          </w:tcPr>
          <w:p>
            <w:r/>
            <w:r>
              <w:rPr>
                <w:sz w:val="20"/>
              </w:rPr>
              <w:t>seed base</w:t>
            </w:r>
          </w:p>
        </w:tc>
        <w:tc>
          <w:tcPr>
            <w:tcW w:type="dxa" w:w="1984"/>
            <w:vAlign w:val="center"/>
          </w:tcPr>
          <w:p>
            <w:r/>
            <w:r>
              <w:rPr>
                <w:sz w:val="20"/>
              </w:rPr>
              <w:t>42</w:t>
            </w:r>
          </w:p>
        </w:tc>
        <w:tc>
          <w:tcPr>
            <w:tcW w:type="dxa" w:w="4932"/>
            <w:vAlign w:val="center"/>
          </w:tcPr>
          <w:p>
            <w:r/>
            <w:r>
              <w:rPr>
                <w:sz w:val="20"/>
              </w:rPr>
              <w:t>Reproducibilidad; cada run incrementa en +1 (42, 43, 44)</w:t>
            </w:r>
          </w:p>
        </w:tc>
      </w:tr>
      <w:tr>
        <w:tc>
          <w:tcPr>
            <w:tcW w:type="dxa" w:w="1587"/>
            <w:shd w:val="clear" w:color="auto" w:fill="F2F6FA"/>
            <w:vAlign w:val="center"/>
          </w:tcPr>
          <w:p>
            <w:r/>
            <w:r>
              <w:rPr>
                <w:sz w:val="20"/>
              </w:rPr>
              <w:t>repeticiones</w:t>
            </w:r>
          </w:p>
        </w:tc>
        <w:tc>
          <w:tcPr>
            <w:tcW w:type="dxa" w:w="1984"/>
            <w:shd w:val="clear" w:color="auto" w:fill="F2F6FA"/>
            <w:vAlign w:val="center"/>
          </w:tcPr>
          <w:p>
            <w:r/>
            <w:r>
              <w:rPr>
                <w:sz w:val="20"/>
              </w:rPr>
              <w:t>3 por (experimento, BBDD)</w:t>
            </w:r>
          </w:p>
        </w:tc>
        <w:tc>
          <w:tcPr>
            <w:tcW w:type="dxa" w:w="4932"/>
            <w:shd w:val="clear" w:color="auto" w:fill="F2F6FA"/>
            <w:vAlign w:val="center"/>
          </w:tcPr>
          <w:p>
            <w:r/>
            <w:r>
              <w:rPr>
                <w:sz w:val="20"/>
              </w:rPr>
              <w:t>Estimación de variabilidad entre ejecuciones</w:t>
            </w:r>
          </w:p>
        </w:tc>
      </w:tr>
    </w:tbl>
    <w:p>
      <w:pPr>
        <w:pStyle w:val="Heading2"/>
      </w:pPr>
      <w:r>
        <w:t>4.2. Corpus de datos</w:t>
      </w:r>
    </w:p>
    <w:p>
      <w:r>
        <w:t>Se emplea un subconjunto representativo de cuatro bases de datos del dominio cis-regulatorio. Se eligen porque cubren tipologías complementarias (enhancers activos, super-enhancers, elementos regulatorios activos y enhancers asociados a enfermedad) y porque disponen de esquema tabular con metadatos experimentales claros.</w:t>
      </w:r>
    </w:p>
    <w:p>
      <w:pPr>
        <w:pStyle w:val="Caption"/>
        <w:jc w:val="center"/>
        <w:spacing w:before="120" w:after="60"/>
      </w:pPr>
      <w:r>
        <w:rPr>
          <w:b/>
          <w:sz w:val="20"/>
          <w:i/>
        </w:rPr>
        <w:t xml:space="preserve">Tabla 5. </w:t>
      </w:r>
      <w:r>
        <w:rPr>
          <w:sz w:val="20"/>
          <w:i/>
        </w:rPr>
        <w:t>Corpus de datos del dominio cis-regulatorio utilizado</w:t>
      </w:r>
    </w:p>
    <w:tbl>
      <w:tblPr>
        <w:tblStyle w:val="TableGrid"/>
        <w:tblW w:type="auto" w:w="0"/>
        <w:tblLook w:firstColumn="1" w:firstRow="1" w:lastColumn="0" w:lastRow="0" w:noHBand="0" w:noVBand="1" w:val="04A0"/>
      </w:tblPr>
      <w:tblGrid>
        <w:gridCol w:w="2946"/>
        <w:gridCol w:w="2946"/>
        <w:gridCol w:w="2946"/>
      </w:tblGrid>
      <w:tr>
        <w:tc>
          <w:tcPr>
            <w:tcW w:type="dxa" w:w="1814"/>
            <w:shd w:val="clear" w:color="auto" w:fill="1F4E79"/>
            <w:vAlign w:val="center"/>
          </w:tcPr>
          <w:p>
            <w:pPr>
              <w:jc w:val="center"/>
            </w:pPr>
            <w:r/>
            <w:r>
              <w:rPr>
                <w:b/>
                <w:color w:val="FFFFFF"/>
                <w:sz w:val="20"/>
              </w:rPr>
              <w:t>Base de datos</w:t>
            </w:r>
          </w:p>
        </w:tc>
        <w:tc>
          <w:tcPr>
            <w:tcW w:type="dxa" w:w="4535"/>
            <w:shd w:val="clear" w:color="auto" w:fill="1F4E79"/>
            <w:vAlign w:val="center"/>
          </w:tcPr>
          <w:p>
            <w:pPr>
              <w:jc w:val="center"/>
            </w:pPr>
            <w:r/>
            <w:r>
              <w:rPr>
                <w:b/>
                <w:color w:val="FFFFFF"/>
                <w:sz w:val="20"/>
              </w:rPr>
              <w:t>Descripción</w:t>
            </w:r>
          </w:p>
        </w:tc>
        <w:tc>
          <w:tcPr>
            <w:tcW w:type="dxa" w:w="2154"/>
            <w:shd w:val="clear" w:color="auto" w:fill="1F4E79"/>
            <w:vAlign w:val="center"/>
          </w:tcPr>
          <w:p>
            <w:pPr>
              <w:jc w:val="center"/>
            </w:pPr>
            <w:r/>
            <w:r>
              <w:rPr>
                <w:b/>
                <w:color w:val="FFFFFF"/>
                <w:sz w:val="20"/>
              </w:rPr>
              <w:t>Fuente</w:t>
            </w:r>
          </w:p>
        </w:tc>
      </w:tr>
      <w:tr>
        <w:tc>
          <w:tcPr>
            <w:tcW w:type="dxa" w:w="1814"/>
            <w:vAlign w:val="center"/>
          </w:tcPr>
          <w:p>
            <w:r/>
            <w:r>
              <w:rPr>
                <w:sz w:val="20"/>
              </w:rPr>
              <w:t>FANTOM5</w:t>
            </w:r>
          </w:p>
        </w:tc>
        <w:tc>
          <w:tcPr>
            <w:tcW w:type="dxa" w:w="4535"/>
            <w:vAlign w:val="center"/>
          </w:tcPr>
          <w:p>
            <w:r/>
            <w:r>
              <w:rPr>
                <w:sz w:val="20"/>
              </w:rPr>
              <w:t>Enhancers activos identificados por CAGE-seq</w:t>
            </w:r>
          </w:p>
        </w:tc>
        <w:tc>
          <w:tcPr>
            <w:tcW w:type="dxa" w:w="2154"/>
            <w:vAlign w:val="center"/>
          </w:tcPr>
          <w:p>
            <w:r/>
            <w:r>
              <w:rPr>
                <w:sz w:val="20"/>
              </w:rPr>
              <w:t>fantom.gsc.riken.jp/5/</w:t>
            </w:r>
          </w:p>
        </w:tc>
      </w:tr>
      <w:tr>
        <w:tc>
          <w:tcPr>
            <w:tcW w:type="dxa" w:w="1814"/>
            <w:shd w:val="clear" w:color="auto" w:fill="F2F6FA"/>
            <w:vAlign w:val="center"/>
          </w:tcPr>
          <w:p>
            <w:r/>
            <w:r>
              <w:rPr>
                <w:sz w:val="20"/>
              </w:rPr>
              <w:t>dbSUPER</w:t>
            </w:r>
          </w:p>
        </w:tc>
        <w:tc>
          <w:tcPr>
            <w:tcW w:type="dxa" w:w="4535"/>
            <w:shd w:val="clear" w:color="auto" w:fill="F2F6FA"/>
            <w:vAlign w:val="center"/>
          </w:tcPr>
          <w:p>
            <w:r/>
            <w:r>
              <w:rPr>
                <w:sz w:val="20"/>
              </w:rPr>
              <w:t>Super-enhancers con coordenadas, líneas celulares y genes diana</w:t>
            </w:r>
          </w:p>
        </w:tc>
        <w:tc>
          <w:tcPr>
            <w:tcW w:type="dxa" w:w="2154"/>
            <w:shd w:val="clear" w:color="auto" w:fill="F2F6FA"/>
            <w:vAlign w:val="center"/>
          </w:tcPr>
          <w:p>
            <w:r/>
            <w:r>
              <w:rPr>
                <w:sz w:val="20"/>
              </w:rPr>
              <w:t>asntech.org/dbsuper/</w:t>
            </w:r>
          </w:p>
        </w:tc>
      </w:tr>
      <w:tr>
        <w:tc>
          <w:tcPr>
            <w:tcW w:type="dxa" w:w="1814"/>
            <w:vAlign w:val="center"/>
          </w:tcPr>
          <w:p>
            <w:r/>
            <w:r>
              <w:rPr>
                <w:sz w:val="20"/>
              </w:rPr>
              <w:t>HACER</w:t>
            </w:r>
          </w:p>
        </w:tc>
        <w:tc>
          <w:tcPr>
            <w:tcW w:type="dxa" w:w="4535"/>
            <w:vAlign w:val="center"/>
          </w:tcPr>
          <w:p>
            <w:r/>
            <w:r>
              <w:rPr>
                <w:sz w:val="20"/>
              </w:rPr>
              <w:t>Human Active Cis-regulatory Elements database</w:t>
            </w:r>
          </w:p>
        </w:tc>
        <w:tc>
          <w:tcPr>
            <w:tcW w:type="dxa" w:w="2154"/>
            <w:vAlign w:val="center"/>
          </w:tcPr>
          <w:p>
            <w:r/>
            <w:r>
              <w:rPr>
                <w:sz w:val="20"/>
              </w:rPr>
              <w:t>bioinfo.vanderbilt.edu/AE/HACER/</w:t>
            </w:r>
          </w:p>
        </w:tc>
      </w:tr>
      <w:tr>
        <w:tc>
          <w:tcPr>
            <w:tcW w:type="dxa" w:w="1814"/>
            <w:shd w:val="clear" w:color="auto" w:fill="F2F6FA"/>
            <w:vAlign w:val="center"/>
          </w:tcPr>
          <w:p>
            <w:r/>
            <w:r>
              <w:rPr>
                <w:sz w:val="20"/>
              </w:rPr>
              <w:t>DiseaseEnhancer</w:t>
            </w:r>
          </w:p>
        </w:tc>
        <w:tc>
          <w:tcPr>
            <w:tcW w:type="dxa" w:w="4535"/>
            <w:shd w:val="clear" w:color="auto" w:fill="F2F6FA"/>
            <w:vAlign w:val="center"/>
          </w:tcPr>
          <w:p>
            <w:r/>
            <w:r>
              <w:rPr>
                <w:sz w:val="20"/>
              </w:rPr>
              <w:t>Enhancers asociados a enfermedades humanas</w:t>
            </w:r>
          </w:p>
        </w:tc>
        <w:tc>
          <w:tcPr>
            <w:tcW w:type="dxa" w:w="2154"/>
            <w:shd w:val="clear" w:color="auto" w:fill="F2F6FA"/>
            <w:vAlign w:val="center"/>
          </w:tcPr>
          <w:p>
            <w:r/>
            <w:r>
              <w:rPr>
                <w:sz w:val="20"/>
              </w:rPr>
              <w:t>biocc.hrbmu.edu.cn/DiseaseEnhancer/</w:t>
            </w:r>
          </w:p>
        </w:tc>
      </w:tr>
    </w:tbl>
    <w:p>
      <w:r>
        <w:t>Cada base se muestrea con un protocolo común: 5 filas de cabecera + 20 filas adicionales + límite de 3.000 tokens. Las muestras se almacenan en data/samples/{DB}_sample_prompt.txt y, para E4, se convierten a CSV en data/csv_for_ontogenix/{DB}.csv.</w:t>
      </w:r>
    </w:p>
    <w:p>
      <w:pPr>
        <w:pStyle w:val="Heading2"/>
      </w:pPr>
      <w:r>
        <w:t>4.3. Análisis de sensibilidad al muestreo</w:t>
      </w:r>
    </w:p>
    <w:p>
      <w:r>
        <w:t>El protocolo de muestreo descrito en §4.2 (cabecera: primeras 5+20 filas) es reproducible y determinista, pero podría introducir un sesgo si las bases de datos están ordenadas por algún campo categórico (cromosoma, línea celular, etc.). Para cuantificar la robustez de los resultados ante la elección de muestreo, se diseñó un sub-experimento que compara cuatro estrategias aplicadas a las dos bases más representativas (FANTOM5 con 65 423 enhancers y dbSUPER con 69 205 super-enhancers).</w:t>
      </w:r>
    </w:p>
    <w:p>
      <w:pPr>
        <w:pStyle w:val="Heading3"/>
      </w:pPr>
      <w:r>
        <w:t>4.3.1. Estrategias evaluadas</w:t>
      </w:r>
    </w:p>
    <w:p>
      <w:pPr>
        <w:pStyle w:val="Caption"/>
        <w:jc w:val="center"/>
        <w:spacing w:before="120" w:after="60"/>
      </w:pPr>
      <w:r>
        <w:rPr>
          <w:b/>
          <w:sz w:val="20"/>
          <w:i/>
        </w:rPr>
        <w:t xml:space="preserve">Tabla 6. </w:t>
      </w:r>
      <w:r>
        <w:rPr>
          <w:sz w:val="20"/>
          <w:i/>
        </w:rPr>
        <w:t>Estrategias de muestreo evaluadas (cabecera, aleatorio, estratificado, diversidad)</w:t>
      </w:r>
    </w:p>
    <w:tbl>
      <w:tblPr>
        <w:tblStyle w:val="TableGrid"/>
        <w:tblW w:type="auto" w:w="0"/>
        <w:tblLook w:firstColumn="1" w:firstRow="1" w:lastColumn="0" w:lastRow="0" w:noHBand="0" w:noVBand="1" w:val="04A0"/>
      </w:tblPr>
      <w:tblGrid>
        <w:gridCol w:w="2209"/>
        <w:gridCol w:w="2209"/>
        <w:gridCol w:w="2209"/>
        <w:gridCol w:w="2209"/>
      </w:tblGrid>
      <w:tr>
        <w:tc>
          <w:tcPr>
            <w:tcW w:type="dxa" w:w="567"/>
            <w:shd w:val="clear" w:color="auto" w:fill="1F4E79"/>
            <w:vAlign w:val="center"/>
          </w:tcPr>
          <w:p>
            <w:pPr>
              <w:jc w:val="center"/>
            </w:pPr>
            <w:r/>
            <w:r>
              <w:rPr>
                <w:b/>
                <w:color w:val="FFFFFF"/>
                <w:sz w:val="20"/>
              </w:rPr>
              <w:t>ID</w:t>
            </w:r>
          </w:p>
        </w:tc>
        <w:tc>
          <w:tcPr>
            <w:tcW w:type="dxa" w:w="2551"/>
            <w:shd w:val="clear" w:color="auto" w:fill="1F4E79"/>
            <w:vAlign w:val="center"/>
          </w:tcPr>
          <w:p>
            <w:pPr>
              <w:jc w:val="center"/>
            </w:pPr>
            <w:r/>
            <w:r>
              <w:rPr>
                <w:b/>
                <w:color w:val="FFFFFF"/>
                <w:sz w:val="20"/>
              </w:rPr>
              <w:t>Estrategia</w:t>
            </w:r>
          </w:p>
        </w:tc>
        <w:tc>
          <w:tcPr>
            <w:tcW w:type="dxa" w:w="2835"/>
            <w:shd w:val="clear" w:color="auto" w:fill="1F4E79"/>
            <w:vAlign w:val="center"/>
          </w:tcPr>
          <w:p>
            <w:pPr>
              <w:jc w:val="center"/>
            </w:pPr>
            <w:r/>
            <w:r>
              <w:rPr>
                <w:b/>
                <w:color w:val="FFFFFF"/>
                <w:sz w:val="20"/>
              </w:rPr>
              <w:t>Justificación</w:t>
            </w:r>
          </w:p>
        </w:tc>
        <w:tc>
          <w:tcPr>
            <w:tcW w:type="dxa" w:w="2551"/>
            <w:shd w:val="clear" w:color="auto" w:fill="1F4E79"/>
            <w:vAlign w:val="center"/>
          </w:tcPr>
          <w:p>
            <w:pPr>
              <w:jc w:val="center"/>
            </w:pPr>
            <w:r/>
            <w:r>
              <w:rPr>
                <w:b/>
                <w:color w:val="FFFFFF"/>
                <w:sz w:val="20"/>
              </w:rPr>
              <w:t>Cobertura categórica*</w:t>
            </w:r>
          </w:p>
        </w:tc>
      </w:tr>
      <w:tr>
        <w:tc>
          <w:tcPr>
            <w:tcW w:type="dxa" w:w="567"/>
            <w:vAlign w:val="center"/>
          </w:tcPr>
          <w:p>
            <w:r/>
            <w:r>
              <w:rPr>
                <w:sz w:val="20"/>
              </w:rPr>
              <w:t>A</w:t>
            </w:r>
          </w:p>
        </w:tc>
        <w:tc>
          <w:tcPr>
            <w:tcW w:type="dxa" w:w="2551"/>
            <w:vAlign w:val="center"/>
          </w:tcPr>
          <w:p>
            <w:r/>
            <w:r>
              <w:rPr>
                <w:sz w:val="20"/>
              </w:rPr>
              <w:t>head — primeras N filas</w:t>
            </w:r>
          </w:p>
        </w:tc>
        <w:tc>
          <w:tcPr>
            <w:tcW w:type="dxa" w:w="2835"/>
            <w:vAlign w:val="center"/>
          </w:tcPr>
          <w:p>
            <w:r/>
            <w:r>
              <w:rPr>
                <w:sz w:val="20"/>
              </w:rPr>
              <w:t>Reproducible, determinista, baseline del TFM</w:t>
            </w:r>
          </w:p>
        </w:tc>
        <w:tc>
          <w:tcPr>
            <w:tcW w:type="dxa" w:w="2551"/>
            <w:vAlign w:val="center"/>
          </w:tcPr>
          <w:p>
            <w:r/>
            <w:r>
              <w:rPr>
                <w:sz w:val="20"/>
              </w:rPr>
              <w:t>FANTOM5: 4% chrom · dbSUPER: 1% cell_name</w:t>
            </w:r>
          </w:p>
        </w:tc>
      </w:tr>
      <w:tr>
        <w:tc>
          <w:tcPr>
            <w:tcW w:type="dxa" w:w="567"/>
            <w:shd w:val="clear" w:color="auto" w:fill="F2F6FA"/>
            <w:vAlign w:val="center"/>
          </w:tcPr>
          <w:p>
            <w:r/>
            <w:r>
              <w:rPr>
                <w:sz w:val="20"/>
              </w:rPr>
              <w:t>B</w:t>
            </w:r>
          </w:p>
        </w:tc>
        <w:tc>
          <w:tcPr>
            <w:tcW w:type="dxa" w:w="2551"/>
            <w:shd w:val="clear" w:color="auto" w:fill="F2F6FA"/>
            <w:vAlign w:val="center"/>
          </w:tcPr>
          <w:p>
            <w:r/>
            <w:r>
              <w:rPr>
                <w:sz w:val="20"/>
              </w:rPr>
              <w:t>random — uniforme con seed=42</w:t>
            </w:r>
          </w:p>
        </w:tc>
        <w:tc>
          <w:tcPr>
            <w:tcW w:type="dxa" w:w="2835"/>
            <w:shd w:val="clear" w:color="auto" w:fill="F2F6FA"/>
            <w:vAlign w:val="center"/>
          </w:tcPr>
          <w:p>
            <w:r/>
            <w:r>
              <w:rPr>
                <w:sz w:val="20"/>
              </w:rPr>
              <w:t>Estimador insesgado de la distribución del universo</w:t>
            </w:r>
          </w:p>
        </w:tc>
        <w:tc>
          <w:tcPr>
            <w:tcW w:type="dxa" w:w="2551"/>
            <w:shd w:val="clear" w:color="auto" w:fill="F2F6FA"/>
            <w:vAlign w:val="center"/>
          </w:tcPr>
          <w:p>
            <w:r/>
            <w:r>
              <w:rPr>
                <w:sz w:val="20"/>
              </w:rPr>
              <w:t>FANTOM5: 62% chrom · dbSUPER: 22% cell_name</w:t>
            </w:r>
          </w:p>
        </w:tc>
      </w:tr>
      <w:tr>
        <w:tc>
          <w:tcPr>
            <w:tcW w:type="dxa" w:w="567"/>
            <w:vAlign w:val="center"/>
          </w:tcPr>
          <w:p>
            <w:r/>
            <w:r>
              <w:rPr>
                <w:sz w:val="20"/>
              </w:rPr>
              <w:t>C</w:t>
            </w:r>
          </w:p>
        </w:tc>
        <w:tc>
          <w:tcPr>
            <w:tcW w:type="dxa" w:w="2551"/>
            <w:vAlign w:val="center"/>
          </w:tcPr>
          <w:p>
            <w:r/>
            <w:r>
              <w:rPr>
                <w:sz w:val="20"/>
              </w:rPr>
              <w:t>stratified — proporcional por cell_name/chrom</w:t>
            </w:r>
          </w:p>
        </w:tc>
        <w:tc>
          <w:tcPr>
            <w:tcW w:type="dxa" w:w="2835"/>
            <w:vAlign w:val="center"/>
          </w:tcPr>
          <w:p>
            <w:r/>
            <w:r>
              <w:rPr>
                <w:sz w:val="20"/>
              </w:rPr>
              <w:t>Garantiza representación de cada categoría observada</w:t>
            </w:r>
          </w:p>
        </w:tc>
        <w:tc>
          <w:tcPr>
            <w:tcW w:type="dxa" w:w="2551"/>
            <w:vAlign w:val="center"/>
          </w:tcPr>
          <w:p>
            <w:r/>
            <w:r>
              <w:rPr>
                <w:sz w:val="20"/>
              </w:rPr>
              <w:t>FANTOM5: 100% chrom · dbSUPER: 24% cell_name</w:t>
            </w:r>
          </w:p>
        </w:tc>
      </w:tr>
      <w:tr>
        <w:tc>
          <w:tcPr>
            <w:tcW w:type="dxa" w:w="567"/>
            <w:shd w:val="clear" w:color="auto" w:fill="F2F6FA"/>
            <w:vAlign w:val="center"/>
          </w:tcPr>
          <w:p>
            <w:r/>
            <w:r>
              <w:rPr>
                <w:sz w:val="20"/>
              </w:rPr>
              <w:t>D</w:t>
            </w:r>
          </w:p>
        </w:tc>
        <w:tc>
          <w:tcPr>
            <w:tcW w:type="dxa" w:w="2551"/>
            <w:shd w:val="clear" w:color="auto" w:fill="F2F6FA"/>
            <w:vAlign w:val="center"/>
          </w:tcPr>
          <w:p>
            <w:r/>
            <w:r>
              <w:rPr>
                <w:sz w:val="20"/>
              </w:rPr>
              <w:t>diversity — máxima cobertura léxica greedy</w:t>
            </w:r>
          </w:p>
        </w:tc>
        <w:tc>
          <w:tcPr>
            <w:tcW w:type="dxa" w:w="2835"/>
            <w:shd w:val="clear" w:color="auto" w:fill="F2F6FA"/>
            <w:vAlign w:val="center"/>
          </w:tcPr>
          <w:p>
            <w:r/>
            <w:r>
              <w:rPr>
                <w:sz w:val="20"/>
              </w:rPr>
              <w:t>Selección iterativa que añade el máximo de valores nuevos</w:t>
            </w:r>
          </w:p>
        </w:tc>
        <w:tc>
          <w:tcPr>
            <w:tcW w:type="dxa" w:w="2551"/>
            <w:shd w:val="clear" w:color="auto" w:fill="F2F6FA"/>
            <w:vAlign w:val="center"/>
          </w:tcPr>
          <w:p>
            <w:r/>
            <w:r>
              <w:rPr>
                <w:sz w:val="20"/>
              </w:rPr>
              <w:t>FANTOM5: 100% chrom · dbSUPER: 24% cell_name</w:t>
            </w:r>
          </w:p>
        </w:tc>
      </w:tr>
    </w:tbl>
    <w:p>
      <w:r>
        <w:t>* Porcentaje de valores únicos del universo cubierto por la muestra de 25 filas en la columna categórica más informativa.</w:t>
      </w:r>
    </w:p>
    <w:p>
      <w:pPr>
        <w:pStyle w:val="Heading3"/>
      </w:pPr>
      <w:r>
        <w:t>4.3.2. Diseño experimental</w:t>
      </w:r>
    </w:p>
    <w:p>
      <w:r>
        <w:t>Se replicaron los experimentos E1 (zero-shot) y E4 (OntoGenix) con gpt-4o sobre cada (estrategia, BBDD), y E1 también con llama3.1:8b para verificar si el comportamiento del modelo open-source es estable. Total: 24 corridas. Los resultados se evaluaron con el mismo pipeline OQuaRE (§9). Se eligió el esquema simple del TSV original (7-12 columnas) en lugar del esquema CRM enriquecido (30 columnas) usado en el experimento principal, para que la comparación inter-estrategia sea apples-to-apples.</w:t>
      </w:r>
    </w:p>
    <w:p>
      <w:pPr>
        <w:pStyle w:val="Heading3"/>
      </w:pPr>
      <w:r>
        <w:t>4.3.3. Resultados</w:t>
      </w:r>
    </w:p>
    <w:p>
      <w:pPr>
        <w:jc w:val="center"/>
      </w:pPr>
      <w:r>
        <w:drawing>
          <wp:inline xmlns:a="http://schemas.openxmlformats.org/drawingml/2006/main" xmlns:pic="http://schemas.openxmlformats.org/drawingml/2006/picture">
            <wp:extent cx="5040000" cy="2989880"/>
            <wp:docPr id="1" name="Picture 1"/>
            <wp:cNvGraphicFramePr>
              <a:graphicFrameLocks noChangeAspect="1"/>
            </wp:cNvGraphicFramePr>
            <a:graphic>
              <a:graphicData uri="http://schemas.openxmlformats.org/drawingml/2006/picture">
                <pic:pic>
                  <pic:nvPicPr>
                    <pic:cNvPr id="0" name="fig09_sensitivity.png"/>
                    <pic:cNvPicPr/>
                  </pic:nvPicPr>
                  <pic:blipFill>
                    <a:blip r:embed="rId9"/>
                    <a:stretch>
                      <a:fillRect/>
                    </a:stretch>
                  </pic:blipFill>
                  <pic:spPr>
                    <a:xfrm>
                      <a:off x="0" y="0"/>
                      <a:ext cx="5040000" cy="2989880"/>
                    </a:xfrm>
                    <a:prstGeom prst="rect"/>
                  </pic:spPr>
                </pic:pic>
              </a:graphicData>
            </a:graphic>
          </wp:inline>
        </w:drawing>
      </w:r>
    </w:p>
    <w:p>
      <w:pPr>
        <w:spacing w:after="240"/>
        <w:jc w:val="center"/>
      </w:pPr>
      <w:r>
        <w:rPr>
          <w:i/>
          <w:color w:val="404040"/>
          <w:sz w:val="20"/>
        </w:rPr>
        <w:t>Figura del análisis de sensibilidad. Cada grupo de barras corresponde a una combinación (modelo, experimento) y cada color a una estrategia. La línea punteada marca el umbral OQuaRE 'aceptable' (3.0). Llama 3.1 8B con A_head y B_random no produce ontologías válidas (load_ok=0) — solo C y D dan ontologías parseables.</w:t>
      </w:r>
    </w:p>
    <w:p>
      <w:pPr>
        <w:pStyle w:val="Caption"/>
        <w:jc w:val="center"/>
        <w:spacing w:before="120" w:after="60"/>
      </w:pPr>
      <w:r>
        <w:rPr>
          <w:b/>
          <w:sz w:val="20"/>
          <w:i/>
        </w:rPr>
        <w:t xml:space="preserve">Tabla 7. </w:t>
      </w:r>
      <w:r>
        <w:rPr>
          <w:sz w:val="20"/>
          <w:i/>
        </w:rPr>
        <w:t>Resultados del análisis de sensibilidad por (modelo × experimento × estrategia)</w:t>
      </w:r>
    </w:p>
    <w:tbl>
      <w:tblPr>
        <w:tblStyle w:val="TableGrid"/>
        <w:tblW w:type="auto" w:w="0"/>
        <w:tblLook w:firstColumn="1" w:firstRow="1" w:lastColumn="0" w:lastRow="0" w:noHBand="0" w:noVBand="1" w:val="04A0"/>
      </w:tblPr>
      <w:tblGrid>
        <w:gridCol w:w="1473"/>
        <w:gridCol w:w="1473"/>
        <w:gridCol w:w="1473"/>
        <w:gridCol w:w="1473"/>
        <w:gridCol w:w="1473"/>
        <w:gridCol w:w="1473"/>
      </w:tblGrid>
      <w:tr>
        <w:tc>
          <w:tcPr>
            <w:tcW w:type="dxa" w:w="2268"/>
            <w:shd w:val="clear" w:color="auto" w:fill="1F4E79"/>
            <w:vAlign w:val="center"/>
          </w:tcPr>
          <w:p>
            <w:pPr>
              <w:jc w:val="center"/>
            </w:pPr>
            <w:r/>
            <w:r>
              <w:rPr>
                <w:b/>
                <w:color w:val="FFFFFF"/>
                <w:sz w:val="20"/>
              </w:rPr>
              <w:t>Modelo · Experimento</w:t>
            </w:r>
          </w:p>
        </w:tc>
        <w:tc>
          <w:tcPr>
            <w:tcW w:type="dxa" w:w="1020"/>
            <w:shd w:val="clear" w:color="auto" w:fill="1F4E79"/>
            <w:vAlign w:val="center"/>
          </w:tcPr>
          <w:p>
            <w:pPr>
              <w:jc w:val="center"/>
            </w:pPr>
            <w:r/>
            <w:r>
              <w:rPr>
                <w:b/>
                <w:color w:val="FFFFFF"/>
                <w:sz w:val="20"/>
              </w:rPr>
              <w:t>A · head</w:t>
            </w:r>
          </w:p>
        </w:tc>
        <w:tc>
          <w:tcPr>
            <w:tcW w:type="dxa" w:w="1020"/>
            <w:shd w:val="clear" w:color="auto" w:fill="1F4E79"/>
            <w:vAlign w:val="center"/>
          </w:tcPr>
          <w:p>
            <w:pPr>
              <w:jc w:val="center"/>
            </w:pPr>
            <w:r/>
            <w:r>
              <w:rPr>
                <w:b/>
                <w:color w:val="FFFFFF"/>
                <w:sz w:val="20"/>
              </w:rPr>
              <w:t>B · random</w:t>
            </w:r>
          </w:p>
        </w:tc>
        <w:tc>
          <w:tcPr>
            <w:tcW w:type="dxa" w:w="1020"/>
            <w:shd w:val="clear" w:color="auto" w:fill="1F4E79"/>
            <w:vAlign w:val="center"/>
          </w:tcPr>
          <w:p>
            <w:pPr>
              <w:jc w:val="center"/>
            </w:pPr>
            <w:r/>
            <w:r>
              <w:rPr>
                <w:b/>
                <w:color w:val="FFFFFF"/>
                <w:sz w:val="20"/>
              </w:rPr>
              <w:t>C · stratified</w:t>
            </w:r>
          </w:p>
        </w:tc>
        <w:tc>
          <w:tcPr>
            <w:tcW w:type="dxa" w:w="1020"/>
            <w:shd w:val="clear" w:color="auto" w:fill="1F4E79"/>
            <w:vAlign w:val="center"/>
          </w:tcPr>
          <w:p>
            <w:pPr>
              <w:jc w:val="center"/>
            </w:pPr>
            <w:r/>
            <w:r>
              <w:rPr>
                <w:b/>
                <w:color w:val="FFFFFF"/>
                <w:sz w:val="20"/>
              </w:rPr>
              <w:t>D · diversity</w:t>
            </w:r>
          </w:p>
        </w:tc>
        <w:tc>
          <w:tcPr>
            <w:tcW w:type="dxa" w:w="1134"/>
            <w:shd w:val="clear" w:color="auto" w:fill="1F4E79"/>
            <w:vAlign w:val="center"/>
          </w:tcPr>
          <w:p>
            <w:pPr>
              <w:jc w:val="center"/>
            </w:pPr>
            <w:r/>
            <w:r>
              <w:rPr>
                <w:b/>
                <w:color w:val="FFFFFF"/>
                <w:sz w:val="20"/>
              </w:rPr>
              <w:t>Δ max-min</w:t>
            </w:r>
          </w:p>
        </w:tc>
      </w:tr>
      <w:tr>
        <w:tc>
          <w:tcPr>
            <w:tcW w:type="dxa" w:w="2268"/>
            <w:vAlign w:val="center"/>
          </w:tcPr>
          <w:p>
            <w:r/>
            <w:r>
              <w:rPr>
                <w:sz w:val="20"/>
              </w:rPr>
              <w:t>gpt-4o · E1</w:t>
            </w:r>
          </w:p>
        </w:tc>
        <w:tc>
          <w:tcPr>
            <w:tcW w:type="dxa" w:w="1020"/>
            <w:vAlign w:val="center"/>
          </w:tcPr>
          <w:p>
            <w:r/>
            <w:r>
              <w:rPr>
                <w:sz w:val="20"/>
              </w:rPr>
              <w:t>3.78</w:t>
            </w:r>
          </w:p>
        </w:tc>
        <w:tc>
          <w:tcPr>
            <w:tcW w:type="dxa" w:w="1020"/>
            <w:vAlign w:val="center"/>
          </w:tcPr>
          <w:p>
            <w:r>
              <w:rPr>
                <w:b/>
                <w:sz w:val="20"/>
              </w:rPr>
              <w:t>4.07</w:t>
            </w:r>
          </w:p>
        </w:tc>
        <w:tc>
          <w:tcPr>
            <w:tcW w:type="dxa" w:w="1020"/>
            <w:vAlign w:val="center"/>
          </w:tcPr>
          <w:p>
            <w:r/>
            <w:r>
              <w:rPr>
                <w:sz w:val="20"/>
              </w:rPr>
              <w:t>3.87</w:t>
            </w:r>
          </w:p>
        </w:tc>
        <w:tc>
          <w:tcPr>
            <w:tcW w:type="dxa" w:w="1020"/>
            <w:vAlign w:val="center"/>
          </w:tcPr>
          <w:p>
            <w:r/>
            <w:r>
              <w:rPr>
                <w:sz w:val="20"/>
              </w:rPr>
              <w:t>3.95</w:t>
            </w:r>
          </w:p>
        </w:tc>
        <w:tc>
          <w:tcPr>
            <w:tcW w:type="dxa" w:w="1134"/>
            <w:vAlign w:val="center"/>
          </w:tcPr>
          <w:p>
            <w:r/>
            <w:r>
              <w:rPr>
                <w:sz w:val="20"/>
              </w:rPr>
              <w:t>0.29</w:t>
            </w:r>
          </w:p>
        </w:tc>
      </w:tr>
      <w:tr>
        <w:tc>
          <w:tcPr>
            <w:tcW w:type="dxa" w:w="2268"/>
            <w:shd w:val="clear" w:color="auto" w:fill="F2F6FA"/>
            <w:vAlign w:val="center"/>
          </w:tcPr>
          <w:p>
            <w:r/>
            <w:r>
              <w:rPr>
                <w:sz w:val="20"/>
              </w:rPr>
              <w:t>gpt-4o · E4</w:t>
            </w:r>
          </w:p>
        </w:tc>
        <w:tc>
          <w:tcPr>
            <w:tcW w:type="dxa" w:w="1020"/>
            <w:shd w:val="clear" w:color="auto" w:fill="F2F6FA"/>
            <w:vAlign w:val="center"/>
          </w:tcPr>
          <w:p>
            <w:r/>
            <w:r>
              <w:rPr>
                <w:sz w:val="20"/>
              </w:rPr>
              <w:t>3.85</w:t>
            </w:r>
          </w:p>
        </w:tc>
        <w:tc>
          <w:tcPr>
            <w:tcW w:type="dxa" w:w="1020"/>
            <w:shd w:val="clear" w:color="auto" w:fill="F2F6FA"/>
            <w:vAlign w:val="center"/>
          </w:tcPr>
          <w:p>
            <w:r>
              <w:rPr>
                <w:b/>
                <w:sz w:val="20"/>
              </w:rPr>
              <w:t>4.17</w:t>
            </w:r>
          </w:p>
        </w:tc>
        <w:tc>
          <w:tcPr>
            <w:tcW w:type="dxa" w:w="1020"/>
            <w:shd w:val="clear" w:color="auto" w:fill="F2F6FA"/>
            <w:vAlign w:val="center"/>
          </w:tcPr>
          <w:p>
            <w:r>
              <w:rPr>
                <w:b/>
                <w:sz w:val="20"/>
              </w:rPr>
              <w:t>4.17</w:t>
            </w:r>
          </w:p>
        </w:tc>
        <w:tc>
          <w:tcPr>
            <w:tcW w:type="dxa" w:w="1020"/>
            <w:shd w:val="clear" w:color="auto" w:fill="F2F6FA"/>
            <w:vAlign w:val="center"/>
          </w:tcPr>
          <w:p>
            <w:r/>
            <w:r>
              <w:rPr>
                <w:sz w:val="20"/>
              </w:rPr>
              <w:t>3.88</w:t>
            </w:r>
          </w:p>
        </w:tc>
        <w:tc>
          <w:tcPr>
            <w:tcW w:type="dxa" w:w="1134"/>
            <w:shd w:val="clear" w:color="auto" w:fill="F2F6FA"/>
            <w:vAlign w:val="center"/>
          </w:tcPr>
          <w:p>
            <w:r/>
            <w:r>
              <w:rPr>
                <w:sz w:val="20"/>
              </w:rPr>
              <w:t>0.32</w:t>
            </w:r>
          </w:p>
        </w:tc>
      </w:tr>
      <w:tr>
        <w:tc>
          <w:tcPr>
            <w:tcW w:type="dxa" w:w="2268"/>
            <w:vAlign w:val="center"/>
          </w:tcPr>
          <w:p>
            <w:r/>
            <w:r>
              <w:rPr>
                <w:sz w:val="20"/>
              </w:rPr>
              <w:t>llama3.1:8b · E1</w:t>
            </w:r>
          </w:p>
        </w:tc>
        <w:tc>
          <w:tcPr>
            <w:tcW w:type="dxa" w:w="1020"/>
            <w:vAlign w:val="center"/>
          </w:tcPr>
          <w:p>
            <w:r/>
            <w:r>
              <w:rPr>
                <w:sz w:val="20"/>
              </w:rPr>
              <w:t>(fail)</w:t>
            </w:r>
          </w:p>
        </w:tc>
        <w:tc>
          <w:tcPr>
            <w:tcW w:type="dxa" w:w="1020"/>
            <w:vAlign w:val="center"/>
          </w:tcPr>
          <w:p>
            <w:r/>
            <w:r>
              <w:rPr>
                <w:sz w:val="20"/>
              </w:rPr>
              <w:t>(fail)</w:t>
            </w:r>
          </w:p>
        </w:tc>
        <w:tc>
          <w:tcPr>
            <w:tcW w:type="dxa" w:w="1020"/>
            <w:vAlign w:val="center"/>
          </w:tcPr>
          <w:p>
            <w:r/>
            <w:r>
              <w:rPr>
                <w:sz w:val="20"/>
              </w:rPr>
              <w:t>4.33</w:t>
            </w:r>
          </w:p>
        </w:tc>
        <w:tc>
          <w:tcPr>
            <w:tcW w:type="dxa" w:w="1020"/>
            <w:vAlign w:val="center"/>
          </w:tcPr>
          <w:p>
            <w:r>
              <w:rPr>
                <w:b/>
                <w:sz w:val="20"/>
              </w:rPr>
              <w:t>4.60</w:t>
            </w:r>
          </w:p>
        </w:tc>
        <w:tc>
          <w:tcPr>
            <w:tcW w:type="dxa" w:w="1134"/>
            <w:vAlign w:val="center"/>
          </w:tcPr>
          <w:p>
            <w:r/>
            <w:r>
              <w:rPr>
                <w:sz w:val="20"/>
              </w:rPr>
              <w:t>0.27*</w:t>
            </w:r>
          </w:p>
        </w:tc>
      </w:tr>
    </w:tbl>
    <w:p>
      <w:r>
        <w:t>* El rango para Llama solo considera las dos estrategias en las que produjo ontologías parseables.</w:t>
      </w:r>
    </w:p>
    <w:p>
      <w:pPr>
        <w:pStyle w:val="Heading3"/>
      </w:pPr>
      <w:r>
        <w:t>4.3.4. Hallazgos del análisis de sensibilidad</w:t>
      </w:r>
    </w:p>
    <w:p>
      <w:pPr>
        <w:pStyle w:val="ListBullet"/>
      </w:pPr>
      <w:r>
        <w:rPr>
          <w:b/>
        </w:rPr>
        <w:t>A_head es la estrategia menos favorable</w:t>
      </w:r>
      <w:r>
        <w:t xml:space="preserve"> en ambos experimentos con gpt-4o (3.78 en E1, 3.85 en E4). El sesgo de orden inicial explica el resultado: las primeras 25 filas de dbSUPER pertenecen todas a la línea celular «Adipose Nuclei», y las primeras 25 de FANTOM5 son todas chr1. El modelo recibe una visión muy parcial del universo y la ontología generada refleja esa pobreza léxica.</w:t>
      </w:r>
    </w:p>
    <w:p>
      <w:pPr>
        <w:pStyle w:val="ListBullet"/>
      </w:pPr>
      <w:r>
        <w:rPr>
          <w:b/>
        </w:rPr>
        <w:t>B_random y C_stratified maximizan los scores OQuaRE</w:t>
      </w:r>
      <w:r>
        <w:t xml:space="preserve"> (diferencia de +0.29-0.32 puntos respecto a A_head, ~7-8% del rango aceptable). La aleatorización uniforme es la mejor en E1 zero-shot, mientras que B y C empatan en E4 (donde la pipeline multi-agente compensa parcialmente las diferencias de muestreo).</w:t>
      </w:r>
    </w:p>
    <w:p>
      <w:pPr>
        <w:pStyle w:val="ListBullet"/>
      </w:pPr>
      <w:r>
        <w:rPr>
          <w:b/>
        </w:rPr>
        <w:t>Llama 3.1 8B es muy sensible al muestreo</w:t>
      </w:r>
      <w:r>
        <w:t>: A_head y B_random producen TTL irrecuperables (no validan en owlready2 incluso tras el post-procesado). Solo las estrategias con cobertura alta (C, D) generan ontologías válidas. Este es un finding complementario al §10.1: confirma que los modelos pequeños son más sensibles tanto al modelo como a los datos de entrada.</w:t>
      </w:r>
    </w:p>
    <w:p>
      <w:pPr>
        <w:pStyle w:val="ListBullet"/>
      </w:pPr>
      <w:r>
        <w:rPr>
          <w:b/>
        </w:rPr>
        <w:t>El TFM mantiene robustez cualitativa</w:t>
      </w:r>
      <w:r>
        <w:t>: con cualquier estrategia, todas las celdas evaluadas permanecen por encima del umbral OQuaRE 3.0 «aceptable». Las conclusiones cualitativas del trabajo (E4 supera a E1-E3 en riqueza, gpt-4o supera a open-source en validez) se mantienen invariantes.</w:t>
      </w:r>
    </w:p>
    <w:p>
      <w:pPr>
        <w:pStyle w:val="Heading3"/>
      </w:pPr>
      <w:r>
        <w:t>4.3.5. Justificación de la elección final</w:t>
      </w:r>
    </w:p>
    <w:p>
      <w:r>
        <w:t>El experimento principal del TFM (§§5-10) usa la estrategia A (cabecera) por las siguientes razones, evaluadas explícitamente frente a las alternativas:</w:t>
      </w:r>
    </w:p>
    <w:p>
      <w:pPr>
        <w:pStyle w:val="ListBullet"/>
      </w:pPr>
      <w:r>
        <w:rPr>
          <w:b/>
        </w:rPr>
        <w:t>Reproducibilidad</w:t>
      </w:r>
      <w:r>
        <w:t>: A es completamente determinista; B introduce variabilidad inter-corrida que requeriría reportar intervalos de confianza para cada métrica.</w:t>
      </w:r>
    </w:p>
    <w:p>
      <w:pPr>
        <w:pStyle w:val="ListBullet"/>
      </w:pPr>
      <w:r>
        <w:rPr>
          <w:b/>
        </w:rPr>
        <w:t>Consistencia con OntoGenix</w:t>
      </w:r>
      <w:r>
        <w:t>: el pipeline original de Val Calvo et al. (2024) usa también muestreo por cabecera para sus experimentos en eCommerce y BrazilianE-commerce, permitiendo comparación directa.</w:t>
      </w:r>
    </w:p>
    <w:p>
      <w:pPr>
        <w:pStyle w:val="ListBullet"/>
      </w:pPr>
      <w:r>
        <w:rPr>
          <w:b/>
        </w:rPr>
        <w:t>Coste computacional</w:t>
      </w:r>
      <w:r>
        <w:t>: A no requiere preprocesado adicional ni cálculo de embeddings (D) ni pasada de conteo categórico (C).</w:t>
      </w:r>
    </w:p>
    <w:p>
      <w:pPr>
        <w:pStyle w:val="ListBullet"/>
      </w:pPr>
      <w:r>
        <w:rPr>
          <w:b/>
        </w:rPr>
        <w:t>Robustez de las conclusiones</w:t>
      </w:r>
      <w:r>
        <w:t>: el análisis de sensibilidad demuestra que, aunque A es subóptima en términos absolutos (~7-8% por debajo del óptimo), las conclusiones cualitativas se mantienen.</w:t>
      </w:r>
    </w:p>
    <w:p>
      <w:r>
        <w:t>Se reconoce explícitamente la limitación: para futuros trabajos que busquen optimizar los scores OQuaRE absolutos, se recomienda B (random) o C (stratified). El análisis aquí presentado documenta de forma transparente el coste de la elección.</w:t>
      </w:r>
    </w:p>
    <w:p>
      <w:pPr>
        <w:pStyle w:val="Heading1"/>
      </w:pPr>
      <w:r>
        <w:t>5. Indicaciones (prompts) por experimento</w:t>
      </w:r>
    </w:p>
    <w:p>
      <w:r>
        <w:t>La totalidad de las indicaciones utilizadas se listan a continuación. Todas comparten un mismo system prompt que fija el rol del modelo como ontólogo biomédico.</w:t>
      </w:r>
    </w:p>
    <w:p>
      <w:pPr>
        <w:pStyle w:val="Heading2"/>
      </w:pPr>
      <w:r>
        <w:t>5.1. System prompt común (E1–E3)</w:t>
      </w:r>
    </w:p>
    <w:p>
      <w:pPr>
        <w:spacing w:after="120"/>
        <w:ind w:left="283"/>
      </w:pPr>
      <w:r>
        <w:rPr>
          <w:rFonts w:ascii="Consolas" w:hAnsi="Consolas"/>
          <w:color w:val="1F2B3A"/>
          <w:sz w:val="18"/>
        </w:rPr>
        <w:t>You are an expert ontologist specializing in biological knowledge</w:t>
        <w:br/>
        <w:t>graphs and semantic web technologies.</w:t>
        <w:br/>
        <w:t>Your expertise includes OWL 2, RDF, SPARQL, and biological domain</w:t>
        <w:br/>
        <w:t>ontologies (SO, GO, BioLink Model, SKOS).</w:t>
        <w:br/>
        <w:t>Your task is to analyze biological database samples and generate</w:t>
        <w:br/>
        <w:t>formal OWL ontology schemas in Turtle serialization.</w:t>
        <w:br/>
        <w:br/>
        <w:t>Domain context: The databases contain information about</w:t>
        <w:br/>
        <w:t>cis-regulatory modules (CRM), specifically enhancer sequences that</w:t>
        <w:br/>
        <w:t>modulate the transcription rate of their target genes in the human</w:t>
        <w:br/>
        <w:t>genome. These sequences are characterized by their genomic</w:t>
        <w:br/>
        <w:t>coordinates, experimental evidence, cell line activity, target</w:t>
        <w:br/>
        <w:t>genes, associated diseases, and interacting transcription factors.</w:t>
      </w:r>
    </w:p>
    <w:p>
      <w:pPr>
        <w:pStyle w:val="Heading2"/>
      </w:pPr>
      <w:r>
        <w:t>5.2. Indicación E1 — Zero-shot</w:t>
      </w:r>
    </w:p>
    <w:p>
      <w:pPr>
        <w:spacing w:after="120"/>
        <w:ind w:left="283"/>
      </w:pPr>
      <w:r>
        <w:rPr>
          <w:rFonts w:ascii="Consolas" w:hAnsi="Consolas"/>
          <w:color w:val="1F2B3A"/>
          <w:sz w:val="18"/>
        </w:rPr>
        <w:t>Analyze the following biological database sample and generate a</w:t>
        <w:br/>
        <w:t>formal OWL ontology schema in Turtle format.</w:t>
        <w:br/>
        <w:br/>
        <w:t>DATABASE: {db_name}</w:t>
        <w:br/>
        <w:t>DESCRIPTION: {db_description}</w:t>
        <w:br/>
        <w:br/>
        <w:t>DATABASE SAMPLE (TSV format, "-" means missing value):</w:t>
        <w:br/>
        <w:t>{db_sample}</w:t>
        <w:br/>
        <w:br/>
        <w:t>Think step by step:</w:t>
        <w:br/>
        <w:t>1. Identify the main concepts/classes present in the data</w:t>
        <w:br/>
        <w:t>2. Identify the relationships (object properties) and attributes</w:t>
        <w:br/>
        <w:t xml:space="preserve">   (datatype properties)</w:t>
        <w:br/>
        <w:t>3. Map concepts to standard biological ontologies where possible</w:t>
        <w:br/>
        <w:t xml:space="preserve">   (SO, GO, BioLink)</w:t>
        <w:br/>
        <w:t>4. Generate the formal Turtle schema</w:t>
        <w:br/>
        <w:br/>
        <w:t>Requirements for the output schema:</w:t>
        <w:br/>
        <w:t xml:space="preserve"> - Use these standard prefixes: rdf:, rdfs:, owl:, skos:, xsd:,</w:t>
        <w:br/>
        <w:t xml:space="preserve">   obo: (http://purl.obolibrary.org/obo/)</w:t>
        <w:br/>
        <w:t xml:space="preserve"> - Add skos:prefLabel and skos:definition to all classes and</w:t>
        <w:br/>
        <w:t xml:space="preserve">   properties</w:t>
        <w:br/>
        <w:t xml:space="preserve"> - Include at least: class for CRM/enhancer, genomic coordinate</w:t>
        <w:br/>
        <w:t xml:space="preserve">   properties, evidence properties</w:t>
        <w:br/>
        <w:t xml:space="preserve"> - Use owl:Class for all main concepts</w:t>
        <w:br/>
        <w:t xml:space="preserve"> - Use owl:ObjectProperty for relationships and owl:DatatypeProperty</w:t>
        <w:br/>
        <w:t xml:space="preserve">   for literals</w:t>
        <w:br/>
        <w:t xml:space="preserve"> - Include skos:exactMatch or skos:closeMatch mappings to standard</w:t>
        <w:br/>
        <w:t xml:space="preserve">   biological ontologies where appropriate</w:t>
        <w:br/>
        <w:br/>
        <w:t>Output ONLY valid Turtle code. No explanations, no markdown code blocks.</w:t>
      </w:r>
    </w:p>
    <w:p>
      <w:pPr>
        <w:pStyle w:val="Heading2"/>
      </w:pPr>
      <w:r>
        <w:t>5.3. Indicación E2 — Vocabulario controlado</w:t>
      </w:r>
    </w:p>
    <w:p>
      <w:pPr>
        <w:spacing w:after="120"/>
        <w:ind w:left="283"/>
      </w:pPr>
      <w:r>
        <w:rPr>
          <w:rFonts w:ascii="Consolas" w:hAnsi="Consolas"/>
          <w:color w:val="1F2B3A"/>
          <w:sz w:val="18"/>
        </w:rPr>
        <w:t>Analyze the following biological database sample and generate a</w:t>
        <w:br/>
        <w:t>formal OWL ontology schema in Turtle format.</w:t>
        <w:br/>
        <w:t>Use the provided controlled vocabulary to name and align your</w:t>
        <w:br/>
        <w:t>ontology terms.</w:t>
        <w:br/>
        <w:br/>
        <w:t>DATABASE: {db_name}</w:t>
        <w:br/>
        <w:t>DESCRIPTION: {db_description}</w:t>
        <w:br/>
        <w:br/>
        <w:t>DATABASE SAMPLE (TSV format, "-" means missing value):</w:t>
        <w:br/>
        <w:t>{db_sample}</w:t>
        <w:br/>
        <w:br/>
        <w:t>CONTROLLED VOCABULARY (cisreg terms):</w:t>
        <w:br/>
        <w:t>{vocab_terms}</w:t>
        <w:br/>
        <w:br/>
        <w:t>Think step by step:</w:t>
        <w:br/>
        <w:t>1. Identify the main concepts/classes in the data</w:t>
        <w:br/>
        <w:t>2. Map them to the controlled vocabulary terms above</w:t>
        <w:br/>
        <w:t>3. Identify relationships and attributes, reusing vocabulary terms</w:t>
        <w:br/>
        <w:t>4. Generate the formal Turtle schema</w:t>
        <w:br/>
        <w:br/>
        <w:t>Requirements:</w:t>
        <w:br/>
        <w:t xml:space="preserve"> - Prefer vocabulary terms for class and property names where</w:t>
        <w:br/>
        <w:t xml:space="preserve">   applicable</w:t>
        <w:br/>
        <w:t xml:space="preserve"> - Use standard prefixes: rdf:, rdfs:, owl:, skos:, xsd:, obo:</w:t>
        <w:br/>
        <w:t xml:space="preserve"> - Include skos:prefLabel, skos:definition, and skos:exactMatch/</w:t>
        <w:br/>
        <w:t xml:space="preserve">   closeMatch mappings</w:t>
        <w:br/>
        <w:t xml:space="preserve"> - Include both owl:Class and owl:ObjectProperty/owl:DatatypeProperty</w:t>
        <w:br/>
        <w:t xml:space="preserve">   declarations</w:t>
        <w:br/>
        <w:br/>
        <w:t>Output ONLY valid Turtle code. No explanations, no markdown code blocks.</w:t>
      </w:r>
    </w:p>
    <w:p>
      <w:r>
        <w:t>El bloque {vocab_terms} se construye automáticamente a partir de los esquemas cisreg (crm, crm2gene, crm2phen y crm2tfac), extrayendo hasta 80 líneas con skos:prefLabel o skos:definition. De ese modo se obtiene un vocabulario compacto y relevante para el dominio, sin incluir la estructura axiomática completa de la ontología.</w:t>
      </w:r>
    </w:p>
    <w:p>
      <w:pPr>
        <w:pStyle w:val="Heading2"/>
      </w:pPr>
      <w:r>
        <w:t>5.4. Indicación E3 — RAG (fragmentos ontológicos)</w:t>
      </w:r>
    </w:p>
    <w:p>
      <w:pPr>
        <w:spacing w:after="120"/>
        <w:ind w:left="283"/>
      </w:pPr>
      <w:r>
        <w:rPr>
          <w:rFonts w:ascii="Consolas" w:hAnsi="Consolas"/>
          <w:color w:val="1F2B3A"/>
          <w:sz w:val="18"/>
        </w:rPr>
        <w:t>Analyze the following biological database sample and generate a</w:t>
        <w:br/>
        <w:t>formal OWL ontology schema in Turtle format.</w:t>
        <w:br/>
        <w:t>Align your schema as closely as possible with the cisreg reference</w:t>
        <w:br/>
        <w:t>ontology fragments provided below.</w:t>
        <w:br/>
        <w:br/>
        <w:t>DATABASE: {db_name}</w:t>
        <w:br/>
        <w:t>DESCRIPTION: {db_description}</w:t>
        <w:br/>
        <w:br/>
        <w:t>DATABASE SAMPLE (TSV format, "-" means missing value):</w:t>
        <w:br/>
        <w:t>{db_sample}</w:t>
        <w:br/>
        <w:br/>
        <w:t>CISREG REFERENCE ONTOLOGY (most relevant fragments in Turtle):</w:t>
        <w:br/>
        <w:t>{ontology_fragments}</w:t>
        <w:br/>
        <w:br/>
        <w:t>Think step by step:</w:t>
        <w:br/>
        <w:t>1. Identify the main concepts/classes in the data</w:t>
        <w:br/>
        <w:t>2. Find the corresponding classes and properties in the cisreg</w:t>
        <w:br/>
        <w:t xml:space="preserve">   reference ontology</w:t>
        <w:br/>
        <w:t>3. Reuse cisreg URIs where semantically appropriate</w:t>
        <w:br/>
        <w:t>4. Add new terms only where cisreg does not cover the concept</w:t>
        <w:br/>
        <w:br/>
        <w:t>Requirements:</w:t>
        <w:br/>
        <w:t xml:space="preserve"> - Reuse cisreg classes and properties where semantically appropriate</w:t>
        <w:br/>
        <w:t xml:space="preserve"> - Add explicit skos:exactMatch or skos:closeMatch to cisreg URIs for</w:t>
        <w:br/>
        <w:t xml:space="preserve">   aligned terms</w:t>
        <w:br/>
        <w:t xml:space="preserve"> - Use all standard prefixes from the cisreg ontology</w:t>
        <w:br/>
        <w:t xml:space="preserve"> - New classes/properties only where cisreg doesn't cover the concept</w:t>
        <w:br/>
        <w:br/>
        <w:t>Output ONLY valid Turtle code. No explanations, no markdown code blocks.</w:t>
      </w:r>
    </w:p>
    <w:p>
      <w:r>
        <w:t>El bloque {ontology_fragments} se recupera mediante una heurística que selecciona los esquemas cisreg relevantes según las palabras clave presentes en la muestra (crm siempre, crm2gene si aparece 'gene', crm2phen si aparece 'disease'/'phenotype', crm2tfac si aparece 'transcription factor').</w:t>
      </w:r>
    </w:p>
    <w:p>
      <w:pPr>
        <w:pStyle w:val="Heading2"/>
      </w:pPr>
      <w:r>
        <w:t>5.5. Indicación E4 — OntoGenix</w:t>
      </w:r>
    </w:p>
    <w:p>
      <w:r>
        <w:t>OntoGenix utiliza tres prompts externos ubicados en OntoGenix/prompts/ontogenix/. Cada prompt incluye placeholders que se rellenan en tiempo de ejecución con los artefactos generados en pasos previos. La tabla siguiente resume el rol de cada agente:</w:t>
      </w:r>
    </w:p>
    <w:p>
      <w:pPr>
        <w:pStyle w:val="Caption"/>
        <w:jc w:val="center"/>
        <w:spacing w:before="120" w:after="60"/>
      </w:pPr>
      <w:r>
        <w:rPr>
          <w:b/>
          <w:sz w:val="20"/>
          <w:i/>
        </w:rPr>
        <w:t xml:space="preserve">Tabla 8. </w:t>
      </w:r>
      <w:r>
        <w:rPr>
          <w:sz w:val="20"/>
          <w:i/>
        </w:rPr>
        <w:t>Roles de los tres agentes de la pipeline OntoGenix</w:t>
      </w:r>
    </w:p>
    <w:tbl>
      <w:tblPr>
        <w:tblStyle w:val="TableGrid"/>
        <w:tblW w:type="auto" w:w="0"/>
        <w:tblLook w:firstColumn="1" w:firstRow="1" w:lastColumn="0" w:lastRow="0" w:noHBand="0" w:noVBand="1" w:val="04A0"/>
      </w:tblPr>
      <w:tblGrid>
        <w:gridCol w:w="2946"/>
        <w:gridCol w:w="2946"/>
        <w:gridCol w:w="2946"/>
      </w:tblGrid>
      <w:tr>
        <w:tc>
          <w:tcPr>
            <w:tcW w:type="dxa" w:w="1814"/>
            <w:shd w:val="clear" w:color="auto" w:fill="1F4E79"/>
            <w:vAlign w:val="center"/>
          </w:tcPr>
          <w:p>
            <w:pPr>
              <w:jc w:val="center"/>
            </w:pPr>
            <w:r/>
            <w:r>
              <w:rPr>
                <w:b/>
                <w:color w:val="FFFFFF"/>
                <w:sz w:val="20"/>
              </w:rPr>
              <w:t>Agente</w:t>
            </w:r>
          </w:p>
        </w:tc>
        <w:tc>
          <w:tcPr>
            <w:tcW w:type="dxa" w:w="2154"/>
            <w:shd w:val="clear" w:color="auto" w:fill="1F4E79"/>
            <w:vAlign w:val="center"/>
          </w:tcPr>
          <w:p>
            <w:pPr>
              <w:jc w:val="center"/>
            </w:pPr>
            <w:r/>
            <w:r>
              <w:rPr>
                <w:b/>
                <w:color w:val="FFFFFF"/>
                <w:sz w:val="20"/>
              </w:rPr>
              <w:t>Prompt base</w:t>
            </w:r>
          </w:p>
        </w:tc>
        <w:tc>
          <w:tcPr>
            <w:tcW w:type="dxa" w:w="4535"/>
            <w:shd w:val="clear" w:color="auto" w:fill="1F4E79"/>
            <w:vAlign w:val="center"/>
          </w:tcPr>
          <w:p>
            <w:pPr>
              <w:jc w:val="center"/>
            </w:pPr>
            <w:r/>
            <w:r>
              <w:rPr>
                <w:b/>
                <w:color w:val="FFFFFF"/>
                <w:sz w:val="20"/>
              </w:rPr>
              <w:t>Rol</w:t>
            </w:r>
          </w:p>
        </w:tc>
      </w:tr>
      <w:tr>
        <w:tc>
          <w:tcPr>
            <w:tcW w:type="dxa" w:w="1814"/>
            <w:vAlign w:val="center"/>
          </w:tcPr>
          <w:p>
            <w:r/>
            <w:r>
              <w:rPr>
                <w:sz w:val="20"/>
              </w:rPr>
              <w:t>LlmPlanner</w:t>
            </w:r>
          </w:p>
        </w:tc>
        <w:tc>
          <w:tcPr>
            <w:tcW w:type="dxa" w:w="2154"/>
            <w:vAlign w:val="center"/>
          </w:tcPr>
          <w:p>
            <w:r/>
            <w:r>
              <w:rPr>
                <w:sz w:val="20"/>
              </w:rPr>
              <w:t>planner_instructions.txt</w:t>
            </w:r>
          </w:p>
        </w:tc>
        <w:tc>
          <w:tcPr>
            <w:tcW w:type="dxa" w:w="4535"/>
            <w:vAlign w:val="center"/>
          </w:tcPr>
          <w:p>
            <w:r/>
            <w:r>
              <w:rPr>
                <w:sz w:val="20"/>
              </w:rPr>
              <w:t>Analiza las estadísticas del CSV y propone qué clases y propiedades necesita la ontología; genera un razonamiento en markdown</w:t>
            </w:r>
          </w:p>
        </w:tc>
      </w:tr>
      <w:tr>
        <w:tc>
          <w:tcPr>
            <w:tcW w:type="dxa" w:w="1814"/>
            <w:shd w:val="clear" w:color="auto" w:fill="F2F6FA"/>
            <w:vAlign w:val="center"/>
          </w:tcPr>
          <w:p>
            <w:r/>
            <w:r>
              <w:rPr>
                <w:sz w:val="20"/>
              </w:rPr>
              <w:t>LlmOntology</w:t>
            </w:r>
          </w:p>
        </w:tc>
        <w:tc>
          <w:tcPr>
            <w:tcW w:type="dxa" w:w="2154"/>
            <w:shd w:val="clear" w:color="auto" w:fill="F2F6FA"/>
            <w:vAlign w:val="center"/>
          </w:tcPr>
          <w:p>
            <w:r/>
            <w:r>
              <w:rPr>
                <w:sz w:val="20"/>
              </w:rPr>
              <w:t>ontology_instructions.txt</w:t>
            </w:r>
          </w:p>
        </w:tc>
        <w:tc>
          <w:tcPr>
            <w:tcW w:type="dxa" w:w="4535"/>
            <w:shd w:val="clear" w:color="auto" w:fill="F2F6FA"/>
            <w:vAlign w:val="center"/>
          </w:tcPr>
          <w:p>
            <w:r/>
            <w:r>
              <w:rPr>
                <w:sz w:val="20"/>
              </w:rPr>
              <w:t>A partir del razonamiento y las estadísticas, genera una ontología OWL 2 en Turtle</w:t>
            </w:r>
          </w:p>
        </w:tc>
      </w:tr>
      <w:tr>
        <w:tc>
          <w:tcPr>
            <w:tcW w:type="dxa" w:w="1814"/>
            <w:vAlign w:val="center"/>
          </w:tcPr>
          <w:p>
            <w:r/>
            <w:r>
              <w:rPr>
                <w:sz w:val="20"/>
              </w:rPr>
              <w:t>LlmOntoMapper</w:t>
            </w:r>
          </w:p>
        </w:tc>
        <w:tc>
          <w:tcPr>
            <w:tcW w:type="dxa" w:w="2154"/>
            <w:vAlign w:val="center"/>
          </w:tcPr>
          <w:p>
            <w:r/>
            <w:r>
              <w:rPr>
                <w:sz w:val="20"/>
              </w:rPr>
              <w:t>ontomapper_instructions.txt</w:t>
            </w:r>
          </w:p>
        </w:tc>
        <w:tc>
          <w:tcPr>
            <w:tcW w:type="dxa" w:w="4535"/>
            <w:vAlign w:val="center"/>
          </w:tcPr>
          <w:p>
            <w:r/>
            <w:r>
              <w:rPr>
                <w:sz w:val="20"/>
              </w:rPr>
              <w:t>A partir de la ontología y el CSV, produce un mapping (RML o TTL) que permite materializar RDF desde los datos</w:t>
            </w:r>
          </w:p>
        </w:tc>
      </w:tr>
    </w:tbl>
    <w:p>
      <w:r>
        <w:t>El paso adicional LlmPlanner.update(), previsto para enriquecer el razonamiento con resultados de schema.org vía SERP API, se omite en este TFM por política de claves externas. La ontología se genera directamente a partir de LlmPlanner.interaction().</w:t>
      </w:r>
    </w:p>
    <w:p>
      <w:pPr>
        <w:pStyle w:val="Heading1"/>
      </w:pPr>
      <w:r>
        <w:t>6. Métricas de evaluación</w:t>
      </w:r>
    </w:p>
    <w:p>
      <w:r>
        <w:t>Cada archivo .ttl generado se evalúa con scripts/evaluate_E4_vs_E1-E3.py. Las métricas se dividen en dos grupos: validez sintáctica y riqueza semántica. Todas se calculan con rdflib (parser estándar de la W3C Semantic Web Community) y, como fallback, con conteo textual heurístico si rdflib no está disponible.</w:t>
      </w:r>
    </w:p>
    <w:p>
      <w:pPr>
        <w:pStyle w:val="Caption"/>
        <w:jc w:val="center"/>
        <w:spacing w:before="120" w:after="60"/>
      </w:pPr>
      <w:r>
        <w:rPr>
          <w:b/>
          <w:sz w:val="20"/>
          <w:i/>
        </w:rPr>
        <w:t xml:space="preserve">Tabla 9. </w:t>
      </w:r>
      <w:r>
        <w:rPr>
          <w:sz w:val="20"/>
          <w:i/>
        </w:rPr>
        <w:t>Métricas estructurales de evaluación calculadas sobre cada ontología</w:t>
      </w:r>
    </w:p>
    <w:tbl>
      <w:tblPr>
        <w:tblStyle w:val="TableGrid"/>
        <w:tblW w:type="auto" w:w="0"/>
        <w:tblLook w:firstColumn="1" w:firstRow="1" w:lastColumn="0" w:lastRow="0" w:noHBand="0" w:noVBand="1" w:val="04A0"/>
      </w:tblPr>
      <w:tblGrid>
        <w:gridCol w:w="2946"/>
        <w:gridCol w:w="2946"/>
        <w:gridCol w:w="2946"/>
      </w:tblGrid>
      <w:tr>
        <w:tc>
          <w:tcPr>
            <w:tcW w:type="dxa" w:w="1814"/>
            <w:shd w:val="clear" w:color="auto" w:fill="1F4E79"/>
            <w:vAlign w:val="center"/>
          </w:tcPr>
          <w:p>
            <w:pPr>
              <w:jc w:val="center"/>
            </w:pPr>
            <w:r/>
            <w:r>
              <w:rPr>
                <w:b/>
                <w:color w:val="FFFFFF"/>
                <w:sz w:val="20"/>
              </w:rPr>
              <w:t>Métrica</w:t>
            </w:r>
          </w:p>
        </w:tc>
        <w:tc>
          <w:tcPr>
            <w:tcW w:type="dxa" w:w="3969"/>
            <w:shd w:val="clear" w:color="auto" w:fill="1F4E79"/>
            <w:vAlign w:val="center"/>
          </w:tcPr>
          <w:p>
            <w:pPr>
              <w:jc w:val="center"/>
            </w:pPr>
            <w:r/>
            <w:r>
              <w:rPr>
                <w:b/>
                <w:color w:val="FFFFFF"/>
                <w:sz w:val="20"/>
              </w:rPr>
              <w:t>Descripción</w:t>
            </w:r>
          </w:p>
        </w:tc>
        <w:tc>
          <w:tcPr>
            <w:tcW w:type="dxa" w:w="2721"/>
            <w:shd w:val="clear" w:color="auto" w:fill="1F4E79"/>
            <w:vAlign w:val="center"/>
          </w:tcPr>
          <w:p>
            <w:pPr>
              <w:jc w:val="center"/>
            </w:pPr>
            <w:r/>
            <w:r>
              <w:rPr>
                <w:b/>
                <w:color w:val="FFFFFF"/>
                <w:sz w:val="20"/>
              </w:rPr>
              <w:t>Fuente</w:t>
            </w:r>
          </w:p>
        </w:tc>
      </w:tr>
      <w:tr>
        <w:tc>
          <w:tcPr>
            <w:tcW w:type="dxa" w:w="1814"/>
            <w:vAlign w:val="center"/>
          </w:tcPr>
          <w:p>
            <w:r/>
            <w:r>
              <w:rPr>
                <w:sz w:val="20"/>
              </w:rPr>
              <w:t>parse_ok</w:t>
            </w:r>
          </w:p>
        </w:tc>
        <w:tc>
          <w:tcPr>
            <w:tcW w:type="dxa" w:w="3969"/>
            <w:vAlign w:val="center"/>
          </w:tcPr>
          <w:p>
            <w:r/>
            <w:r>
              <w:rPr>
                <w:sz w:val="20"/>
              </w:rPr>
              <w:t>1 si rdflib parsea el TTL sin error, 0 en caso contrario</w:t>
            </w:r>
          </w:p>
        </w:tc>
        <w:tc>
          <w:tcPr>
            <w:tcW w:type="dxa" w:w="2721"/>
            <w:vAlign w:val="center"/>
          </w:tcPr>
          <w:p>
            <w:r/>
            <w:r>
              <w:rPr>
                <w:sz w:val="20"/>
              </w:rPr>
              <w:t>Graph.parse()</w:t>
            </w:r>
          </w:p>
        </w:tc>
      </w:tr>
      <w:tr>
        <w:tc>
          <w:tcPr>
            <w:tcW w:type="dxa" w:w="1814"/>
            <w:shd w:val="clear" w:color="auto" w:fill="F2F6FA"/>
            <w:vAlign w:val="center"/>
          </w:tcPr>
          <w:p>
            <w:r/>
            <w:r>
              <w:rPr>
                <w:sz w:val="20"/>
              </w:rPr>
              <w:t>n_triples</w:t>
            </w:r>
          </w:p>
        </w:tc>
        <w:tc>
          <w:tcPr>
            <w:tcW w:type="dxa" w:w="3969"/>
            <w:shd w:val="clear" w:color="auto" w:fill="F2F6FA"/>
            <w:vAlign w:val="center"/>
          </w:tcPr>
          <w:p>
            <w:r/>
            <w:r>
              <w:rPr>
                <w:sz w:val="20"/>
              </w:rPr>
              <w:t>Número total de triples RDF</w:t>
            </w:r>
          </w:p>
        </w:tc>
        <w:tc>
          <w:tcPr>
            <w:tcW w:type="dxa" w:w="2721"/>
            <w:shd w:val="clear" w:color="auto" w:fill="F2F6FA"/>
            <w:vAlign w:val="center"/>
          </w:tcPr>
          <w:p>
            <w:r/>
            <w:r>
              <w:rPr>
                <w:sz w:val="20"/>
              </w:rPr>
              <w:t>len(Graph)</w:t>
            </w:r>
          </w:p>
        </w:tc>
      </w:tr>
      <w:tr>
        <w:tc>
          <w:tcPr>
            <w:tcW w:type="dxa" w:w="1814"/>
            <w:vAlign w:val="center"/>
          </w:tcPr>
          <w:p>
            <w:r/>
            <w:r>
              <w:rPr>
                <w:sz w:val="20"/>
              </w:rPr>
              <w:t>n_classes</w:t>
            </w:r>
          </w:p>
        </w:tc>
        <w:tc>
          <w:tcPr>
            <w:tcW w:type="dxa" w:w="3969"/>
            <w:vAlign w:val="center"/>
          </w:tcPr>
          <w:p>
            <w:r/>
            <w:r>
              <w:rPr>
                <w:sz w:val="20"/>
              </w:rPr>
              <w:t>Número de clases declaradas</w:t>
            </w:r>
          </w:p>
        </w:tc>
        <w:tc>
          <w:tcPr>
            <w:tcW w:type="dxa" w:w="2721"/>
            <w:vAlign w:val="center"/>
          </w:tcPr>
          <w:p>
            <w:r/>
            <w:r>
              <w:rPr>
                <w:sz w:val="20"/>
              </w:rPr>
              <w:t>RDF.type → OWL.Class</w:t>
            </w:r>
          </w:p>
        </w:tc>
      </w:tr>
      <w:tr>
        <w:tc>
          <w:tcPr>
            <w:tcW w:type="dxa" w:w="1814"/>
            <w:shd w:val="clear" w:color="auto" w:fill="F2F6FA"/>
            <w:vAlign w:val="center"/>
          </w:tcPr>
          <w:p>
            <w:r/>
            <w:r>
              <w:rPr>
                <w:sz w:val="20"/>
              </w:rPr>
              <w:t>n_object_props</w:t>
            </w:r>
          </w:p>
        </w:tc>
        <w:tc>
          <w:tcPr>
            <w:tcW w:type="dxa" w:w="3969"/>
            <w:shd w:val="clear" w:color="auto" w:fill="F2F6FA"/>
            <w:vAlign w:val="center"/>
          </w:tcPr>
          <w:p>
            <w:r/>
            <w:r>
              <w:rPr>
                <w:sz w:val="20"/>
              </w:rPr>
              <w:t>Número de propiedades de objeto</w:t>
            </w:r>
          </w:p>
        </w:tc>
        <w:tc>
          <w:tcPr>
            <w:tcW w:type="dxa" w:w="2721"/>
            <w:shd w:val="clear" w:color="auto" w:fill="F2F6FA"/>
            <w:vAlign w:val="center"/>
          </w:tcPr>
          <w:p>
            <w:r/>
            <w:r>
              <w:rPr>
                <w:sz w:val="20"/>
              </w:rPr>
              <w:t>RDF.type → OWL.ObjectProperty</w:t>
            </w:r>
          </w:p>
        </w:tc>
      </w:tr>
      <w:tr>
        <w:tc>
          <w:tcPr>
            <w:tcW w:type="dxa" w:w="1814"/>
            <w:vAlign w:val="center"/>
          </w:tcPr>
          <w:p>
            <w:r/>
            <w:r>
              <w:rPr>
                <w:sz w:val="20"/>
              </w:rPr>
              <w:t>n_datatype_props</w:t>
            </w:r>
          </w:p>
        </w:tc>
        <w:tc>
          <w:tcPr>
            <w:tcW w:type="dxa" w:w="3969"/>
            <w:vAlign w:val="center"/>
          </w:tcPr>
          <w:p>
            <w:r/>
            <w:r>
              <w:rPr>
                <w:sz w:val="20"/>
              </w:rPr>
              <w:t>Número de propiedades de datos</w:t>
            </w:r>
          </w:p>
        </w:tc>
        <w:tc>
          <w:tcPr>
            <w:tcW w:type="dxa" w:w="2721"/>
            <w:vAlign w:val="center"/>
          </w:tcPr>
          <w:p>
            <w:r/>
            <w:r>
              <w:rPr>
                <w:sz w:val="20"/>
              </w:rPr>
              <w:t>RDF.type → OWL.DatatypeProperty</w:t>
            </w:r>
          </w:p>
        </w:tc>
      </w:tr>
      <w:tr>
        <w:tc>
          <w:tcPr>
            <w:tcW w:type="dxa" w:w="1814"/>
            <w:shd w:val="clear" w:color="auto" w:fill="F2F6FA"/>
            <w:vAlign w:val="center"/>
          </w:tcPr>
          <w:p>
            <w:r/>
            <w:r>
              <w:rPr>
                <w:sz w:val="20"/>
              </w:rPr>
              <w:t>n_subclass_axioms</w:t>
            </w:r>
          </w:p>
        </w:tc>
        <w:tc>
          <w:tcPr>
            <w:tcW w:type="dxa" w:w="3969"/>
            <w:shd w:val="clear" w:color="auto" w:fill="F2F6FA"/>
            <w:vAlign w:val="center"/>
          </w:tcPr>
          <w:p>
            <w:r/>
            <w:r>
              <w:rPr>
                <w:sz w:val="20"/>
              </w:rPr>
              <w:t>Número de axiomas rdfs:subClassOf</w:t>
            </w:r>
          </w:p>
        </w:tc>
        <w:tc>
          <w:tcPr>
            <w:tcW w:type="dxa" w:w="2721"/>
            <w:shd w:val="clear" w:color="auto" w:fill="F2F6FA"/>
            <w:vAlign w:val="center"/>
          </w:tcPr>
          <w:p>
            <w:r/>
            <w:r>
              <w:rPr>
                <w:sz w:val="20"/>
              </w:rPr>
              <w:t>(None, RDFS.subClassOf, None)</w:t>
            </w:r>
          </w:p>
        </w:tc>
      </w:tr>
      <w:tr>
        <w:tc>
          <w:tcPr>
            <w:tcW w:type="dxa" w:w="1814"/>
            <w:vAlign w:val="center"/>
          </w:tcPr>
          <w:p>
            <w:r/>
            <w:r>
              <w:rPr>
                <w:sz w:val="20"/>
              </w:rPr>
              <w:t>n_restrictions</w:t>
            </w:r>
          </w:p>
        </w:tc>
        <w:tc>
          <w:tcPr>
            <w:tcW w:type="dxa" w:w="3969"/>
            <w:vAlign w:val="center"/>
          </w:tcPr>
          <w:p>
            <w:r/>
            <w:r>
              <w:rPr>
                <w:sz w:val="20"/>
              </w:rPr>
              <w:t>Número de owl:Restriction</w:t>
            </w:r>
          </w:p>
        </w:tc>
        <w:tc>
          <w:tcPr>
            <w:tcW w:type="dxa" w:w="2721"/>
            <w:vAlign w:val="center"/>
          </w:tcPr>
          <w:p>
            <w:r/>
            <w:r>
              <w:rPr>
                <w:sz w:val="20"/>
              </w:rPr>
              <w:t>RDF.type → OWL.Restriction</w:t>
            </w:r>
          </w:p>
        </w:tc>
      </w:tr>
      <w:tr>
        <w:tc>
          <w:tcPr>
            <w:tcW w:type="dxa" w:w="1814"/>
            <w:shd w:val="clear" w:color="auto" w:fill="F2F6FA"/>
            <w:vAlign w:val="center"/>
          </w:tcPr>
          <w:p>
            <w:r/>
            <w:r>
              <w:rPr>
                <w:sz w:val="20"/>
              </w:rPr>
              <w:t>n_labels</w:t>
            </w:r>
          </w:p>
        </w:tc>
        <w:tc>
          <w:tcPr>
            <w:tcW w:type="dxa" w:w="3969"/>
            <w:shd w:val="clear" w:color="auto" w:fill="F2F6FA"/>
            <w:vAlign w:val="center"/>
          </w:tcPr>
          <w:p>
            <w:r/>
            <w:r>
              <w:rPr>
                <w:sz w:val="20"/>
              </w:rPr>
              <w:t>Número de rdfs:label</w:t>
            </w:r>
          </w:p>
        </w:tc>
        <w:tc>
          <w:tcPr>
            <w:tcW w:type="dxa" w:w="2721"/>
            <w:shd w:val="clear" w:color="auto" w:fill="F2F6FA"/>
            <w:vAlign w:val="center"/>
          </w:tcPr>
          <w:p>
            <w:r/>
            <w:r>
              <w:rPr>
                <w:sz w:val="20"/>
              </w:rPr>
              <w:t>(None, RDFS.label, None)</w:t>
            </w:r>
          </w:p>
        </w:tc>
      </w:tr>
      <w:tr>
        <w:tc>
          <w:tcPr>
            <w:tcW w:type="dxa" w:w="1814"/>
            <w:vAlign w:val="center"/>
          </w:tcPr>
          <w:p>
            <w:r/>
            <w:r>
              <w:rPr>
                <w:sz w:val="20"/>
              </w:rPr>
              <w:t>n_comments</w:t>
            </w:r>
          </w:p>
        </w:tc>
        <w:tc>
          <w:tcPr>
            <w:tcW w:type="dxa" w:w="3969"/>
            <w:vAlign w:val="center"/>
          </w:tcPr>
          <w:p>
            <w:r/>
            <w:r>
              <w:rPr>
                <w:sz w:val="20"/>
              </w:rPr>
              <w:t>rdfs:comment + skos:definition</w:t>
            </w:r>
          </w:p>
        </w:tc>
        <w:tc>
          <w:tcPr>
            <w:tcW w:type="dxa" w:w="2721"/>
            <w:vAlign w:val="center"/>
          </w:tcPr>
          <w:p>
            <w:r/>
            <w:r>
              <w:rPr>
                <w:sz w:val="20"/>
              </w:rPr>
              <w:t>suma de ambos conteos</w:t>
            </w:r>
          </w:p>
        </w:tc>
      </w:tr>
      <w:tr>
        <w:tc>
          <w:tcPr>
            <w:tcW w:type="dxa" w:w="1814"/>
            <w:shd w:val="clear" w:color="auto" w:fill="F2F6FA"/>
            <w:vAlign w:val="center"/>
          </w:tcPr>
          <w:p>
            <w:r/>
            <w:r>
              <w:rPr>
                <w:sz w:val="20"/>
              </w:rPr>
              <w:t>size_bytes</w:t>
            </w:r>
          </w:p>
        </w:tc>
        <w:tc>
          <w:tcPr>
            <w:tcW w:type="dxa" w:w="3969"/>
            <w:shd w:val="clear" w:color="auto" w:fill="F2F6FA"/>
            <w:vAlign w:val="center"/>
          </w:tcPr>
          <w:p>
            <w:r/>
            <w:r>
              <w:rPr>
                <w:sz w:val="20"/>
              </w:rPr>
              <w:t>Tamaño del archivo .ttl en bytes</w:t>
            </w:r>
          </w:p>
        </w:tc>
        <w:tc>
          <w:tcPr>
            <w:tcW w:type="dxa" w:w="2721"/>
            <w:shd w:val="clear" w:color="auto" w:fill="F2F6FA"/>
            <w:vAlign w:val="center"/>
          </w:tcPr>
          <w:p>
            <w:r/>
            <w:r>
              <w:rPr>
                <w:sz w:val="20"/>
              </w:rPr>
              <w:t>os.stat().st_size</w:t>
            </w:r>
          </w:p>
        </w:tc>
      </w:tr>
    </w:tbl>
    <w:p>
      <w:pPr>
        <w:pStyle w:val="Heading1"/>
      </w:pPr>
      <w:r>
        <w:t>7. Post-procesado mecánico de TTL</w:t>
      </w:r>
    </w:p>
    <w:p>
      <w:r>
        <w:t>La primera ronda de evaluación (apartado 8) reveló que un porcentaje no despreciable de las ontologías generadas por E1, E2 y E3 fallaba al parsear con rdflib por motivos puramente sintácticos. Es decir, errores que no comprometen la semántica del esquema sino su serialización. Para cuantificar y separar estos fallos del verdadero fondo semántico, se diseñó el script scripts/postprocess_ttl.py, un post-procesador que aplica dos transformaciones mecánicas sin coste de API.</w:t>
      </w:r>
    </w:p>
    <w:p>
      <w:pPr>
        <w:pStyle w:val="Heading2"/>
      </w:pPr>
      <w:r>
        <w:t>7.1. Fix #1 — Auto-prefix injection</w:t>
      </w:r>
    </w:p>
    <w:p>
      <w:r>
        <w:t>Detecta tokens del tipo prefijo:nombre cuyo prefijo no está declarado con @prefix al inicio del archivo. Si el prefijo coincide con uno de los canónicos del dominio (rdf, rdfs, owl, xsd, skos, dc, obo, biolink, schema, sio, además de los específicos cisreg como hcrm, crm2pgene, hgene, etc.), se inyecta automáticamente la declaración correspondiente al final del bloque @prefix. El fix es completamente conservador: si la ontología ya declara el prefijo con su propia URI, no se sobrescribe.</w:t>
      </w:r>
    </w:p>
    <w:p>
      <w:pPr>
        <w:pStyle w:val="Heading2"/>
      </w:pPr>
      <w:r>
        <w:t>7.2. Fix #2 — Escape de local names problemáticos</w:t>
      </w:r>
    </w:p>
    <w:p>
      <w:r>
        <w:t>Detecta tokens prefijo:local en los que el local name contiene caracteres no válidos en PN_LOCAL Turtle sin escape (!, #, @, *, +, =, ?, $, &amp;, ', ~). En lugar de añadir escapes mecánicos uno a uno, se reescribe el token completo como una IRI absoluta entre &lt;…&gt; usando la URI base del prefijo. Por ejemplo, crm2pgene:bgw!CRMHS00000005752--FAM131C se transforma en &lt;http://rdf.biogateway.eu/crm2pgene/bgw!CRMHS00000005752--FAM131C&gt;. Esta forma es siempre válida en Turtle y preserva la semántica del recurso original. Se excluyen explícitamente del set los caracteres (, ), , y ; porque actúan como separadores estructurales (listas de colección y separadores de objetos), y capturarlos rompería expresiones como owl:unionOf (obo:CRM obo:Enhancer).</w:t>
      </w:r>
    </w:p>
    <w:p>
      <w:pPr>
        <w:pStyle w:val="Heading2"/>
      </w:pPr>
      <w:r>
        <w:t>7.3. Resultado del post-procesado</w:t>
      </w:r>
    </w:p>
    <w:p>
      <w:r>
        <w:t>Sobre las 36 corridas de E1+E2+E3 (sin contar E4, que no requiere post-procesado por estar generada por OntoGenix con su propio mecanismo de validación), el post-procesado rescata 18 ontologías que originalmente no parseaban: un 50 % del total. Tras los dos fixes, el banco de pruebas alcanza 36/36 parseos correctos (100 %).</w:t>
      </w:r>
    </w:p>
    <w:p>
      <w:pPr>
        <w:pStyle w:val="Caption"/>
        <w:jc w:val="center"/>
        <w:spacing w:before="120" w:after="60"/>
      </w:pPr>
      <w:r>
        <w:rPr>
          <w:b/>
          <w:sz w:val="20"/>
          <w:i/>
        </w:rPr>
        <w:t xml:space="preserve">Tabla 10. </w:t>
      </w:r>
      <w:r>
        <w:rPr>
          <w:sz w:val="20"/>
          <w:i/>
        </w:rPr>
        <w:t>Efecto del post-procesado mecánico sobre la validez sintáctica</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984"/>
            <w:shd w:val="clear" w:color="auto" w:fill="1F4E79"/>
            <w:vAlign w:val="center"/>
          </w:tcPr>
          <w:p>
            <w:pPr>
              <w:jc w:val="center"/>
            </w:pPr>
            <w:r/>
            <w:r>
              <w:rPr>
                <w:b/>
                <w:color w:val="FFFFFF"/>
                <w:sz w:val="20"/>
              </w:rPr>
              <w:t>Experimento</w:t>
            </w:r>
          </w:p>
        </w:tc>
        <w:tc>
          <w:tcPr>
            <w:tcW w:type="dxa" w:w="1417"/>
            <w:shd w:val="clear" w:color="auto" w:fill="1F4E79"/>
            <w:vAlign w:val="center"/>
          </w:tcPr>
          <w:p>
            <w:pPr>
              <w:jc w:val="center"/>
            </w:pPr>
            <w:r/>
            <w:r>
              <w:rPr>
                <w:b/>
                <w:color w:val="FFFFFF"/>
                <w:sz w:val="20"/>
              </w:rPr>
              <w:t>runs_ok (raw)</w:t>
            </w:r>
          </w:p>
        </w:tc>
        <w:tc>
          <w:tcPr>
            <w:tcW w:type="dxa" w:w="1531"/>
            <w:shd w:val="clear" w:color="auto" w:fill="1F4E79"/>
            <w:vAlign w:val="center"/>
          </w:tcPr>
          <w:p>
            <w:pPr>
              <w:jc w:val="center"/>
            </w:pPr>
            <w:r/>
            <w:r>
              <w:rPr>
                <w:b/>
                <w:color w:val="FFFFFF"/>
                <w:sz w:val="20"/>
              </w:rPr>
              <w:t>runs_ok (post-fix)</w:t>
            </w:r>
          </w:p>
        </w:tc>
        <w:tc>
          <w:tcPr>
            <w:tcW w:type="dxa" w:w="1020"/>
            <w:shd w:val="clear" w:color="auto" w:fill="1F4E79"/>
            <w:vAlign w:val="center"/>
          </w:tcPr>
          <w:p>
            <w:pPr>
              <w:jc w:val="center"/>
            </w:pPr>
            <w:r/>
            <w:r>
              <w:rPr>
                <w:b/>
                <w:color w:val="FFFFFF"/>
                <w:sz w:val="20"/>
              </w:rPr>
              <w:t>Rescatadas</w:t>
            </w:r>
          </w:p>
        </w:tc>
        <w:tc>
          <w:tcPr>
            <w:tcW w:type="dxa" w:w="2551"/>
            <w:shd w:val="clear" w:color="auto" w:fill="1F4E79"/>
            <w:vAlign w:val="center"/>
          </w:tcPr>
          <w:p>
            <w:pPr>
              <w:jc w:val="center"/>
            </w:pPr>
            <w:r/>
            <w:r>
              <w:rPr>
                <w:b/>
                <w:color w:val="FFFFFF"/>
                <w:sz w:val="20"/>
              </w:rPr>
              <w:t>Causa principal</w:t>
            </w:r>
          </w:p>
        </w:tc>
      </w:tr>
      <w:tr>
        <w:tc>
          <w:tcPr>
            <w:tcW w:type="dxa" w:w="1984"/>
            <w:vAlign w:val="center"/>
          </w:tcPr>
          <w:p>
            <w:r/>
            <w:r>
              <w:rPr>
                <w:sz w:val="20"/>
              </w:rPr>
              <w:t>E1 (zero-shot)</w:t>
            </w:r>
          </w:p>
        </w:tc>
        <w:tc>
          <w:tcPr>
            <w:tcW w:type="dxa" w:w="1417"/>
            <w:vAlign w:val="center"/>
          </w:tcPr>
          <w:p>
            <w:r/>
            <w:r>
              <w:rPr>
                <w:sz w:val="20"/>
              </w:rPr>
              <w:t>10/12</w:t>
            </w:r>
          </w:p>
        </w:tc>
        <w:tc>
          <w:tcPr>
            <w:tcW w:type="dxa" w:w="1531"/>
            <w:vAlign w:val="center"/>
          </w:tcPr>
          <w:p>
            <w:r/>
            <w:r>
              <w:rPr>
                <w:sz w:val="20"/>
              </w:rPr>
              <w:t>12/12</w:t>
            </w:r>
          </w:p>
        </w:tc>
        <w:tc>
          <w:tcPr>
            <w:tcW w:type="dxa" w:w="1020"/>
            <w:vAlign w:val="center"/>
          </w:tcPr>
          <w:p>
            <w:r/>
            <w:r>
              <w:rPr>
                <w:sz w:val="20"/>
              </w:rPr>
              <w:t>+2</w:t>
            </w:r>
          </w:p>
        </w:tc>
        <w:tc>
          <w:tcPr>
            <w:tcW w:type="dxa" w:w="2551"/>
            <w:vAlign w:val="center"/>
          </w:tcPr>
          <w:p>
            <w:r/>
            <w:r>
              <w:rPr>
                <w:sz w:val="20"/>
              </w:rPr>
              <w:t>Prefijo por defecto («:») no declarado</w:t>
            </w:r>
          </w:p>
        </w:tc>
      </w:tr>
      <w:tr>
        <w:tc>
          <w:tcPr>
            <w:tcW w:type="dxa" w:w="1984"/>
            <w:shd w:val="clear" w:color="auto" w:fill="F2F6FA"/>
            <w:vAlign w:val="center"/>
          </w:tcPr>
          <w:p>
            <w:r/>
            <w:r>
              <w:rPr>
                <w:sz w:val="20"/>
              </w:rPr>
              <w:t>E2 (vocabulario)</w:t>
            </w:r>
          </w:p>
        </w:tc>
        <w:tc>
          <w:tcPr>
            <w:tcW w:type="dxa" w:w="1417"/>
            <w:shd w:val="clear" w:color="auto" w:fill="F2F6FA"/>
            <w:vAlign w:val="center"/>
          </w:tcPr>
          <w:p>
            <w:r/>
            <w:r>
              <w:rPr>
                <w:sz w:val="20"/>
              </w:rPr>
              <w:t>8/12</w:t>
            </w:r>
          </w:p>
        </w:tc>
        <w:tc>
          <w:tcPr>
            <w:tcW w:type="dxa" w:w="1531"/>
            <w:shd w:val="clear" w:color="auto" w:fill="F2F6FA"/>
            <w:vAlign w:val="center"/>
          </w:tcPr>
          <w:p>
            <w:r/>
            <w:r>
              <w:rPr>
                <w:sz w:val="20"/>
              </w:rPr>
              <w:t>12/12</w:t>
            </w:r>
          </w:p>
        </w:tc>
        <w:tc>
          <w:tcPr>
            <w:tcW w:type="dxa" w:w="1020"/>
            <w:shd w:val="clear" w:color="auto" w:fill="F2F6FA"/>
            <w:vAlign w:val="center"/>
          </w:tcPr>
          <w:p>
            <w:r/>
            <w:r>
              <w:rPr>
                <w:sz w:val="20"/>
              </w:rPr>
              <w:t>+4</w:t>
            </w:r>
          </w:p>
        </w:tc>
        <w:tc>
          <w:tcPr>
            <w:tcW w:type="dxa" w:w="2551"/>
            <w:shd w:val="clear" w:color="auto" w:fill="F2F6FA"/>
            <w:vAlign w:val="center"/>
          </w:tcPr>
          <w:p>
            <w:r/>
            <w:r>
              <w:rPr>
                <w:sz w:val="20"/>
              </w:rPr>
              <w:t>Prefijo por defecto y dc: no declarados</w:t>
            </w:r>
          </w:p>
        </w:tc>
      </w:tr>
      <w:tr>
        <w:tc>
          <w:tcPr>
            <w:tcW w:type="dxa" w:w="1984"/>
            <w:vAlign w:val="center"/>
          </w:tcPr>
          <w:p>
            <w:r/>
            <w:r>
              <w:rPr>
                <w:sz w:val="20"/>
              </w:rPr>
              <w:t>E3 (RAG)</w:t>
            </w:r>
          </w:p>
        </w:tc>
        <w:tc>
          <w:tcPr>
            <w:tcW w:type="dxa" w:w="1417"/>
            <w:vAlign w:val="center"/>
          </w:tcPr>
          <w:p>
            <w:r/>
            <w:r>
              <w:rPr>
                <w:sz w:val="20"/>
              </w:rPr>
              <w:t>0/12</w:t>
            </w:r>
          </w:p>
        </w:tc>
        <w:tc>
          <w:tcPr>
            <w:tcW w:type="dxa" w:w="1531"/>
            <w:vAlign w:val="center"/>
          </w:tcPr>
          <w:p>
            <w:r/>
            <w:r>
              <w:rPr>
                <w:sz w:val="20"/>
              </w:rPr>
              <w:t>12/12</w:t>
            </w:r>
          </w:p>
        </w:tc>
        <w:tc>
          <w:tcPr>
            <w:tcW w:type="dxa" w:w="1020"/>
            <w:vAlign w:val="center"/>
          </w:tcPr>
          <w:p>
            <w:r/>
            <w:r>
              <w:rPr>
                <w:sz w:val="20"/>
              </w:rPr>
              <w:t>+12</w:t>
            </w:r>
          </w:p>
        </w:tc>
        <w:tc>
          <w:tcPr>
            <w:tcW w:type="dxa" w:w="2551"/>
            <w:vAlign w:val="center"/>
          </w:tcPr>
          <w:p>
            <w:r/>
            <w:r>
              <w:rPr>
                <w:sz w:val="20"/>
              </w:rPr>
              <w:t>Local names con «!» y «#» sin escapar (heredados del RAG)</w:t>
            </w:r>
          </w:p>
        </w:tc>
      </w:tr>
      <w:tr>
        <w:tc>
          <w:tcPr>
            <w:tcW w:type="dxa" w:w="1984"/>
            <w:shd w:val="clear" w:color="auto" w:fill="F2F6FA"/>
            <w:vAlign w:val="center"/>
          </w:tcPr>
          <w:p>
            <w:r/>
            <w:r>
              <w:rPr>
                <w:sz w:val="20"/>
              </w:rPr>
              <w:t>E4 (OntoGenix)</w:t>
            </w:r>
          </w:p>
        </w:tc>
        <w:tc>
          <w:tcPr>
            <w:tcW w:type="dxa" w:w="1417"/>
            <w:shd w:val="clear" w:color="auto" w:fill="F2F6FA"/>
            <w:vAlign w:val="center"/>
          </w:tcPr>
          <w:p>
            <w:r/>
            <w:r>
              <w:rPr>
                <w:sz w:val="20"/>
              </w:rPr>
              <w:t>12/12</w:t>
            </w:r>
          </w:p>
        </w:tc>
        <w:tc>
          <w:tcPr>
            <w:tcW w:type="dxa" w:w="1531"/>
            <w:shd w:val="clear" w:color="auto" w:fill="F2F6FA"/>
            <w:vAlign w:val="center"/>
          </w:tcPr>
          <w:p>
            <w:r/>
            <w:r>
              <w:rPr>
                <w:sz w:val="20"/>
              </w:rPr>
              <w:t>12/12</w:t>
            </w:r>
          </w:p>
        </w:tc>
        <w:tc>
          <w:tcPr>
            <w:tcW w:type="dxa" w:w="1020"/>
            <w:shd w:val="clear" w:color="auto" w:fill="F2F6FA"/>
            <w:vAlign w:val="center"/>
          </w:tcPr>
          <w:p>
            <w:r/>
            <w:r>
              <w:rPr>
                <w:sz w:val="20"/>
              </w:rPr>
              <w:t>0 (no aplica)</w:t>
            </w:r>
          </w:p>
        </w:tc>
        <w:tc>
          <w:tcPr>
            <w:tcW w:type="dxa" w:w="2551"/>
            <w:shd w:val="clear" w:color="auto" w:fill="F2F6FA"/>
            <w:vAlign w:val="center"/>
          </w:tcPr>
          <w:p>
            <w:r/>
            <w:r>
              <w:rPr>
                <w:sz w:val="20"/>
              </w:rPr>
              <w:t>—</w:t>
            </w:r>
          </w:p>
        </w:tc>
      </w:tr>
      <w:tr>
        <w:tc>
          <w:tcPr>
            <w:tcW w:type="dxa" w:w="1984"/>
            <w:vAlign w:val="center"/>
          </w:tcPr>
          <w:p>
            <w:r/>
            <w:r>
              <w:rPr>
                <w:sz w:val="20"/>
              </w:rPr>
              <w:t>TOTAL</w:t>
            </w:r>
          </w:p>
        </w:tc>
        <w:tc>
          <w:tcPr>
            <w:tcW w:type="dxa" w:w="1417"/>
            <w:vAlign w:val="center"/>
          </w:tcPr>
          <w:p>
            <w:r/>
            <w:r>
              <w:rPr>
                <w:sz w:val="20"/>
              </w:rPr>
              <w:t>30/48</w:t>
            </w:r>
          </w:p>
        </w:tc>
        <w:tc>
          <w:tcPr>
            <w:tcW w:type="dxa" w:w="1531"/>
            <w:vAlign w:val="center"/>
          </w:tcPr>
          <w:p>
            <w:r/>
            <w:r>
              <w:rPr>
                <w:sz w:val="20"/>
              </w:rPr>
              <w:t>48/48</w:t>
            </w:r>
          </w:p>
        </w:tc>
        <w:tc>
          <w:tcPr>
            <w:tcW w:type="dxa" w:w="1020"/>
            <w:vAlign w:val="center"/>
          </w:tcPr>
          <w:p>
            <w:r/>
            <w:r>
              <w:rPr>
                <w:sz w:val="20"/>
              </w:rPr>
              <w:t>+18</w:t>
            </w:r>
          </w:p>
        </w:tc>
        <w:tc>
          <w:tcPr>
            <w:tcW w:type="dxa" w:w="2551"/>
            <w:vAlign w:val="center"/>
          </w:tcPr>
          <w:p>
            <w:r/>
            <w:r>
              <w:rPr>
                <w:sz w:val="20"/>
              </w:rPr>
            </w:r>
          </w:p>
        </w:tc>
      </w:tr>
    </w:tbl>
    <w:p>
      <w:r>
        <w:t>La conclusión metodológica clave es que la diferencia real entre las cuatro estrategias no se encuentra en la validez sintáctica, sino en la riqueza semántica del esquema producido.</w:t>
      </w:r>
    </w:p>
    <w:p>
      <w:pPr>
        <w:pStyle w:val="Heading1"/>
      </w:pPr>
      <w:r>
        <w:t>8. Resultados experimentales</w:t>
      </w:r>
    </w:p>
    <w:p>
      <w:r>
        <w:t>Tras ejecutar los cuatro experimentos con gpt-4o sobre las cuatro bases de datos con tres repeticiones (total: 48 ontologías) y aplicar el post-procesado descrito en el apartado 7, se obtienen los siguientes resultados consolidados (media por experimento y BBDD sobre corridas con parse_ok = 1).</w:t>
      </w:r>
    </w:p>
    <w:p>
      <w:pPr>
        <w:pStyle w:val="Heading2"/>
      </w:pPr>
      <w:r>
        <w:t>8.1. Validez sintáctica</w:t>
      </w:r>
    </w:p>
    <w:p>
      <w:pPr>
        <w:jc w:val="center"/>
      </w:pPr>
      <w:r>
        <w:drawing>
          <wp:inline xmlns:a="http://schemas.openxmlformats.org/drawingml/2006/main" xmlns:pic="http://schemas.openxmlformats.org/drawingml/2006/picture">
            <wp:extent cx="5040000" cy="3275806"/>
            <wp:docPr id="2" name="Picture 2"/>
            <wp:cNvGraphicFramePr>
              <a:graphicFrameLocks noChangeAspect="1"/>
            </wp:cNvGraphicFramePr>
            <a:graphic>
              <a:graphicData uri="http://schemas.openxmlformats.org/drawingml/2006/picture">
                <pic:pic>
                  <pic:nvPicPr>
                    <pic:cNvPr id="0" name="fig01_parse_ok.png"/>
                    <pic:cNvPicPr/>
                  </pic:nvPicPr>
                  <pic:blipFill>
                    <a:blip r:embed="rId10"/>
                    <a:stretch>
                      <a:fillRect/>
                    </a:stretch>
                  </pic:blipFill>
                  <pic:spPr>
                    <a:xfrm>
                      <a:off x="0" y="0"/>
                      <a:ext cx="5040000" cy="3275806"/>
                    </a:xfrm>
                    <a:prstGeom prst="rect"/>
                  </pic:spPr>
                </pic:pic>
              </a:graphicData>
            </a:graphic>
          </wp:inline>
        </w:drawing>
      </w:r>
    </w:p>
    <w:p>
      <w:pPr>
        <w:spacing w:after="240"/>
        <w:jc w:val="center"/>
      </w:pPr>
      <w:r>
        <w:rPr>
          <w:i/>
          <w:color w:val="404040"/>
          <w:sz w:val="20"/>
        </w:rPr>
        <w:t>Figura 1. Validez sintáctica (rdflib) por experimento, antes y después del post-procesado. E4 (OntoGenix) es el único con 100 % nativo; E1/E2/E3 alcanzan también el 100 % tras los dos fixes mecánicos del apartado 7.</w:t>
      </w:r>
    </w:p>
    <w:p>
      <w:pPr>
        <w:pStyle w:val="Heading2"/>
      </w:pPr>
      <w:r>
        <w:t>8.2. Riqueza estructural — número de triples</w:t>
      </w:r>
    </w:p>
    <w:p>
      <w:pPr>
        <w:jc w:val="center"/>
      </w:pPr>
      <w:r>
        <w:drawing>
          <wp:inline xmlns:a="http://schemas.openxmlformats.org/drawingml/2006/main" xmlns:pic="http://schemas.openxmlformats.org/drawingml/2006/picture">
            <wp:extent cx="5040000" cy="3037714"/>
            <wp:docPr id="3" name="Picture 3"/>
            <wp:cNvGraphicFramePr>
              <a:graphicFrameLocks noChangeAspect="1"/>
            </wp:cNvGraphicFramePr>
            <a:graphic>
              <a:graphicData uri="http://schemas.openxmlformats.org/drawingml/2006/picture">
                <pic:pic>
                  <pic:nvPicPr>
                    <pic:cNvPr id="0" name="fig02_triples.png"/>
                    <pic:cNvPicPr/>
                  </pic:nvPicPr>
                  <pic:blipFill>
                    <a:blip r:embed="rId11"/>
                    <a:stretch>
                      <a:fillRect/>
                    </a:stretch>
                  </pic:blipFill>
                  <pic:spPr>
                    <a:xfrm>
                      <a:off x="0" y="0"/>
                      <a:ext cx="5040000" cy="3037714"/>
                    </a:xfrm>
                    <a:prstGeom prst="rect"/>
                  </pic:spPr>
                </pic:pic>
              </a:graphicData>
            </a:graphic>
          </wp:inline>
        </w:drawing>
      </w:r>
    </w:p>
    <w:p>
      <w:pPr>
        <w:spacing w:after="240"/>
        <w:jc w:val="center"/>
      </w:pPr>
      <w:r>
        <w:rPr>
          <w:i/>
          <w:color w:val="404040"/>
          <w:sz w:val="20"/>
        </w:rPr>
        <w:t>Figura 2. Media de triples por ontología desglosada por experimento y base de datos. E4 produce sistemáticamente 3-4 veces más triples que E1/E2/E3, en las cuatro BBDD.</w:t>
      </w:r>
    </w:p>
    <w:p>
      <w:pPr>
        <w:pStyle w:val="Heading2"/>
      </w:pPr>
      <w:r>
        <w:t>8.3. Riqueza documental — rdfs:label</w:t>
      </w:r>
    </w:p>
    <w:p>
      <w:pPr>
        <w:jc w:val="center"/>
      </w:pPr>
      <w:r>
        <w:drawing>
          <wp:inline xmlns:a="http://schemas.openxmlformats.org/drawingml/2006/main" xmlns:pic="http://schemas.openxmlformats.org/drawingml/2006/picture">
            <wp:extent cx="5040000" cy="3274444"/>
            <wp:docPr id="4" name="Picture 4"/>
            <wp:cNvGraphicFramePr>
              <a:graphicFrameLocks noChangeAspect="1"/>
            </wp:cNvGraphicFramePr>
            <a:graphic>
              <a:graphicData uri="http://schemas.openxmlformats.org/drawingml/2006/picture">
                <pic:pic>
                  <pic:nvPicPr>
                    <pic:cNvPr id="0" name="fig03_labels.png"/>
                    <pic:cNvPicPr/>
                  </pic:nvPicPr>
                  <pic:blipFill>
                    <a:blip r:embed="rId12"/>
                    <a:stretch>
                      <a:fillRect/>
                    </a:stretch>
                  </pic:blipFill>
                  <pic:spPr>
                    <a:xfrm>
                      <a:off x="0" y="0"/>
                      <a:ext cx="5040000" cy="3274444"/>
                    </a:xfrm>
                    <a:prstGeom prst="rect"/>
                  </pic:spPr>
                </pic:pic>
              </a:graphicData>
            </a:graphic>
          </wp:inline>
        </w:drawing>
      </w:r>
    </w:p>
    <w:p>
      <w:pPr>
        <w:spacing w:after="240"/>
        <w:jc w:val="center"/>
      </w:pPr>
      <w:r>
        <w:rPr>
          <w:i/>
          <w:color w:val="404040"/>
          <w:sz w:val="20"/>
        </w:rPr>
        <w:t>Figura 3. Distribución del número de rdfs:label por ontología. E4 declara una media de 43 etiquetas por ontología, frente a 0–1 en E1/E2/E3. Es la métrica donde la diferencia entre estrategias resulta más drástica.</w:t>
      </w:r>
    </w:p>
    <w:p>
      <w:pPr>
        <w:pStyle w:val="Heading2"/>
      </w:pPr>
      <w:r>
        <w:t>8.4. Visión multimétrica</w:t>
      </w:r>
    </w:p>
    <w:p>
      <w:pPr>
        <w:jc w:val="center"/>
      </w:pPr>
      <w:r>
        <w:drawing>
          <wp:inline xmlns:a="http://schemas.openxmlformats.org/drawingml/2006/main" xmlns:pic="http://schemas.openxmlformats.org/drawingml/2006/picture">
            <wp:extent cx="5040000" cy="4362635"/>
            <wp:docPr id="5" name="Picture 5"/>
            <wp:cNvGraphicFramePr>
              <a:graphicFrameLocks noChangeAspect="1"/>
            </wp:cNvGraphicFramePr>
            <a:graphic>
              <a:graphicData uri="http://schemas.openxmlformats.org/drawingml/2006/picture">
                <pic:pic>
                  <pic:nvPicPr>
                    <pic:cNvPr id="0" name="fig04_radar_richness.png"/>
                    <pic:cNvPicPr/>
                  </pic:nvPicPr>
                  <pic:blipFill>
                    <a:blip r:embed="rId13"/>
                    <a:stretch>
                      <a:fillRect/>
                    </a:stretch>
                  </pic:blipFill>
                  <pic:spPr>
                    <a:xfrm>
                      <a:off x="0" y="0"/>
                      <a:ext cx="5040000" cy="4362635"/>
                    </a:xfrm>
                    <a:prstGeom prst="rect"/>
                  </pic:spPr>
                </pic:pic>
              </a:graphicData>
            </a:graphic>
          </wp:inline>
        </w:drawing>
      </w:r>
    </w:p>
    <w:p>
      <w:pPr>
        <w:spacing w:after="240"/>
        <w:jc w:val="center"/>
      </w:pPr>
      <w:r>
        <w:rPr>
          <w:i/>
          <w:color w:val="404040"/>
          <w:sz w:val="20"/>
        </w:rPr>
        <w:t>Figura 4. Diagrama radar normalizado (cada eje al máximo observado en el experimento). E4 satura el radar; E1, E2 y E3 cubren entre el 25 % y el 50 % en clases y propiedades, y prácticamente 0 % en labels.</w:t>
      </w:r>
    </w:p>
    <w:p>
      <w:pPr>
        <w:pStyle w:val="Heading2"/>
      </w:pPr>
      <w:r>
        <w:t>8.5. Tabla resumen consolidada</w:t>
      </w:r>
    </w:p>
    <w:p>
      <w:pPr>
        <w:pStyle w:val="Caption"/>
        <w:jc w:val="center"/>
        <w:spacing w:before="120" w:after="60"/>
      </w:pPr>
      <w:r>
        <w:rPr>
          <w:b/>
          <w:sz w:val="20"/>
          <w:i/>
        </w:rPr>
        <w:t xml:space="preserve">Tabla 11. </w:t>
      </w:r>
      <w:r>
        <w:rPr>
          <w:sz w:val="20"/>
          <w:i/>
        </w:rPr>
        <w:t>Tabla resumen consolidada — métricas absolutas por experimento y base de datos</w:t>
      </w:r>
    </w:p>
    <w:tbl>
      <w:tblPr>
        <w:tblStyle w:val="TableGrid"/>
        <w:tblW w:type="auto" w:w="0"/>
        <w:tblLook w:firstColumn="1" w:firstRow="1" w:lastColumn="0" w:lastRow="0" w:noHBand="0" w:noVBand="1" w:val="04A0"/>
      </w:tblPr>
      <w:tblGrid>
        <w:gridCol w:w="982"/>
        <w:gridCol w:w="982"/>
        <w:gridCol w:w="982"/>
        <w:gridCol w:w="982"/>
        <w:gridCol w:w="982"/>
        <w:gridCol w:w="982"/>
        <w:gridCol w:w="982"/>
        <w:gridCol w:w="982"/>
        <w:gridCol w:w="982"/>
      </w:tblGrid>
      <w:tr>
        <w:tc>
          <w:tcPr>
            <w:tcW w:type="dxa" w:w="567"/>
            <w:shd w:val="clear" w:color="auto" w:fill="1F4E79"/>
            <w:vAlign w:val="center"/>
          </w:tcPr>
          <w:p>
            <w:pPr>
              <w:jc w:val="center"/>
            </w:pPr>
            <w:r/>
            <w:r>
              <w:rPr>
                <w:b/>
                <w:color w:val="FFFFFF"/>
                <w:sz w:val="20"/>
              </w:rPr>
              <w:t>Exp</w:t>
            </w:r>
          </w:p>
        </w:tc>
        <w:tc>
          <w:tcPr>
            <w:tcW w:type="dxa" w:w="1247"/>
            <w:shd w:val="clear" w:color="auto" w:fill="1F4E79"/>
            <w:vAlign w:val="center"/>
          </w:tcPr>
          <w:p>
            <w:pPr>
              <w:jc w:val="center"/>
            </w:pPr>
            <w:r/>
            <w:r>
              <w:rPr>
                <w:b/>
                <w:color w:val="FFFFFF"/>
                <w:sz w:val="20"/>
              </w:rPr>
              <w:t>BBDD</w:t>
            </w:r>
          </w:p>
        </w:tc>
        <w:tc>
          <w:tcPr>
            <w:tcW w:type="dxa" w:w="907"/>
            <w:shd w:val="clear" w:color="auto" w:fill="1F4E79"/>
            <w:vAlign w:val="center"/>
          </w:tcPr>
          <w:p>
            <w:pPr>
              <w:jc w:val="center"/>
            </w:pPr>
            <w:r/>
            <w:r>
              <w:rPr>
                <w:b/>
                <w:color w:val="FFFFFF"/>
                <w:sz w:val="20"/>
              </w:rPr>
              <w:t>runs_ok</w:t>
            </w:r>
          </w:p>
        </w:tc>
        <w:tc>
          <w:tcPr>
            <w:tcW w:type="dxa" w:w="964"/>
            <w:shd w:val="clear" w:color="auto" w:fill="1F4E79"/>
            <w:vAlign w:val="center"/>
          </w:tcPr>
          <w:p>
            <w:pPr>
              <w:jc w:val="center"/>
            </w:pPr>
            <w:r/>
            <w:r>
              <w:rPr>
                <w:b/>
                <w:color w:val="FFFFFF"/>
                <w:sz w:val="20"/>
              </w:rPr>
              <w:t>n_triples</w:t>
            </w:r>
          </w:p>
        </w:tc>
        <w:tc>
          <w:tcPr>
            <w:tcW w:type="dxa" w:w="907"/>
            <w:shd w:val="clear" w:color="auto" w:fill="1F4E79"/>
            <w:vAlign w:val="center"/>
          </w:tcPr>
          <w:p>
            <w:pPr>
              <w:jc w:val="center"/>
            </w:pPr>
            <w:r/>
            <w:r>
              <w:rPr>
                <w:b/>
                <w:color w:val="FFFFFF"/>
                <w:sz w:val="20"/>
              </w:rPr>
              <w:t>n_classes</w:t>
            </w:r>
          </w:p>
        </w:tc>
        <w:tc>
          <w:tcPr>
            <w:tcW w:type="dxa" w:w="964"/>
            <w:shd w:val="clear" w:color="auto" w:fill="1F4E79"/>
            <w:vAlign w:val="center"/>
          </w:tcPr>
          <w:p>
            <w:pPr>
              <w:jc w:val="center"/>
            </w:pPr>
            <w:r/>
            <w:r>
              <w:rPr>
                <w:b/>
                <w:color w:val="FFFFFF"/>
                <w:sz w:val="20"/>
              </w:rPr>
              <w:t>n_obj_props</w:t>
            </w:r>
          </w:p>
        </w:tc>
        <w:tc>
          <w:tcPr>
            <w:tcW w:type="dxa" w:w="964"/>
            <w:shd w:val="clear" w:color="auto" w:fill="1F4E79"/>
            <w:vAlign w:val="center"/>
          </w:tcPr>
          <w:p>
            <w:pPr>
              <w:jc w:val="center"/>
            </w:pPr>
            <w:r/>
            <w:r>
              <w:rPr>
                <w:b/>
                <w:color w:val="FFFFFF"/>
                <w:sz w:val="20"/>
              </w:rPr>
              <w:t>n_data_props</w:t>
            </w:r>
          </w:p>
        </w:tc>
        <w:tc>
          <w:tcPr>
            <w:tcW w:type="dxa" w:w="1020"/>
            <w:shd w:val="clear" w:color="auto" w:fill="1F4E79"/>
            <w:vAlign w:val="center"/>
          </w:tcPr>
          <w:p>
            <w:pPr>
              <w:jc w:val="center"/>
            </w:pPr>
            <w:r/>
            <w:r>
              <w:rPr>
                <w:b/>
                <w:color w:val="FFFFFF"/>
                <w:sz w:val="20"/>
              </w:rPr>
              <w:t>n_subClassOf</w:t>
            </w:r>
          </w:p>
        </w:tc>
        <w:tc>
          <w:tcPr>
            <w:tcW w:type="dxa" w:w="964"/>
            <w:shd w:val="clear" w:color="auto" w:fill="1F4E79"/>
            <w:vAlign w:val="center"/>
          </w:tcPr>
          <w:p>
            <w:pPr>
              <w:jc w:val="center"/>
            </w:pPr>
            <w:r/>
            <w:r>
              <w:rPr>
                <w:b/>
                <w:color w:val="FFFFFF"/>
                <w:sz w:val="20"/>
              </w:rPr>
              <w:t>n_labels</w:t>
            </w:r>
          </w:p>
        </w:tc>
      </w:tr>
      <w:tr>
        <w:tc>
          <w:tcPr>
            <w:tcW w:type="dxa" w:w="567"/>
            <w:vAlign w:val="center"/>
          </w:tcPr>
          <w:p>
            <w:r/>
            <w:r>
              <w:rPr>
                <w:sz w:val="20"/>
              </w:rPr>
              <w:t>E1</w:t>
            </w:r>
          </w:p>
        </w:tc>
        <w:tc>
          <w:tcPr>
            <w:tcW w:type="dxa" w:w="1247"/>
            <w:vAlign w:val="center"/>
          </w:tcPr>
          <w:p>
            <w:r/>
            <w:r>
              <w:rPr>
                <w:sz w:val="20"/>
              </w:rPr>
              <w:t>FANTOM5</w:t>
            </w:r>
          </w:p>
        </w:tc>
        <w:tc>
          <w:tcPr>
            <w:tcW w:type="dxa" w:w="907"/>
            <w:vAlign w:val="center"/>
          </w:tcPr>
          <w:p>
            <w:r/>
            <w:r>
              <w:rPr>
                <w:sz w:val="20"/>
              </w:rPr>
              <w:t>3/3</w:t>
            </w:r>
          </w:p>
        </w:tc>
        <w:tc>
          <w:tcPr>
            <w:tcW w:type="dxa" w:w="964"/>
            <w:vAlign w:val="center"/>
          </w:tcPr>
          <w:p>
            <w:r/>
            <w:r>
              <w:rPr>
                <w:sz w:val="20"/>
              </w:rPr>
              <w:t>51.7</w:t>
            </w:r>
          </w:p>
        </w:tc>
        <w:tc>
          <w:tcPr>
            <w:tcW w:type="dxa" w:w="907"/>
            <w:vAlign w:val="center"/>
          </w:tcPr>
          <w:p>
            <w:r/>
            <w:r>
              <w:rPr>
                <w:sz w:val="20"/>
              </w:rPr>
              <w:t>2.7</w:t>
            </w:r>
          </w:p>
        </w:tc>
        <w:tc>
          <w:tcPr>
            <w:tcW w:type="dxa" w:w="964"/>
            <w:vAlign w:val="center"/>
          </w:tcPr>
          <w:p>
            <w:r/>
            <w:r>
              <w:rPr>
                <w:sz w:val="20"/>
              </w:rPr>
              <w:t>1.3</w:t>
            </w:r>
          </w:p>
        </w:tc>
        <w:tc>
          <w:tcPr>
            <w:tcW w:type="dxa" w:w="964"/>
            <w:vAlign w:val="center"/>
          </w:tcPr>
          <w:p>
            <w:r/>
            <w:r>
              <w:rPr>
                <w:sz w:val="20"/>
              </w:rPr>
              <w:t>6.3</w:t>
            </w:r>
          </w:p>
        </w:tc>
        <w:tc>
          <w:tcPr>
            <w:tcW w:type="dxa" w:w="1020"/>
            <w:vAlign w:val="center"/>
          </w:tcPr>
          <w:p>
            <w:r/>
            <w:r>
              <w:rPr>
                <w:sz w:val="20"/>
              </w:rPr>
              <w:t>0.0</w:t>
            </w:r>
          </w:p>
        </w:tc>
        <w:tc>
          <w:tcPr>
            <w:tcW w:type="dxa" w:w="964"/>
            <w:vAlign w:val="center"/>
          </w:tcPr>
          <w:p>
            <w:r/>
            <w:r>
              <w:rPr>
                <w:sz w:val="20"/>
              </w:rPr>
              <w:t>0.0</w:t>
            </w:r>
          </w:p>
        </w:tc>
      </w:tr>
      <w:tr>
        <w:tc>
          <w:tcPr>
            <w:tcW w:type="dxa" w:w="567"/>
            <w:shd w:val="clear" w:color="auto" w:fill="F2F6FA"/>
            <w:vAlign w:val="center"/>
          </w:tcPr>
          <w:p>
            <w:r/>
            <w:r>
              <w:rPr>
                <w:sz w:val="20"/>
              </w:rPr>
              <w:t>E1</w:t>
            </w:r>
          </w:p>
        </w:tc>
        <w:tc>
          <w:tcPr>
            <w:tcW w:type="dxa" w:w="1247"/>
            <w:shd w:val="clear" w:color="auto" w:fill="F2F6FA"/>
            <w:vAlign w:val="center"/>
          </w:tcPr>
          <w:p>
            <w:r/>
            <w:r>
              <w:rPr>
                <w:sz w:val="20"/>
              </w:rPr>
              <w:t>dbSUPER</w:t>
            </w:r>
          </w:p>
        </w:tc>
        <w:tc>
          <w:tcPr>
            <w:tcW w:type="dxa" w:w="907"/>
            <w:shd w:val="clear" w:color="auto" w:fill="F2F6FA"/>
            <w:vAlign w:val="center"/>
          </w:tcPr>
          <w:p>
            <w:r/>
            <w:r>
              <w:rPr>
                <w:sz w:val="20"/>
              </w:rPr>
              <w:t>3/3</w:t>
            </w:r>
          </w:p>
        </w:tc>
        <w:tc>
          <w:tcPr>
            <w:tcW w:type="dxa" w:w="964"/>
            <w:shd w:val="clear" w:color="auto" w:fill="F2F6FA"/>
            <w:vAlign w:val="center"/>
          </w:tcPr>
          <w:p>
            <w:r/>
            <w:r>
              <w:rPr>
                <w:sz w:val="20"/>
              </w:rPr>
              <w:t>55.3</w:t>
            </w:r>
          </w:p>
        </w:tc>
        <w:tc>
          <w:tcPr>
            <w:tcW w:type="dxa" w:w="907"/>
            <w:shd w:val="clear" w:color="auto" w:fill="F2F6FA"/>
            <w:vAlign w:val="center"/>
          </w:tcPr>
          <w:p>
            <w:r/>
            <w:r>
              <w:rPr>
                <w:sz w:val="20"/>
              </w:rPr>
              <w:t>5.0</w:t>
            </w:r>
          </w:p>
        </w:tc>
        <w:tc>
          <w:tcPr>
            <w:tcW w:type="dxa" w:w="964"/>
            <w:shd w:val="clear" w:color="auto" w:fill="F2F6FA"/>
            <w:vAlign w:val="center"/>
          </w:tcPr>
          <w:p>
            <w:r/>
            <w:r>
              <w:rPr>
                <w:sz w:val="20"/>
              </w:rPr>
              <w:t>3.0</w:t>
            </w:r>
          </w:p>
        </w:tc>
        <w:tc>
          <w:tcPr>
            <w:tcW w:type="dxa" w:w="964"/>
            <w:shd w:val="clear" w:color="auto" w:fill="F2F6FA"/>
            <w:vAlign w:val="center"/>
          </w:tcPr>
          <w:p>
            <w:r/>
            <w:r>
              <w:rPr>
                <w:sz w:val="20"/>
              </w:rPr>
              <w:t>4.0</w:t>
            </w:r>
          </w:p>
        </w:tc>
        <w:tc>
          <w:tcPr>
            <w:tcW w:type="dxa" w:w="1020"/>
            <w:shd w:val="clear" w:color="auto" w:fill="F2F6FA"/>
            <w:vAlign w:val="center"/>
          </w:tcPr>
          <w:p>
            <w:r/>
            <w:r>
              <w:rPr>
                <w:sz w:val="20"/>
              </w:rPr>
              <w:t>0.3</w:t>
            </w:r>
          </w:p>
        </w:tc>
        <w:tc>
          <w:tcPr>
            <w:tcW w:type="dxa" w:w="964"/>
            <w:shd w:val="clear" w:color="auto" w:fill="F2F6FA"/>
            <w:vAlign w:val="center"/>
          </w:tcPr>
          <w:p>
            <w:r/>
            <w:r>
              <w:rPr>
                <w:sz w:val="20"/>
              </w:rPr>
              <w:t>0.0</w:t>
            </w:r>
          </w:p>
        </w:tc>
      </w:tr>
      <w:tr>
        <w:tc>
          <w:tcPr>
            <w:tcW w:type="dxa" w:w="567"/>
            <w:vAlign w:val="center"/>
          </w:tcPr>
          <w:p>
            <w:r/>
            <w:r>
              <w:rPr>
                <w:sz w:val="20"/>
              </w:rPr>
              <w:t>E1</w:t>
            </w:r>
          </w:p>
        </w:tc>
        <w:tc>
          <w:tcPr>
            <w:tcW w:type="dxa" w:w="1247"/>
            <w:vAlign w:val="center"/>
          </w:tcPr>
          <w:p>
            <w:r/>
            <w:r>
              <w:rPr>
                <w:sz w:val="20"/>
              </w:rPr>
              <w:t>HACER</w:t>
            </w:r>
          </w:p>
        </w:tc>
        <w:tc>
          <w:tcPr>
            <w:tcW w:type="dxa" w:w="907"/>
            <w:vAlign w:val="center"/>
          </w:tcPr>
          <w:p>
            <w:r/>
            <w:r>
              <w:rPr>
                <w:sz w:val="20"/>
              </w:rPr>
              <w:t>3/3</w:t>
            </w:r>
          </w:p>
        </w:tc>
        <w:tc>
          <w:tcPr>
            <w:tcW w:type="dxa" w:w="964"/>
            <w:vAlign w:val="center"/>
          </w:tcPr>
          <w:p>
            <w:r/>
            <w:r>
              <w:rPr>
                <w:sz w:val="20"/>
              </w:rPr>
              <w:t>61.3</w:t>
            </w:r>
          </w:p>
        </w:tc>
        <w:tc>
          <w:tcPr>
            <w:tcW w:type="dxa" w:w="907"/>
            <w:vAlign w:val="center"/>
          </w:tcPr>
          <w:p>
            <w:r/>
            <w:r>
              <w:rPr>
                <w:sz w:val="20"/>
              </w:rPr>
              <w:t>4.3</w:t>
            </w:r>
          </w:p>
        </w:tc>
        <w:tc>
          <w:tcPr>
            <w:tcW w:type="dxa" w:w="964"/>
            <w:vAlign w:val="center"/>
          </w:tcPr>
          <w:p>
            <w:r/>
            <w:r>
              <w:rPr>
                <w:sz w:val="20"/>
              </w:rPr>
              <w:t>3.0</w:t>
            </w:r>
          </w:p>
        </w:tc>
        <w:tc>
          <w:tcPr>
            <w:tcW w:type="dxa" w:w="964"/>
            <w:vAlign w:val="center"/>
          </w:tcPr>
          <w:p>
            <w:r/>
            <w:r>
              <w:rPr>
                <w:sz w:val="20"/>
              </w:rPr>
              <w:t>6.0</w:t>
            </w:r>
          </w:p>
        </w:tc>
        <w:tc>
          <w:tcPr>
            <w:tcW w:type="dxa" w:w="1020"/>
            <w:vAlign w:val="center"/>
          </w:tcPr>
          <w:p>
            <w:r/>
            <w:r>
              <w:rPr>
                <w:sz w:val="20"/>
              </w:rPr>
              <w:t>0.0</w:t>
            </w:r>
          </w:p>
        </w:tc>
        <w:tc>
          <w:tcPr>
            <w:tcW w:type="dxa" w:w="964"/>
            <w:vAlign w:val="center"/>
          </w:tcPr>
          <w:p>
            <w:r/>
            <w:r>
              <w:rPr>
                <w:sz w:val="20"/>
              </w:rPr>
              <w:t>0.0</w:t>
            </w:r>
          </w:p>
        </w:tc>
      </w:tr>
      <w:tr>
        <w:tc>
          <w:tcPr>
            <w:tcW w:type="dxa" w:w="567"/>
            <w:shd w:val="clear" w:color="auto" w:fill="F2F6FA"/>
            <w:vAlign w:val="center"/>
          </w:tcPr>
          <w:p>
            <w:r/>
            <w:r>
              <w:rPr>
                <w:sz w:val="20"/>
              </w:rPr>
              <w:t>E1</w:t>
            </w:r>
          </w:p>
        </w:tc>
        <w:tc>
          <w:tcPr>
            <w:tcW w:type="dxa" w:w="1247"/>
            <w:shd w:val="clear" w:color="auto" w:fill="F2F6FA"/>
            <w:vAlign w:val="center"/>
          </w:tcPr>
          <w:p>
            <w:r/>
            <w:r>
              <w:rPr>
                <w:sz w:val="20"/>
              </w:rPr>
              <w:t>DisEnh.</w:t>
            </w:r>
          </w:p>
        </w:tc>
        <w:tc>
          <w:tcPr>
            <w:tcW w:type="dxa" w:w="907"/>
            <w:shd w:val="clear" w:color="auto" w:fill="F2F6FA"/>
            <w:vAlign w:val="center"/>
          </w:tcPr>
          <w:p>
            <w:r/>
            <w:r>
              <w:rPr>
                <w:sz w:val="20"/>
              </w:rPr>
              <w:t>3/3</w:t>
            </w:r>
          </w:p>
        </w:tc>
        <w:tc>
          <w:tcPr>
            <w:tcW w:type="dxa" w:w="964"/>
            <w:shd w:val="clear" w:color="auto" w:fill="F2F6FA"/>
            <w:vAlign w:val="center"/>
          </w:tcPr>
          <w:p>
            <w:r/>
            <w:r>
              <w:rPr>
                <w:sz w:val="20"/>
              </w:rPr>
              <w:t>41.3</w:t>
            </w:r>
          </w:p>
        </w:tc>
        <w:tc>
          <w:tcPr>
            <w:tcW w:type="dxa" w:w="907"/>
            <w:shd w:val="clear" w:color="auto" w:fill="F2F6FA"/>
            <w:vAlign w:val="center"/>
          </w:tcPr>
          <w:p>
            <w:r/>
            <w:r>
              <w:rPr>
                <w:sz w:val="20"/>
              </w:rPr>
              <w:t>4.3</w:t>
            </w:r>
          </w:p>
        </w:tc>
        <w:tc>
          <w:tcPr>
            <w:tcW w:type="dxa" w:w="964"/>
            <w:shd w:val="clear" w:color="auto" w:fill="F2F6FA"/>
            <w:vAlign w:val="center"/>
          </w:tcPr>
          <w:p>
            <w:r/>
            <w:r>
              <w:rPr>
                <w:sz w:val="20"/>
              </w:rPr>
              <w:t>2.0</w:t>
            </w:r>
          </w:p>
        </w:tc>
        <w:tc>
          <w:tcPr>
            <w:tcW w:type="dxa" w:w="964"/>
            <w:shd w:val="clear" w:color="auto" w:fill="F2F6FA"/>
            <w:vAlign w:val="center"/>
          </w:tcPr>
          <w:p>
            <w:r/>
            <w:r>
              <w:rPr>
                <w:sz w:val="20"/>
              </w:rPr>
              <w:t>3.0</w:t>
            </w:r>
          </w:p>
        </w:tc>
        <w:tc>
          <w:tcPr>
            <w:tcW w:type="dxa" w:w="1020"/>
            <w:shd w:val="clear" w:color="auto" w:fill="F2F6FA"/>
            <w:vAlign w:val="center"/>
          </w:tcPr>
          <w:p>
            <w:r/>
            <w:r>
              <w:rPr>
                <w:sz w:val="20"/>
              </w:rPr>
              <w:t>0.0</w:t>
            </w:r>
          </w:p>
        </w:tc>
        <w:tc>
          <w:tcPr>
            <w:tcW w:type="dxa" w:w="964"/>
            <w:shd w:val="clear" w:color="auto" w:fill="F2F6FA"/>
            <w:vAlign w:val="center"/>
          </w:tcPr>
          <w:p>
            <w:r/>
            <w:r>
              <w:rPr>
                <w:sz w:val="20"/>
              </w:rPr>
              <w:t>0.0</w:t>
            </w:r>
          </w:p>
        </w:tc>
      </w:tr>
      <w:tr>
        <w:tc>
          <w:tcPr>
            <w:tcW w:type="dxa" w:w="567"/>
            <w:vAlign w:val="center"/>
          </w:tcPr>
          <w:p>
            <w:r/>
            <w:r>
              <w:rPr>
                <w:sz w:val="20"/>
              </w:rPr>
              <w:t>E2</w:t>
            </w:r>
          </w:p>
        </w:tc>
        <w:tc>
          <w:tcPr>
            <w:tcW w:type="dxa" w:w="1247"/>
            <w:vAlign w:val="center"/>
          </w:tcPr>
          <w:p>
            <w:r/>
            <w:r>
              <w:rPr>
                <w:sz w:val="20"/>
              </w:rPr>
              <w:t>FANTOM5</w:t>
            </w:r>
          </w:p>
        </w:tc>
        <w:tc>
          <w:tcPr>
            <w:tcW w:type="dxa" w:w="907"/>
            <w:vAlign w:val="center"/>
          </w:tcPr>
          <w:p>
            <w:r/>
            <w:r>
              <w:rPr>
                <w:sz w:val="20"/>
              </w:rPr>
              <w:t>3/3</w:t>
            </w:r>
          </w:p>
        </w:tc>
        <w:tc>
          <w:tcPr>
            <w:tcW w:type="dxa" w:w="964"/>
            <w:vAlign w:val="center"/>
          </w:tcPr>
          <w:p>
            <w:r/>
            <w:r>
              <w:rPr>
                <w:sz w:val="20"/>
              </w:rPr>
              <w:t>66.0</w:t>
            </w:r>
          </w:p>
        </w:tc>
        <w:tc>
          <w:tcPr>
            <w:tcW w:type="dxa" w:w="907"/>
            <w:vAlign w:val="center"/>
          </w:tcPr>
          <w:p>
            <w:r/>
            <w:r>
              <w:rPr>
                <w:sz w:val="20"/>
              </w:rPr>
              <w:t>4.0</w:t>
            </w:r>
          </w:p>
        </w:tc>
        <w:tc>
          <w:tcPr>
            <w:tcW w:type="dxa" w:w="964"/>
            <w:vAlign w:val="center"/>
          </w:tcPr>
          <w:p>
            <w:r/>
            <w:r>
              <w:rPr>
                <w:sz w:val="20"/>
              </w:rPr>
              <w:t>3.0</w:t>
            </w:r>
          </w:p>
        </w:tc>
        <w:tc>
          <w:tcPr>
            <w:tcW w:type="dxa" w:w="964"/>
            <w:vAlign w:val="center"/>
          </w:tcPr>
          <w:p>
            <w:r/>
            <w:r>
              <w:rPr>
                <w:sz w:val="20"/>
              </w:rPr>
              <w:t>7.3</w:t>
            </w:r>
          </w:p>
        </w:tc>
        <w:tc>
          <w:tcPr>
            <w:tcW w:type="dxa" w:w="1020"/>
            <w:vAlign w:val="center"/>
          </w:tcPr>
          <w:p>
            <w:r/>
            <w:r>
              <w:rPr>
                <w:sz w:val="20"/>
              </w:rPr>
              <w:t>0.0</w:t>
            </w:r>
          </w:p>
        </w:tc>
        <w:tc>
          <w:tcPr>
            <w:tcW w:type="dxa" w:w="964"/>
            <w:vAlign w:val="center"/>
          </w:tcPr>
          <w:p>
            <w:r/>
            <w:r>
              <w:rPr>
                <w:sz w:val="20"/>
              </w:rPr>
              <w:t>1.0</w:t>
            </w:r>
          </w:p>
        </w:tc>
      </w:tr>
      <w:tr>
        <w:tc>
          <w:tcPr>
            <w:tcW w:type="dxa" w:w="567"/>
            <w:shd w:val="clear" w:color="auto" w:fill="F2F6FA"/>
            <w:vAlign w:val="center"/>
          </w:tcPr>
          <w:p>
            <w:r/>
            <w:r>
              <w:rPr>
                <w:sz w:val="20"/>
              </w:rPr>
              <w:t>E2</w:t>
            </w:r>
          </w:p>
        </w:tc>
        <w:tc>
          <w:tcPr>
            <w:tcW w:type="dxa" w:w="1247"/>
            <w:shd w:val="clear" w:color="auto" w:fill="F2F6FA"/>
            <w:vAlign w:val="center"/>
          </w:tcPr>
          <w:p>
            <w:r/>
            <w:r>
              <w:rPr>
                <w:sz w:val="20"/>
              </w:rPr>
              <w:t>dbSUPER</w:t>
            </w:r>
          </w:p>
        </w:tc>
        <w:tc>
          <w:tcPr>
            <w:tcW w:type="dxa" w:w="907"/>
            <w:shd w:val="clear" w:color="auto" w:fill="F2F6FA"/>
            <w:vAlign w:val="center"/>
          </w:tcPr>
          <w:p>
            <w:r/>
            <w:r>
              <w:rPr>
                <w:sz w:val="20"/>
              </w:rPr>
              <w:t>3/3</w:t>
            </w:r>
          </w:p>
        </w:tc>
        <w:tc>
          <w:tcPr>
            <w:tcW w:type="dxa" w:w="964"/>
            <w:shd w:val="clear" w:color="auto" w:fill="F2F6FA"/>
            <w:vAlign w:val="center"/>
          </w:tcPr>
          <w:p>
            <w:r/>
            <w:r>
              <w:rPr>
                <w:sz w:val="20"/>
              </w:rPr>
              <w:t>50.0</w:t>
            </w:r>
          </w:p>
        </w:tc>
        <w:tc>
          <w:tcPr>
            <w:tcW w:type="dxa" w:w="907"/>
            <w:shd w:val="clear" w:color="auto" w:fill="F2F6FA"/>
            <w:vAlign w:val="center"/>
          </w:tcPr>
          <w:p>
            <w:r/>
            <w:r>
              <w:rPr>
                <w:sz w:val="20"/>
              </w:rPr>
              <w:t>4.0</w:t>
            </w:r>
          </w:p>
        </w:tc>
        <w:tc>
          <w:tcPr>
            <w:tcW w:type="dxa" w:w="964"/>
            <w:shd w:val="clear" w:color="auto" w:fill="F2F6FA"/>
            <w:vAlign w:val="center"/>
          </w:tcPr>
          <w:p>
            <w:r/>
            <w:r>
              <w:rPr>
                <w:sz w:val="20"/>
              </w:rPr>
              <w:t>2.7</w:t>
            </w:r>
          </w:p>
        </w:tc>
        <w:tc>
          <w:tcPr>
            <w:tcW w:type="dxa" w:w="964"/>
            <w:shd w:val="clear" w:color="auto" w:fill="F2F6FA"/>
            <w:vAlign w:val="center"/>
          </w:tcPr>
          <w:p>
            <w:r/>
            <w:r>
              <w:rPr>
                <w:sz w:val="20"/>
              </w:rPr>
              <w:t>5.0</w:t>
            </w:r>
          </w:p>
        </w:tc>
        <w:tc>
          <w:tcPr>
            <w:tcW w:type="dxa" w:w="1020"/>
            <w:shd w:val="clear" w:color="auto" w:fill="F2F6FA"/>
            <w:vAlign w:val="center"/>
          </w:tcPr>
          <w:p>
            <w:r/>
            <w:r>
              <w:rPr>
                <w:sz w:val="20"/>
              </w:rPr>
              <w:t>0.0</w:t>
            </w:r>
          </w:p>
        </w:tc>
        <w:tc>
          <w:tcPr>
            <w:tcW w:type="dxa" w:w="964"/>
            <w:shd w:val="clear" w:color="auto" w:fill="F2F6FA"/>
            <w:vAlign w:val="center"/>
          </w:tcPr>
          <w:p>
            <w:r/>
            <w:r>
              <w:rPr>
                <w:sz w:val="20"/>
              </w:rPr>
              <w:t>0.7</w:t>
            </w:r>
          </w:p>
        </w:tc>
      </w:tr>
      <w:tr>
        <w:tc>
          <w:tcPr>
            <w:tcW w:type="dxa" w:w="567"/>
            <w:vAlign w:val="center"/>
          </w:tcPr>
          <w:p>
            <w:r/>
            <w:r>
              <w:rPr>
                <w:sz w:val="20"/>
              </w:rPr>
              <w:t>E2</w:t>
            </w:r>
          </w:p>
        </w:tc>
        <w:tc>
          <w:tcPr>
            <w:tcW w:type="dxa" w:w="1247"/>
            <w:vAlign w:val="center"/>
          </w:tcPr>
          <w:p>
            <w:r/>
            <w:r>
              <w:rPr>
                <w:sz w:val="20"/>
              </w:rPr>
              <w:t>HACER</w:t>
            </w:r>
          </w:p>
        </w:tc>
        <w:tc>
          <w:tcPr>
            <w:tcW w:type="dxa" w:w="907"/>
            <w:vAlign w:val="center"/>
          </w:tcPr>
          <w:p>
            <w:r/>
            <w:r>
              <w:rPr>
                <w:sz w:val="20"/>
              </w:rPr>
              <w:t>3/3</w:t>
            </w:r>
          </w:p>
        </w:tc>
        <w:tc>
          <w:tcPr>
            <w:tcW w:type="dxa" w:w="964"/>
            <w:vAlign w:val="center"/>
          </w:tcPr>
          <w:p>
            <w:r/>
            <w:r>
              <w:rPr>
                <w:sz w:val="20"/>
              </w:rPr>
              <w:t>53.7</w:t>
            </w:r>
          </w:p>
        </w:tc>
        <w:tc>
          <w:tcPr>
            <w:tcW w:type="dxa" w:w="907"/>
            <w:vAlign w:val="center"/>
          </w:tcPr>
          <w:p>
            <w:r/>
            <w:r>
              <w:rPr>
                <w:sz w:val="20"/>
              </w:rPr>
              <w:t>4.7</w:t>
            </w:r>
          </w:p>
        </w:tc>
        <w:tc>
          <w:tcPr>
            <w:tcW w:type="dxa" w:w="964"/>
            <w:vAlign w:val="center"/>
          </w:tcPr>
          <w:p>
            <w:r/>
            <w:r>
              <w:rPr>
                <w:sz w:val="20"/>
              </w:rPr>
              <w:t>3.3</w:t>
            </w:r>
          </w:p>
        </w:tc>
        <w:tc>
          <w:tcPr>
            <w:tcW w:type="dxa" w:w="964"/>
            <w:vAlign w:val="center"/>
          </w:tcPr>
          <w:p>
            <w:r/>
            <w:r>
              <w:rPr>
                <w:sz w:val="20"/>
              </w:rPr>
              <w:t>3.7</w:t>
            </w:r>
          </w:p>
        </w:tc>
        <w:tc>
          <w:tcPr>
            <w:tcW w:type="dxa" w:w="1020"/>
            <w:vAlign w:val="center"/>
          </w:tcPr>
          <w:p>
            <w:r/>
            <w:r>
              <w:rPr>
                <w:sz w:val="20"/>
              </w:rPr>
              <w:t>0.0</w:t>
            </w:r>
          </w:p>
        </w:tc>
        <w:tc>
          <w:tcPr>
            <w:tcW w:type="dxa" w:w="964"/>
            <w:vAlign w:val="center"/>
          </w:tcPr>
          <w:p>
            <w:r/>
            <w:r>
              <w:rPr>
                <w:sz w:val="20"/>
              </w:rPr>
              <w:t>0.7</w:t>
            </w:r>
          </w:p>
        </w:tc>
      </w:tr>
      <w:tr>
        <w:tc>
          <w:tcPr>
            <w:tcW w:type="dxa" w:w="567"/>
            <w:shd w:val="clear" w:color="auto" w:fill="F2F6FA"/>
            <w:vAlign w:val="center"/>
          </w:tcPr>
          <w:p>
            <w:r/>
            <w:r>
              <w:rPr>
                <w:sz w:val="20"/>
              </w:rPr>
              <w:t>E2</w:t>
            </w:r>
          </w:p>
        </w:tc>
        <w:tc>
          <w:tcPr>
            <w:tcW w:type="dxa" w:w="1247"/>
            <w:shd w:val="clear" w:color="auto" w:fill="F2F6FA"/>
            <w:vAlign w:val="center"/>
          </w:tcPr>
          <w:p>
            <w:r/>
            <w:r>
              <w:rPr>
                <w:sz w:val="20"/>
              </w:rPr>
              <w:t>DisEnh.</w:t>
            </w:r>
          </w:p>
        </w:tc>
        <w:tc>
          <w:tcPr>
            <w:tcW w:type="dxa" w:w="907"/>
            <w:shd w:val="clear" w:color="auto" w:fill="F2F6FA"/>
            <w:vAlign w:val="center"/>
          </w:tcPr>
          <w:p>
            <w:r/>
            <w:r>
              <w:rPr>
                <w:sz w:val="20"/>
              </w:rPr>
              <w:t>3/3</w:t>
            </w:r>
          </w:p>
        </w:tc>
        <w:tc>
          <w:tcPr>
            <w:tcW w:type="dxa" w:w="964"/>
            <w:shd w:val="clear" w:color="auto" w:fill="F2F6FA"/>
            <w:vAlign w:val="center"/>
          </w:tcPr>
          <w:p>
            <w:r/>
            <w:r>
              <w:rPr>
                <w:sz w:val="20"/>
              </w:rPr>
              <w:t>99.0</w:t>
            </w:r>
          </w:p>
        </w:tc>
        <w:tc>
          <w:tcPr>
            <w:tcW w:type="dxa" w:w="907"/>
            <w:shd w:val="clear" w:color="auto" w:fill="F2F6FA"/>
            <w:vAlign w:val="center"/>
          </w:tcPr>
          <w:p>
            <w:r/>
            <w:r>
              <w:rPr>
                <w:sz w:val="20"/>
              </w:rPr>
              <w:t>4.3</w:t>
            </w:r>
          </w:p>
        </w:tc>
        <w:tc>
          <w:tcPr>
            <w:tcW w:type="dxa" w:w="964"/>
            <w:shd w:val="clear" w:color="auto" w:fill="F2F6FA"/>
            <w:vAlign w:val="center"/>
          </w:tcPr>
          <w:p>
            <w:r/>
            <w:r>
              <w:rPr>
                <w:sz w:val="20"/>
              </w:rPr>
              <w:t>3.3</w:t>
            </w:r>
          </w:p>
        </w:tc>
        <w:tc>
          <w:tcPr>
            <w:tcW w:type="dxa" w:w="964"/>
            <w:shd w:val="clear" w:color="auto" w:fill="F2F6FA"/>
            <w:vAlign w:val="center"/>
          </w:tcPr>
          <w:p>
            <w:r/>
            <w:r>
              <w:rPr>
                <w:sz w:val="20"/>
              </w:rPr>
              <w:t>4.7</w:t>
            </w:r>
          </w:p>
        </w:tc>
        <w:tc>
          <w:tcPr>
            <w:tcW w:type="dxa" w:w="1020"/>
            <w:shd w:val="clear" w:color="auto" w:fill="F2F6FA"/>
            <w:vAlign w:val="center"/>
          </w:tcPr>
          <w:p>
            <w:r/>
            <w:r>
              <w:rPr>
                <w:sz w:val="20"/>
              </w:rPr>
              <w:t>0.0</w:t>
            </w:r>
          </w:p>
        </w:tc>
        <w:tc>
          <w:tcPr>
            <w:tcW w:type="dxa" w:w="964"/>
            <w:shd w:val="clear" w:color="auto" w:fill="F2F6FA"/>
            <w:vAlign w:val="center"/>
          </w:tcPr>
          <w:p>
            <w:r/>
            <w:r>
              <w:rPr>
                <w:sz w:val="20"/>
              </w:rPr>
              <w:t>0.3</w:t>
            </w:r>
          </w:p>
        </w:tc>
      </w:tr>
      <w:tr>
        <w:tc>
          <w:tcPr>
            <w:tcW w:type="dxa" w:w="567"/>
            <w:vAlign w:val="center"/>
          </w:tcPr>
          <w:p>
            <w:r/>
            <w:r>
              <w:rPr>
                <w:sz w:val="20"/>
              </w:rPr>
              <w:t>E3</w:t>
            </w:r>
          </w:p>
        </w:tc>
        <w:tc>
          <w:tcPr>
            <w:tcW w:type="dxa" w:w="1247"/>
            <w:vAlign w:val="center"/>
          </w:tcPr>
          <w:p>
            <w:r/>
            <w:r>
              <w:rPr>
                <w:sz w:val="20"/>
              </w:rPr>
              <w:t>FANTOM5</w:t>
            </w:r>
          </w:p>
        </w:tc>
        <w:tc>
          <w:tcPr>
            <w:tcW w:type="dxa" w:w="907"/>
            <w:vAlign w:val="center"/>
          </w:tcPr>
          <w:p>
            <w:r/>
            <w:r>
              <w:rPr>
                <w:sz w:val="20"/>
              </w:rPr>
              <w:t>3/3</w:t>
            </w:r>
          </w:p>
        </w:tc>
        <w:tc>
          <w:tcPr>
            <w:tcW w:type="dxa" w:w="964"/>
            <w:vAlign w:val="center"/>
          </w:tcPr>
          <w:p>
            <w:r/>
            <w:r>
              <w:rPr>
                <w:sz w:val="20"/>
              </w:rPr>
              <w:t>37.0</w:t>
            </w:r>
          </w:p>
        </w:tc>
        <w:tc>
          <w:tcPr>
            <w:tcW w:type="dxa" w:w="907"/>
            <w:vAlign w:val="center"/>
          </w:tcPr>
          <w:p>
            <w:r/>
            <w:r>
              <w:rPr>
                <w:sz w:val="20"/>
              </w:rPr>
              <w:t>—</w:t>
            </w:r>
          </w:p>
        </w:tc>
        <w:tc>
          <w:tcPr>
            <w:tcW w:type="dxa" w:w="964"/>
            <w:vAlign w:val="center"/>
          </w:tcPr>
          <w:p>
            <w:r/>
            <w:r>
              <w:rPr>
                <w:sz w:val="20"/>
              </w:rPr>
              <w:t>—</w:t>
            </w:r>
          </w:p>
        </w:tc>
        <w:tc>
          <w:tcPr>
            <w:tcW w:type="dxa" w:w="964"/>
            <w:vAlign w:val="center"/>
          </w:tcPr>
          <w:p>
            <w:r/>
            <w:r>
              <w:rPr>
                <w:sz w:val="20"/>
              </w:rPr>
              <w:t>—</w:t>
            </w:r>
          </w:p>
        </w:tc>
        <w:tc>
          <w:tcPr>
            <w:tcW w:type="dxa" w:w="1020"/>
            <w:vAlign w:val="center"/>
          </w:tcPr>
          <w:p>
            <w:r/>
            <w:r>
              <w:rPr>
                <w:sz w:val="20"/>
              </w:rPr>
              <w:t>—</w:t>
            </w:r>
          </w:p>
        </w:tc>
        <w:tc>
          <w:tcPr>
            <w:tcW w:type="dxa" w:w="964"/>
            <w:vAlign w:val="center"/>
          </w:tcPr>
          <w:p>
            <w:r/>
            <w:r>
              <w:rPr>
                <w:sz w:val="20"/>
              </w:rPr>
              <w:t>—</w:t>
            </w:r>
          </w:p>
        </w:tc>
      </w:tr>
      <w:tr>
        <w:tc>
          <w:tcPr>
            <w:tcW w:type="dxa" w:w="567"/>
            <w:shd w:val="clear" w:color="auto" w:fill="F2F6FA"/>
            <w:vAlign w:val="center"/>
          </w:tcPr>
          <w:p>
            <w:r/>
            <w:r>
              <w:rPr>
                <w:sz w:val="20"/>
              </w:rPr>
              <w:t>E3</w:t>
            </w:r>
          </w:p>
        </w:tc>
        <w:tc>
          <w:tcPr>
            <w:tcW w:type="dxa" w:w="1247"/>
            <w:shd w:val="clear" w:color="auto" w:fill="F2F6FA"/>
            <w:vAlign w:val="center"/>
          </w:tcPr>
          <w:p>
            <w:r/>
            <w:r>
              <w:rPr>
                <w:sz w:val="20"/>
              </w:rPr>
              <w:t>dbSUPER</w:t>
            </w:r>
          </w:p>
        </w:tc>
        <w:tc>
          <w:tcPr>
            <w:tcW w:type="dxa" w:w="907"/>
            <w:shd w:val="clear" w:color="auto" w:fill="F2F6FA"/>
            <w:vAlign w:val="center"/>
          </w:tcPr>
          <w:p>
            <w:r/>
            <w:r>
              <w:rPr>
                <w:sz w:val="20"/>
              </w:rPr>
              <w:t>3/3</w:t>
            </w:r>
          </w:p>
        </w:tc>
        <w:tc>
          <w:tcPr>
            <w:tcW w:type="dxa" w:w="964"/>
            <w:shd w:val="clear" w:color="auto" w:fill="F2F6FA"/>
            <w:vAlign w:val="center"/>
          </w:tcPr>
          <w:p>
            <w:r/>
            <w:r>
              <w:rPr>
                <w:sz w:val="20"/>
              </w:rPr>
              <w:t>25.0</w:t>
            </w:r>
          </w:p>
        </w:tc>
        <w:tc>
          <w:tcPr>
            <w:tcW w:type="dxa" w:w="907"/>
            <w:shd w:val="clear" w:color="auto" w:fill="F2F6FA"/>
            <w:vAlign w:val="center"/>
          </w:tcPr>
          <w:p>
            <w:r/>
            <w:r>
              <w:rPr>
                <w:sz w:val="20"/>
              </w:rPr>
              <w:t>—</w:t>
            </w:r>
          </w:p>
        </w:tc>
        <w:tc>
          <w:tcPr>
            <w:tcW w:type="dxa" w:w="964"/>
            <w:shd w:val="clear" w:color="auto" w:fill="F2F6FA"/>
            <w:vAlign w:val="center"/>
          </w:tcPr>
          <w:p>
            <w:r/>
            <w:r>
              <w:rPr>
                <w:sz w:val="20"/>
              </w:rPr>
              <w:t>—</w:t>
            </w:r>
          </w:p>
        </w:tc>
        <w:tc>
          <w:tcPr>
            <w:tcW w:type="dxa" w:w="964"/>
            <w:shd w:val="clear" w:color="auto" w:fill="F2F6FA"/>
            <w:vAlign w:val="center"/>
          </w:tcPr>
          <w:p>
            <w:r/>
            <w:r>
              <w:rPr>
                <w:sz w:val="20"/>
              </w:rPr>
              <w:t>—</w:t>
            </w:r>
          </w:p>
        </w:tc>
        <w:tc>
          <w:tcPr>
            <w:tcW w:type="dxa" w:w="1020"/>
            <w:shd w:val="clear" w:color="auto" w:fill="F2F6FA"/>
            <w:vAlign w:val="center"/>
          </w:tcPr>
          <w:p>
            <w:r/>
            <w:r>
              <w:rPr>
                <w:sz w:val="20"/>
              </w:rPr>
              <w:t>—</w:t>
            </w:r>
          </w:p>
        </w:tc>
        <w:tc>
          <w:tcPr>
            <w:tcW w:type="dxa" w:w="964"/>
            <w:shd w:val="clear" w:color="auto" w:fill="F2F6FA"/>
            <w:vAlign w:val="center"/>
          </w:tcPr>
          <w:p>
            <w:r/>
            <w:r>
              <w:rPr>
                <w:sz w:val="20"/>
              </w:rPr>
              <w:t>—</w:t>
            </w:r>
          </w:p>
        </w:tc>
      </w:tr>
      <w:tr>
        <w:tc>
          <w:tcPr>
            <w:tcW w:type="dxa" w:w="567"/>
            <w:vAlign w:val="center"/>
          </w:tcPr>
          <w:p>
            <w:r/>
            <w:r>
              <w:rPr>
                <w:sz w:val="20"/>
              </w:rPr>
              <w:t>E3</w:t>
            </w:r>
          </w:p>
        </w:tc>
        <w:tc>
          <w:tcPr>
            <w:tcW w:type="dxa" w:w="1247"/>
            <w:vAlign w:val="center"/>
          </w:tcPr>
          <w:p>
            <w:r/>
            <w:r>
              <w:rPr>
                <w:sz w:val="20"/>
              </w:rPr>
              <w:t>HACER</w:t>
            </w:r>
          </w:p>
        </w:tc>
        <w:tc>
          <w:tcPr>
            <w:tcW w:type="dxa" w:w="907"/>
            <w:vAlign w:val="center"/>
          </w:tcPr>
          <w:p>
            <w:r/>
            <w:r>
              <w:rPr>
                <w:sz w:val="20"/>
              </w:rPr>
              <w:t>3/3</w:t>
            </w:r>
          </w:p>
        </w:tc>
        <w:tc>
          <w:tcPr>
            <w:tcW w:type="dxa" w:w="964"/>
            <w:vAlign w:val="center"/>
          </w:tcPr>
          <w:p>
            <w:r/>
            <w:r>
              <w:rPr>
                <w:sz w:val="20"/>
              </w:rPr>
              <w:t>55.0</w:t>
            </w:r>
          </w:p>
        </w:tc>
        <w:tc>
          <w:tcPr>
            <w:tcW w:type="dxa" w:w="907"/>
            <w:vAlign w:val="center"/>
          </w:tcPr>
          <w:p>
            <w:r/>
            <w:r>
              <w:rPr>
                <w:sz w:val="20"/>
              </w:rPr>
              <w:t>—</w:t>
            </w:r>
          </w:p>
        </w:tc>
        <w:tc>
          <w:tcPr>
            <w:tcW w:type="dxa" w:w="964"/>
            <w:vAlign w:val="center"/>
          </w:tcPr>
          <w:p>
            <w:r/>
            <w:r>
              <w:rPr>
                <w:sz w:val="20"/>
              </w:rPr>
              <w:t>—</w:t>
            </w:r>
          </w:p>
        </w:tc>
        <w:tc>
          <w:tcPr>
            <w:tcW w:type="dxa" w:w="964"/>
            <w:vAlign w:val="center"/>
          </w:tcPr>
          <w:p>
            <w:r/>
            <w:r>
              <w:rPr>
                <w:sz w:val="20"/>
              </w:rPr>
              <w:t>—</w:t>
            </w:r>
          </w:p>
        </w:tc>
        <w:tc>
          <w:tcPr>
            <w:tcW w:type="dxa" w:w="1020"/>
            <w:vAlign w:val="center"/>
          </w:tcPr>
          <w:p>
            <w:r/>
            <w:r>
              <w:rPr>
                <w:sz w:val="20"/>
              </w:rPr>
              <w:t>—</w:t>
            </w:r>
          </w:p>
        </w:tc>
        <w:tc>
          <w:tcPr>
            <w:tcW w:type="dxa" w:w="964"/>
            <w:vAlign w:val="center"/>
          </w:tcPr>
          <w:p>
            <w:r/>
            <w:r>
              <w:rPr>
                <w:sz w:val="20"/>
              </w:rPr>
              <w:t>—</w:t>
            </w:r>
          </w:p>
        </w:tc>
      </w:tr>
      <w:tr>
        <w:tc>
          <w:tcPr>
            <w:tcW w:type="dxa" w:w="567"/>
            <w:shd w:val="clear" w:color="auto" w:fill="F2F6FA"/>
            <w:vAlign w:val="center"/>
          </w:tcPr>
          <w:p>
            <w:r/>
            <w:r>
              <w:rPr>
                <w:sz w:val="20"/>
              </w:rPr>
              <w:t>E3</w:t>
            </w:r>
          </w:p>
        </w:tc>
        <w:tc>
          <w:tcPr>
            <w:tcW w:type="dxa" w:w="1247"/>
            <w:shd w:val="clear" w:color="auto" w:fill="F2F6FA"/>
            <w:vAlign w:val="center"/>
          </w:tcPr>
          <w:p>
            <w:r/>
            <w:r>
              <w:rPr>
                <w:sz w:val="20"/>
              </w:rPr>
              <w:t>DisEnh.</w:t>
            </w:r>
          </w:p>
        </w:tc>
        <w:tc>
          <w:tcPr>
            <w:tcW w:type="dxa" w:w="907"/>
            <w:shd w:val="clear" w:color="auto" w:fill="F2F6FA"/>
            <w:vAlign w:val="center"/>
          </w:tcPr>
          <w:p>
            <w:r/>
            <w:r>
              <w:rPr>
                <w:sz w:val="20"/>
              </w:rPr>
              <w:t>3/3</w:t>
            </w:r>
          </w:p>
        </w:tc>
        <w:tc>
          <w:tcPr>
            <w:tcW w:type="dxa" w:w="964"/>
            <w:shd w:val="clear" w:color="auto" w:fill="F2F6FA"/>
            <w:vAlign w:val="center"/>
          </w:tcPr>
          <w:p>
            <w:r/>
            <w:r>
              <w:rPr>
                <w:sz w:val="20"/>
              </w:rPr>
              <w:t>53.0</w:t>
            </w:r>
          </w:p>
        </w:tc>
        <w:tc>
          <w:tcPr>
            <w:tcW w:type="dxa" w:w="907"/>
            <w:shd w:val="clear" w:color="auto" w:fill="F2F6FA"/>
            <w:vAlign w:val="center"/>
          </w:tcPr>
          <w:p>
            <w:r/>
            <w:r>
              <w:rPr>
                <w:sz w:val="20"/>
              </w:rPr>
              <w:t>—</w:t>
            </w:r>
          </w:p>
        </w:tc>
        <w:tc>
          <w:tcPr>
            <w:tcW w:type="dxa" w:w="964"/>
            <w:shd w:val="clear" w:color="auto" w:fill="F2F6FA"/>
            <w:vAlign w:val="center"/>
          </w:tcPr>
          <w:p>
            <w:r/>
            <w:r>
              <w:rPr>
                <w:sz w:val="20"/>
              </w:rPr>
              <w:t>—</w:t>
            </w:r>
          </w:p>
        </w:tc>
        <w:tc>
          <w:tcPr>
            <w:tcW w:type="dxa" w:w="964"/>
            <w:shd w:val="clear" w:color="auto" w:fill="F2F6FA"/>
            <w:vAlign w:val="center"/>
          </w:tcPr>
          <w:p>
            <w:r/>
            <w:r>
              <w:rPr>
                <w:sz w:val="20"/>
              </w:rPr>
              <w:t>—</w:t>
            </w:r>
          </w:p>
        </w:tc>
        <w:tc>
          <w:tcPr>
            <w:tcW w:type="dxa" w:w="1020"/>
            <w:shd w:val="clear" w:color="auto" w:fill="F2F6FA"/>
            <w:vAlign w:val="center"/>
          </w:tcPr>
          <w:p>
            <w:r/>
            <w:r>
              <w:rPr>
                <w:sz w:val="20"/>
              </w:rPr>
              <w:t>—</w:t>
            </w:r>
          </w:p>
        </w:tc>
        <w:tc>
          <w:tcPr>
            <w:tcW w:type="dxa" w:w="964"/>
            <w:shd w:val="clear" w:color="auto" w:fill="F2F6FA"/>
            <w:vAlign w:val="center"/>
          </w:tcPr>
          <w:p>
            <w:r/>
            <w:r>
              <w:rPr>
                <w:sz w:val="20"/>
              </w:rPr>
              <w:t>—</w:t>
            </w:r>
          </w:p>
        </w:tc>
      </w:tr>
      <w:tr>
        <w:tc>
          <w:tcPr>
            <w:tcW w:type="dxa" w:w="567"/>
            <w:vAlign w:val="center"/>
          </w:tcPr>
          <w:p>
            <w:r/>
            <w:r>
              <w:rPr>
                <w:sz w:val="20"/>
              </w:rPr>
              <w:t>E4</w:t>
            </w:r>
          </w:p>
        </w:tc>
        <w:tc>
          <w:tcPr>
            <w:tcW w:type="dxa" w:w="1247"/>
            <w:vAlign w:val="center"/>
          </w:tcPr>
          <w:p>
            <w:r/>
            <w:r>
              <w:rPr>
                <w:sz w:val="20"/>
              </w:rPr>
              <w:t>FANTOM5</w:t>
            </w:r>
          </w:p>
        </w:tc>
        <w:tc>
          <w:tcPr>
            <w:tcW w:type="dxa" w:w="907"/>
            <w:vAlign w:val="center"/>
          </w:tcPr>
          <w:p>
            <w:r/>
            <w:r>
              <w:rPr>
                <w:sz w:val="20"/>
              </w:rPr>
              <w:t>3/3</w:t>
            </w:r>
          </w:p>
        </w:tc>
        <w:tc>
          <w:tcPr>
            <w:tcW w:type="dxa" w:w="964"/>
            <w:vAlign w:val="center"/>
          </w:tcPr>
          <w:p>
            <w:r/>
            <w:r>
              <w:rPr>
                <w:sz w:val="20"/>
              </w:rPr>
              <w:t>233.0</w:t>
            </w:r>
          </w:p>
        </w:tc>
        <w:tc>
          <w:tcPr>
            <w:tcW w:type="dxa" w:w="907"/>
            <w:vAlign w:val="center"/>
          </w:tcPr>
          <w:p>
            <w:r/>
            <w:r>
              <w:rPr>
                <w:sz w:val="20"/>
              </w:rPr>
              <w:t>11.3</w:t>
            </w:r>
          </w:p>
        </w:tc>
        <w:tc>
          <w:tcPr>
            <w:tcW w:type="dxa" w:w="964"/>
            <w:vAlign w:val="center"/>
          </w:tcPr>
          <w:p>
            <w:r/>
            <w:r>
              <w:rPr>
                <w:sz w:val="20"/>
              </w:rPr>
              <w:t>7.3</w:t>
            </w:r>
          </w:p>
        </w:tc>
        <w:tc>
          <w:tcPr>
            <w:tcW w:type="dxa" w:w="964"/>
            <w:vAlign w:val="center"/>
          </w:tcPr>
          <w:p>
            <w:r/>
            <w:r>
              <w:rPr>
                <w:sz w:val="20"/>
              </w:rPr>
              <w:t>26.0</w:t>
            </w:r>
          </w:p>
        </w:tc>
        <w:tc>
          <w:tcPr>
            <w:tcW w:type="dxa" w:w="1020"/>
            <w:vAlign w:val="center"/>
          </w:tcPr>
          <w:p>
            <w:r/>
            <w:r>
              <w:rPr>
                <w:sz w:val="20"/>
              </w:rPr>
              <w:t>10.3</w:t>
            </w:r>
          </w:p>
        </w:tc>
        <w:tc>
          <w:tcPr>
            <w:tcW w:type="dxa" w:w="964"/>
            <w:vAlign w:val="center"/>
          </w:tcPr>
          <w:p>
            <w:r/>
            <w:r>
              <w:rPr>
                <w:sz w:val="20"/>
              </w:rPr>
              <w:t>44.7</w:t>
            </w:r>
          </w:p>
        </w:tc>
      </w:tr>
      <w:tr>
        <w:tc>
          <w:tcPr>
            <w:tcW w:type="dxa" w:w="567"/>
            <w:shd w:val="clear" w:color="auto" w:fill="F2F6FA"/>
            <w:vAlign w:val="center"/>
          </w:tcPr>
          <w:p>
            <w:r/>
            <w:r>
              <w:rPr>
                <w:sz w:val="20"/>
              </w:rPr>
              <w:t>E4</w:t>
            </w:r>
          </w:p>
        </w:tc>
        <w:tc>
          <w:tcPr>
            <w:tcW w:type="dxa" w:w="1247"/>
            <w:shd w:val="clear" w:color="auto" w:fill="F2F6FA"/>
            <w:vAlign w:val="center"/>
          </w:tcPr>
          <w:p>
            <w:r/>
            <w:r>
              <w:rPr>
                <w:sz w:val="20"/>
              </w:rPr>
              <w:t>dbSUPER</w:t>
            </w:r>
          </w:p>
        </w:tc>
        <w:tc>
          <w:tcPr>
            <w:tcW w:type="dxa" w:w="907"/>
            <w:shd w:val="clear" w:color="auto" w:fill="F2F6FA"/>
            <w:vAlign w:val="center"/>
          </w:tcPr>
          <w:p>
            <w:r/>
            <w:r>
              <w:rPr>
                <w:sz w:val="20"/>
              </w:rPr>
              <w:t>3/3</w:t>
            </w:r>
          </w:p>
        </w:tc>
        <w:tc>
          <w:tcPr>
            <w:tcW w:type="dxa" w:w="964"/>
            <w:shd w:val="clear" w:color="auto" w:fill="F2F6FA"/>
            <w:vAlign w:val="center"/>
          </w:tcPr>
          <w:p>
            <w:r/>
            <w:r>
              <w:rPr>
                <w:sz w:val="20"/>
              </w:rPr>
              <w:t>236.7</w:t>
            </w:r>
          </w:p>
        </w:tc>
        <w:tc>
          <w:tcPr>
            <w:tcW w:type="dxa" w:w="907"/>
            <w:shd w:val="clear" w:color="auto" w:fill="F2F6FA"/>
            <w:vAlign w:val="center"/>
          </w:tcPr>
          <w:p>
            <w:r/>
            <w:r>
              <w:rPr>
                <w:sz w:val="20"/>
              </w:rPr>
              <w:t>9.7</w:t>
            </w:r>
          </w:p>
        </w:tc>
        <w:tc>
          <w:tcPr>
            <w:tcW w:type="dxa" w:w="964"/>
            <w:shd w:val="clear" w:color="auto" w:fill="F2F6FA"/>
            <w:vAlign w:val="center"/>
          </w:tcPr>
          <w:p>
            <w:r/>
            <w:r>
              <w:rPr>
                <w:sz w:val="20"/>
              </w:rPr>
              <w:t>5.7</w:t>
            </w:r>
          </w:p>
        </w:tc>
        <w:tc>
          <w:tcPr>
            <w:tcW w:type="dxa" w:w="964"/>
            <w:shd w:val="clear" w:color="auto" w:fill="F2F6FA"/>
            <w:vAlign w:val="center"/>
          </w:tcPr>
          <w:p>
            <w:r/>
            <w:r>
              <w:rPr>
                <w:sz w:val="20"/>
              </w:rPr>
              <w:t>27.0</w:t>
            </w:r>
          </w:p>
        </w:tc>
        <w:tc>
          <w:tcPr>
            <w:tcW w:type="dxa" w:w="1020"/>
            <w:shd w:val="clear" w:color="auto" w:fill="F2F6FA"/>
            <w:vAlign w:val="center"/>
          </w:tcPr>
          <w:p>
            <w:r/>
            <w:r>
              <w:rPr>
                <w:sz w:val="20"/>
              </w:rPr>
              <w:t>11.7</w:t>
            </w:r>
          </w:p>
        </w:tc>
        <w:tc>
          <w:tcPr>
            <w:tcW w:type="dxa" w:w="964"/>
            <w:shd w:val="clear" w:color="auto" w:fill="F2F6FA"/>
            <w:vAlign w:val="center"/>
          </w:tcPr>
          <w:p>
            <w:r/>
            <w:r>
              <w:rPr>
                <w:sz w:val="20"/>
              </w:rPr>
              <w:t>42.3</w:t>
            </w:r>
          </w:p>
        </w:tc>
      </w:tr>
      <w:tr>
        <w:tc>
          <w:tcPr>
            <w:tcW w:type="dxa" w:w="567"/>
            <w:vAlign w:val="center"/>
          </w:tcPr>
          <w:p>
            <w:r/>
            <w:r>
              <w:rPr>
                <w:sz w:val="20"/>
              </w:rPr>
              <w:t>E4</w:t>
            </w:r>
          </w:p>
        </w:tc>
        <w:tc>
          <w:tcPr>
            <w:tcW w:type="dxa" w:w="1247"/>
            <w:vAlign w:val="center"/>
          </w:tcPr>
          <w:p>
            <w:r/>
            <w:r>
              <w:rPr>
                <w:sz w:val="20"/>
              </w:rPr>
              <w:t>HACER</w:t>
            </w:r>
          </w:p>
        </w:tc>
        <w:tc>
          <w:tcPr>
            <w:tcW w:type="dxa" w:w="907"/>
            <w:vAlign w:val="center"/>
          </w:tcPr>
          <w:p>
            <w:r/>
            <w:r>
              <w:rPr>
                <w:sz w:val="20"/>
              </w:rPr>
              <w:t>3/3</w:t>
            </w:r>
          </w:p>
        </w:tc>
        <w:tc>
          <w:tcPr>
            <w:tcW w:type="dxa" w:w="964"/>
            <w:vAlign w:val="center"/>
          </w:tcPr>
          <w:p>
            <w:r/>
            <w:r>
              <w:rPr>
                <w:sz w:val="20"/>
              </w:rPr>
              <w:t>225.0</w:t>
            </w:r>
          </w:p>
        </w:tc>
        <w:tc>
          <w:tcPr>
            <w:tcW w:type="dxa" w:w="907"/>
            <w:vAlign w:val="center"/>
          </w:tcPr>
          <w:p>
            <w:r/>
            <w:r>
              <w:rPr>
                <w:sz w:val="20"/>
              </w:rPr>
              <w:t>9.0</w:t>
            </w:r>
          </w:p>
        </w:tc>
        <w:tc>
          <w:tcPr>
            <w:tcW w:type="dxa" w:w="964"/>
            <w:vAlign w:val="center"/>
          </w:tcPr>
          <w:p>
            <w:r/>
            <w:r>
              <w:rPr>
                <w:sz w:val="20"/>
              </w:rPr>
              <w:t>5.0</w:t>
            </w:r>
          </w:p>
        </w:tc>
        <w:tc>
          <w:tcPr>
            <w:tcW w:type="dxa" w:w="964"/>
            <w:vAlign w:val="center"/>
          </w:tcPr>
          <w:p>
            <w:r/>
            <w:r>
              <w:rPr>
                <w:sz w:val="20"/>
              </w:rPr>
              <w:t>30.0</w:t>
            </w:r>
          </w:p>
        </w:tc>
        <w:tc>
          <w:tcPr>
            <w:tcW w:type="dxa" w:w="1020"/>
            <w:vAlign w:val="center"/>
          </w:tcPr>
          <w:p>
            <w:r/>
            <w:r>
              <w:rPr>
                <w:sz w:val="20"/>
              </w:rPr>
              <w:t>3.0</w:t>
            </w:r>
          </w:p>
        </w:tc>
        <w:tc>
          <w:tcPr>
            <w:tcW w:type="dxa" w:w="964"/>
            <w:vAlign w:val="center"/>
          </w:tcPr>
          <w:p>
            <w:r/>
            <w:r>
              <w:rPr>
                <w:sz w:val="20"/>
              </w:rPr>
              <w:t>44.0</w:t>
            </w:r>
          </w:p>
        </w:tc>
      </w:tr>
      <w:tr>
        <w:tc>
          <w:tcPr>
            <w:tcW w:type="dxa" w:w="567"/>
            <w:shd w:val="clear" w:color="auto" w:fill="F2F6FA"/>
            <w:vAlign w:val="center"/>
          </w:tcPr>
          <w:p>
            <w:r/>
            <w:r>
              <w:rPr>
                <w:sz w:val="20"/>
              </w:rPr>
              <w:t>E4</w:t>
            </w:r>
          </w:p>
        </w:tc>
        <w:tc>
          <w:tcPr>
            <w:tcW w:type="dxa" w:w="1247"/>
            <w:shd w:val="clear" w:color="auto" w:fill="F2F6FA"/>
            <w:vAlign w:val="center"/>
          </w:tcPr>
          <w:p>
            <w:r/>
            <w:r>
              <w:rPr>
                <w:sz w:val="20"/>
              </w:rPr>
              <w:t>DisEnh.</w:t>
            </w:r>
          </w:p>
        </w:tc>
        <w:tc>
          <w:tcPr>
            <w:tcW w:type="dxa" w:w="907"/>
            <w:shd w:val="clear" w:color="auto" w:fill="F2F6FA"/>
            <w:vAlign w:val="center"/>
          </w:tcPr>
          <w:p>
            <w:r/>
            <w:r>
              <w:rPr>
                <w:sz w:val="20"/>
              </w:rPr>
              <w:t>3/3</w:t>
            </w:r>
          </w:p>
        </w:tc>
        <w:tc>
          <w:tcPr>
            <w:tcW w:type="dxa" w:w="964"/>
            <w:shd w:val="clear" w:color="auto" w:fill="F2F6FA"/>
            <w:vAlign w:val="center"/>
          </w:tcPr>
          <w:p>
            <w:r/>
            <w:r>
              <w:rPr>
                <w:sz w:val="20"/>
              </w:rPr>
              <w:t>213.7</w:t>
            </w:r>
          </w:p>
        </w:tc>
        <w:tc>
          <w:tcPr>
            <w:tcW w:type="dxa" w:w="907"/>
            <w:shd w:val="clear" w:color="auto" w:fill="F2F6FA"/>
            <w:vAlign w:val="center"/>
          </w:tcPr>
          <w:p>
            <w:r/>
            <w:r>
              <w:rPr>
                <w:sz w:val="20"/>
              </w:rPr>
              <w:t>9.0</w:t>
            </w:r>
          </w:p>
        </w:tc>
        <w:tc>
          <w:tcPr>
            <w:tcW w:type="dxa" w:w="964"/>
            <w:shd w:val="clear" w:color="auto" w:fill="F2F6FA"/>
            <w:vAlign w:val="center"/>
          </w:tcPr>
          <w:p>
            <w:r/>
            <w:r>
              <w:rPr>
                <w:sz w:val="20"/>
              </w:rPr>
              <w:t>5.7</w:t>
            </w:r>
          </w:p>
        </w:tc>
        <w:tc>
          <w:tcPr>
            <w:tcW w:type="dxa" w:w="964"/>
            <w:shd w:val="clear" w:color="auto" w:fill="F2F6FA"/>
            <w:vAlign w:val="center"/>
          </w:tcPr>
          <w:p>
            <w:r/>
            <w:r>
              <w:rPr>
                <w:sz w:val="20"/>
              </w:rPr>
              <w:t>26.7</w:t>
            </w:r>
          </w:p>
        </w:tc>
        <w:tc>
          <w:tcPr>
            <w:tcW w:type="dxa" w:w="1020"/>
            <w:shd w:val="clear" w:color="auto" w:fill="F2F6FA"/>
            <w:vAlign w:val="center"/>
          </w:tcPr>
          <w:p>
            <w:r/>
            <w:r>
              <w:rPr>
                <w:sz w:val="20"/>
              </w:rPr>
              <w:t>4.0</w:t>
            </w:r>
          </w:p>
        </w:tc>
        <w:tc>
          <w:tcPr>
            <w:tcW w:type="dxa" w:w="964"/>
            <w:shd w:val="clear" w:color="auto" w:fill="F2F6FA"/>
            <w:vAlign w:val="center"/>
          </w:tcPr>
          <w:p>
            <w:r/>
            <w:r>
              <w:rPr>
                <w:sz w:val="20"/>
              </w:rPr>
              <w:t>41.3</w:t>
            </w:r>
          </w:p>
        </w:tc>
      </w:tr>
    </w:tbl>
    <w:p>
      <w:pPr>
        <w:pStyle w:val="Heading2"/>
      </w:pPr>
      <w:r>
        <w:t>8.6. Hallazgos principales</w:t>
      </w:r>
    </w:p>
    <w:p>
      <w:pPr>
        <w:pStyle w:val="ListBullet"/>
      </w:pPr>
      <w:r>
        <w:t>E4 (OntoGenix) es el único experimento con riqueza semántica plena: produce 4× más triples y dos órdenes de magnitud más rdfs:label que E1, E2 y E3.</w:t>
      </w:r>
    </w:p>
    <w:p>
      <w:pPr>
        <w:pStyle w:val="ListBullet"/>
      </w:pPr>
      <w:r>
        <w:t>Los 18 fallos sintácticos observados en E1, E2 y E3 son recuperables al 100 % mediante post-procesado sin llamar al modelo. La diferencia real entre estrategias es semántica, no sintáctica.</w:t>
      </w:r>
    </w:p>
    <w:p>
      <w:pPr>
        <w:pStyle w:val="ListBullet"/>
      </w:pPr>
      <w:r>
        <w:t>El RAG (E3) induce un fallo reproducible muy interesante: el modelo copia patrones URI del contexto (con caracteres «!» y «#») sin respetar la sintaxis Turtle. Esto sugiere que el contexto recuperado puede ser un arma de doble filo: aporta vocabulario relevante pero también propaga patrones que el modelo no sabe re-serializar.</w:t>
      </w:r>
    </w:p>
    <w:p>
      <w:pPr>
        <w:pStyle w:val="ListBullet"/>
      </w:pPr>
      <w:r>
        <w:t>El salto de gpt-4o-mini a gpt-4o mejora notablemente la validez sintáctica básica en E1: la versión preliminar producía 0 % de parse_ok (evaluación heurística), mientras que con gpt-4o el output crudo alcanza el 83 %. Esto muestra una dependencia clara entre tamaño de modelo y capacidad de generar Turtle correcto.</w:t>
      </w:r>
    </w:p>
    <w:p>
      <w:pPr>
        <w:pStyle w:val="Heading1"/>
      </w:pPr>
      <w:r>
        <w:t>9. Evaluación normativa con OQuaRE</w:t>
      </w:r>
    </w:p>
    <w:p>
      <w:r>
        <w:t>OQuaRE (Ontology Quality Requirements and Evaluation) es un marco para evaluar la calidad de ontologías OWL inspirado en SQuaRE (ISO/IEC 25000) (Duque-Ramos et al., 2011, 2014). Define una jerarquía de métricas → sub-características → características de calidad, con una puntuación normalizada de 1 a 5 por sub-característica. En este TFM se ha implementado un evaluador propio (scripts/oquare_eval.py) que combina dos pasadas:</w:t>
      </w:r>
    </w:p>
    <w:p>
      <w:pPr>
        <w:pStyle w:val="ListBullet"/>
      </w:pPr>
      <w:r>
        <w:rPr>
          <w:b/>
        </w:rPr>
        <w:t>Métricas estructurales</w:t>
      </w:r>
      <w:r>
        <w:t xml:space="preserve"> calculadas con owlready2 sobre el grafo RDF: WMCOnto (complejidad por clase), NOMOnto (propiedades por clase), DITM (profundidad del árbol de herencia), NACOnto (clases ancestro promedio), CBOnto (acoplamiento), TMOnto (tangledness), LCOMOnto (cohesión), ANOnto (anotaciones por clase), INROnto (subclases por clase), RROnto y AROnto (riqueza de relaciones).</w:t>
      </w:r>
    </w:p>
    <w:p>
      <w:pPr>
        <w:pStyle w:val="ListBullet"/>
      </w:pPr>
      <w:r>
        <w:rPr>
          <w:b/>
        </w:rPr>
        <w:t>Métricas con razonador</w:t>
      </w:r>
      <w:r>
        <w:t xml:space="preserve"> vía HermiT (incluido en owlready2): consistencia OWL DL, número de clases insatisfacibles y tiempo de clasificación. Estas alimentan la sub-característica «Reliability».</w:t>
      </w:r>
    </w:p>
    <w:p>
      <w:pPr>
        <w:pStyle w:val="Heading2"/>
      </w:pPr>
      <w:r>
        <w:t>9.1. Adaptaciones técnicas</w:t>
      </w:r>
    </w:p>
    <w:p>
      <w:r>
        <w:t>owlready2 no parsea Turtle nativamente (sólo RDF/XML y NTriples), por lo que cada .ttl se convierte al vuelo con rdflib y se cachea en {dir}/.owlcache/{stem}.owl. Antes de la conversión se aplican dos saneos para que owlready2 pueda cargar el archivo:</w:t>
      </w:r>
    </w:p>
    <w:p>
      <w:pPr>
        <w:pStyle w:val="ListBullet"/>
      </w:pPr>
      <w:r>
        <w:rPr>
          <w:b/>
        </w:rPr>
        <w:t>Saneo textual del TTL</w:t>
      </w:r>
      <w:r>
        <w:t xml:space="preserve"> mediante regex: detecta literales tipados como xsd:integer/decimal/boolean/etc. cuyo lexical no es convertible (p.ej. "start_position"^^xsd:integer) y los reescribe como xsd:string. Estos errores son característicos de modelos pequeños que copian la estructura del esquema pero confunden el placeholder del campo con su valor.</w:t>
      </w:r>
    </w:p>
    <w:p>
      <w:pPr>
        <w:pStyle w:val="ListBullet"/>
      </w:pPr>
      <w:r>
        <w:rPr>
          <w:b/>
        </w:rPr>
        <w:t>Saneo a nivel de grafo</w:t>
      </w:r>
      <w:r>
        <w:t xml:space="preserve"> como red de seguridad: tras el parse, se vuelve a comprobar que no quedan literales mal tipados. El número de literales saneados por archivo se registra en la columna n_literals_sanitized del CSV y se usa como métrica adicional de calidad cualitativa.</w:t>
      </w:r>
    </w:p>
    <w:p>
      <w:pPr>
        <w:pStyle w:val="Heading2"/>
      </w:pPr>
      <w:r>
        <w:t>9.2. Rúbricas (Duque-Ramos et al., 2014)</w:t>
      </w:r>
    </w:p>
    <w:p>
      <w:r>
        <w:t>Cada métrica se mapea a una puntuación 1–5 según los rangos publicados. Cuanto MENOR es el valor, mejor es la puntuación para métricas de complejidad (WMCOnto, NOMOnto, DITM, NACOnto, CBOnto, TMOnto, LCOMOnto). Cuanto MAYOR es el valor, mejor es la puntuación para métricas de riqueza (ANOnto, INROnto, RROnto, AROnto).</w:t>
      </w:r>
    </w:p>
    <w:p>
      <w:pPr>
        <w:pStyle w:val="Caption"/>
        <w:jc w:val="center"/>
        <w:spacing w:before="120" w:after="60"/>
      </w:pPr>
      <w:r>
        <w:rPr>
          <w:b/>
          <w:sz w:val="20"/>
          <w:i/>
        </w:rPr>
        <w:t xml:space="preserve">Tabla 12. </w:t>
      </w:r>
      <w:r>
        <w:rPr>
          <w:sz w:val="20"/>
          <w:i/>
        </w:rPr>
        <w:t>Rúbricas OQuaRE (Duque-Ramos et al., 2014) por sub-característica</w:t>
      </w:r>
    </w:p>
    <w:tbl>
      <w:tblPr>
        <w:tblStyle w:val="TableGrid"/>
        <w:tblW w:type="auto" w:w="0"/>
        <w:tblLook w:firstColumn="1" w:firstRow="1" w:lastColumn="0" w:lastRow="0" w:noHBand="0" w:noVBand="1" w:val="04A0"/>
      </w:tblPr>
      <w:tblGrid>
        <w:gridCol w:w="2946"/>
        <w:gridCol w:w="2946"/>
        <w:gridCol w:w="2946"/>
      </w:tblGrid>
      <w:tr>
        <w:tc>
          <w:tcPr>
            <w:tcW w:type="dxa" w:w="1984"/>
            <w:shd w:val="clear" w:color="auto" w:fill="1F4E79"/>
            <w:vAlign w:val="center"/>
          </w:tcPr>
          <w:p>
            <w:pPr>
              <w:jc w:val="center"/>
            </w:pPr>
            <w:r/>
            <w:r>
              <w:rPr>
                <w:b/>
                <w:color w:val="FFFFFF"/>
                <w:sz w:val="20"/>
              </w:rPr>
              <w:t>Sub-característica</w:t>
            </w:r>
          </w:p>
        </w:tc>
        <w:tc>
          <w:tcPr>
            <w:tcW w:type="dxa" w:w="3118"/>
            <w:shd w:val="clear" w:color="auto" w:fill="1F4E79"/>
            <w:vAlign w:val="center"/>
          </w:tcPr>
          <w:p>
            <w:pPr>
              <w:jc w:val="center"/>
            </w:pPr>
            <w:r/>
            <w:r>
              <w:rPr>
                <w:b/>
                <w:color w:val="FFFFFF"/>
                <w:sz w:val="20"/>
              </w:rPr>
              <w:t>Métricas que la componen</w:t>
            </w:r>
          </w:p>
        </w:tc>
        <w:tc>
          <w:tcPr>
            <w:tcW w:type="dxa" w:w="3402"/>
            <w:shd w:val="clear" w:color="auto" w:fill="1F4E79"/>
            <w:vAlign w:val="center"/>
          </w:tcPr>
          <w:p>
            <w:pPr>
              <w:jc w:val="center"/>
            </w:pPr>
            <w:r/>
            <w:r>
              <w:rPr>
                <w:b/>
                <w:color w:val="FFFFFF"/>
                <w:sz w:val="20"/>
              </w:rPr>
              <w:t>Interpretación</w:t>
            </w:r>
          </w:p>
        </w:tc>
      </w:tr>
      <w:tr>
        <w:tc>
          <w:tcPr>
            <w:tcW w:type="dxa" w:w="1984"/>
            <w:vAlign w:val="center"/>
          </w:tcPr>
          <w:p>
            <w:r/>
            <w:r>
              <w:rPr>
                <w:sz w:val="20"/>
              </w:rPr>
              <w:t>Structural</w:t>
            </w:r>
          </w:p>
        </w:tc>
        <w:tc>
          <w:tcPr>
            <w:tcW w:type="dxa" w:w="3118"/>
            <w:vAlign w:val="center"/>
          </w:tcPr>
          <w:p>
            <w:r/>
            <w:r>
              <w:rPr>
                <w:sz w:val="20"/>
              </w:rPr>
              <w:t>WMCOnto + NOMOnto + DITM + NACOnto</w:t>
            </w:r>
          </w:p>
        </w:tc>
        <w:tc>
          <w:tcPr>
            <w:tcW w:type="dxa" w:w="3402"/>
            <w:vAlign w:val="center"/>
          </w:tcPr>
          <w:p>
            <w:r/>
            <w:r>
              <w:rPr>
                <w:sz w:val="20"/>
              </w:rPr>
              <w:t>Complejidad estructural — penaliza ontologías sobrecargadas</w:t>
            </w:r>
          </w:p>
        </w:tc>
      </w:tr>
      <w:tr>
        <w:tc>
          <w:tcPr>
            <w:tcW w:type="dxa" w:w="1984"/>
            <w:shd w:val="clear" w:color="auto" w:fill="F2F6FA"/>
            <w:vAlign w:val="center"/>
          </w:tcPr>
          <w:p>
            <w:r/>
            <w:r>
              <w:rPr>
                <w:sz w:val="20"/>
              </w:rPr>
              <w:t>Modularity</w:t>
            </w:r>
          </w:p>
        </w:tc>
        <w:tc>
          <w:tcPr>
            <w:tcW w:type="dxa" w:w="3118"/>
            <w:shd w:val="clear" w:color="auto" w:fill="F2F6FA"/>
            <w:vAlign w:val="center"/>
          </w:tcPr>
          <w:p>
            <w:r/>
            <w:r>
              <w:rPr>
                <w:sz w:val="20"/>
              </w:rPr>
              <w:t>CBOnto + LCOMOnto</w:t>
            </w:r>
          </w:p>
        </w:tc>
        <w:tc>
          <w:tcPr>
            <w:tcW w:type="dxa" w:w="3402"/>
            <w:shd w:val="clear" w:color="auto" w:fill="F2F6FA"/>
            <w:vAlign w:val="center"/>
          </w:tcPr>
          <w:p>
            <w:r/>
            <w:r>
              <w:rPr>
                <w:sz w:val="20"/>
              </w:rPr>
              <w:t>Acoplamiento entre clases y cohesión interna</w:t>
            </w:r>
          </w:p>
        </w:tc>
      </w:tr>
      <w:tr>
        <w:tc>
          <w:tcPr>
            <w:tcW w:type="dxa" w:w="1984"/>
            <w:vAlign w:val="center"/>
          </w:tcPr>
          <w:p>
            <w:r/>
            <w:r>
              <w:rPr>
                <w:sz w:val="20"/>
              </w:rPr>
              <w:t>Reusability</w:t>
            </w:r>
          </w:p>
        </w:tc>
        <w:tc>
          <w:tcPr>
            <w:tcW w:type="dxa" w:w="3118"/>
            <w:vAlign w:val="center"/>
          </w:tcPr>
          <w:p>
            <w:r/>
            <w:r>
              <w:rPr>
                <w:sz w:val="20"/>
              </w:rPr>
              <w:t>ANOnto + INROnto + TMOnto</w:t>
            </w:r>
          </w:p>
        </w:tc>
        <w:tc>
          <w:tcPr>
            <w:tcW w:type="dxa" w:w="3402"/>
            <w:vAlign w:val="center"/>
          </w:tcPr>
          <w:p>
            <w:r/>
            <w:r>
              <w:rPr>
                <w:sz w:val="20"/>
              </w:rPr>
              <w:t>Capacidad de ser reutilizada (anotaciones, herencia, claridad)</w:t>
            </w:r>
          </w:p>
        </w:tc>
      </w:tr>
      <w:tr>
        <w:tc>
          <w:tcPr>
            <w:tcW w:type="dxa" w:w="1984"/>
            <w:shd w:val="clear" w:color="auto" w:fill="F2F6FA"/>
            <w:vAlign w:val="center"/>
          </w:tcPr>
          <w:p>
            <w:r/>
            <w:r>
              <w:rPr>
                <w:sz w:val="20"/>
              </w:rPr>
              <w:t>Operability</w:t>
            </w:r>
          </w:p>
        </w:tc>
        <w:tc>
          <w:tcPr>
            <w:tcW w:type="dxa" w:w="3118"/>
            <w:shd w:val="clear" w:color="auto" w:fill="F2F6FA"/>
            <w:vAlign w:val="center"/>
          </w:tcPr>
          <w:p>
            <w:r/>
            <w:r>
              <w:rPr>
                <w:sz w:val="20"/>
              </w:rPr>
              <w:t>RROnto + AROnto</w:t>
            </w:r>
          </w:p>
        </w:tc>
        <w:tc>
          <w:tcPr>
            <w:tcW w:type="dxa" w:w="3402"/>
            <w:shd w:val="clear" w:color="auto" w:fill="F2F6FA"/>
            <w:vAlign w:val="center"/>
          </w:tcPr>
          <w:p>
            <w:r/>
            <w:r>
              <w:rPr>
                <w:sz w:val="20"/>
              </w:rPr>
              <w:t>Riqueza relacional para facilitar consultas y mapeos</w:t>
            </w:r>
          </w:p>
        </w:tc>
      </w:tr>
      <w:tr>
        <w:tc>
          <w:tcPr>
            <w:tcW w:type="dxa" w:w="1984"/>
            <w:vAlign w:val="center"/>
          </w:tcPr>
          <w:p>
            <w:r/>
            <w:r>
              <w:rPr>
                <w:sz w:val="20"/>
              </w:rPr>
              <w:t>Reliability</w:t>
            </w:r>
          </w:p>
        </w:tc>
        <w:tc>
          <w:tcPr>
            <w:tcW w:type="dxa" w:w="3118"/>
            <w:vAlign w:val="center"/>
          </w:tcPr>
          <w:p>
            <w:r/>
            <w:r>
              <w:rPr>
                <w:sz w:val="20"/>
              </w:rPr>
              <w:t>Resultado del razonador HermiT</w:t>
            </w:r>
          </w:p>
        </w:tc>
        <w:tc>
          <w:tcPr>
            <w:tcW w:type="dxa" w:w="3402"/>
            <w:vAlign w:val="center"/>
          </w:tcPr>
          <w:p>
            <w:r/>
            <w:r>
              <w:rPr>
                <w:sz w:val="20"/>
              </w:rPr>
              <w:t>Consistencia y satisfacibilidad lógica</w:t>
            </w:r>
          </w:p>
        </w:tc>
      </w:tr>
    </w:tbl>
    <w:p>
      <w:pPr>
        <w:pStyle w:val="Heading2"/>
      </w:pPr>
      <w:r>
        <w:t>9.3. Resultados OQuaRE por modelo y experimento</w:t>
      </w:r>
    </w:p>
    <w:p>
      <w:pPr>
        <w:jc w:val="center"/>
      </w:pPr>
      <w:r>
        <w:drawing>
          <wp:inline xmlns:a="http://schemas.openxmlformats.org/drawingml/2006/main" xmlns:pic="http://schemas.openxmlformats.org/drawingml/2006/picture">
            <wp:extent cx="5040000" cy="3058690"/>
            <wp:docPr id="6" name="Picture 6"/>
            <wp:cNvGraphicFramePr>
              <a:graphicFrameLocks noChangeAspect="1"/>
            </wp:cNvGraphicFramePr>
            <a:graphic>
              <a:graphicData uri="http://schemas.openxmlformats.org/drawingml/2006/picture">
                <pic:pic>
                  <pic:nvPicPr>
                    <pic:cNvPr id="0" name="fig05_oquare_global.png"/>
                    <pic:cNvPicPr/>
                  </pic:nvPicPr>
                  <pic:blipFill>
                    <a:blip r:embed="rId14"/>
                    <a:stretch>
                      <a:fillRect/>
                    </a:stretch>
                  </pic:blipFill>
                  <pic:spPr>
                    <a:xfrm>
                      <a:off x="0" y="0"/>
                      <a:ext cx="5040000" cy="3058690"/>
                    </a:xfrm>
                    <a:prstGeom prst="rect"/>
                  </pic:spPr>
                </pic:pic>
              </a:graphicData>
            </a:graphic>
          </wp:inline>
        </w:drawing>
      </w:r>
    </w:p>
    <w:p>
      <w:pPr>
        <w:spacing w:after="240"/>
        <w:jc w:val="center"/>
      </w:pPr>
      <w:r>
        <w:rPr>
          <w:i/>
          <w:color w:val="404040"/>
          <w:sz w:val="20"/>
        </w:rPr>
        <w:t>Figura 5. Puntuación OQuaRE Global (escala 1-5) por experimento y modelo. La línea punteada marca el umbral 3.0 habitualmente considerado «aceptable» por la literatura OQuaRE. Todas las combinaciones excepto E3/gpt-4o superan el umbral.</w:t>
      </w:r>
    </w:p>
    <w:p>
      <w:pPr>
        <w:jc w:val="center"/>
      </w:pPr>
      <w:r>
        <w:drawing>
          <wp:inline xmlns:a="http://schemas.openxmlformats.org/drawingml/2006/main" xmlns:pic="http://schemas.openxmlformats.org/drawingml/2006/picture">
            <wp:extent cx="5040000" cy="4173900"/>
            <wp:docPr id="7" name="Picture 7"/>
            <wp:cNvGraphicFramePr>
              <a:graphicFrameLocks noChangeAspect="1"/>
            </wp:cNvGraphicFramePr>
            <a:graphic>
              <a:graphicData uri="http://schemas.openxmlformats.org/drawingml/2006/picture">
                <pic:pic>
                  <pic:nvPicPr>
                    <pic:cNvPr id="0" name="fig06_oquare_radar_models.png"/>
                    <pic:cNvPicPr/>
                  </pic:nvPicPr>
                  <pic:blipFill>
                    <a:blip r:embed="rId15"/>
                    <a:stretch>
                      <a:fillRect/>
                    </a:stretch>
                  </pic:blipFill>
                  <pic:spPr>
                    <a:xfrm>
                      <a:off x="0" y="0"/>
                      <a:ext cx="5040000" cy="4173900"/>
                    </a:xfrm>
                    <a:prstGeom prst="rect"/>
                  </pic:spPr>
                </pic:pic>
              </a:graphicData>
            </a:graphic>
          </wp:inline>
        </w:drawing>
      </w:r>
    </w:p>
    <w:p>
      <w:pPr>
        <w:spacing w:after="240"/>
        <w:jc w:val="center"/>
      </w:pPr>
      <w:r>
        <w:rPr>
          <w:i/>
          <w:color w:val="404040"/>
          <w:sz w:val="20"/>
        </w:rPr>
        <w:t>Figura 6. Sub-características OQuaRE — promedio por modelo sobre las corridas con load_ok=1. La forma del polígono muestra dónde cada modelo destaca o flaquea.</w:t>
      </w:r>
    </w:p>
    <w:p>
      <w:pPr>
        <w:pStyle w:val="Heading1"/>
      </w:pPr>
      <w:r>
        <w:t>10. Comparativa cross-model: gpt-4o vs open-source</w:t>
      </w:r>
    </w:p>
    <w:p>
      <w:r>
        <w:t>Para evaluar si los hallazgos descritos en los apartados 7-9 dependen del modelo cerrado de OpenAI o son patrones generalizables, se replicaron los experimentos E1, E2 y E3 con dos modelos open-source de tamaño compacto, ejecutados localmente vía Ollama:</w:t>
      </w:r>
    </w:p>
    <w:p>
      <w:pPr>
        <w:pStyle w:val="ListBullet"/>
      </w:pPr>
      <w:r>
        <w:rPr>
          <w:b/>
        </w:rPr>
        <w:t>Llama 3.1 8B Instruct</w:t>
      </w:r>
      <w:r>
        <w:t xml:space="preserve"> (Meta) — modelo generalista, ~4.7 GB. Representa el baseline open-source de propósito general.</w:t>
      </w:r>
    </w:p>
    <w:p>
      <w:pPr>
        <w:pStyle w:val="ListBullet"/>
      </w:pPr>
      <w:r>
        <w:rPr>
          <w:b/>
        </w:rPr>
        <w:t>Qwen 2.5 Coder 7B</w:t>
      </w:r>
      <w:r>
        <w:t xml:space="preserve"> (Alibaba) — modelo de tamaño comparable a Llama, pero entrenado con énfasis en generación de código. La hipótesis es que la especialización en código debería traducirse en mejor sintaxis Turtle.</w:t>
      </w:r>
    </w:p>
    <w:p>
      <w:r>
        <w:t>El experimento E4 (OntoGenix) se mantiene únicamente con gpt-4o porque la pipeline original de Val Calvo et al. (2024) está diseñada para modelos OpenAI y su adaptación a Ollama queda fuera del alcance del TFM.</w:t>
      </w:r>
    </w:p>
    <w:p>
      <w:pPr>
        <w:pStyle w:val="Heading2"/>
      </w:pPr>
      <w:r>
        <w:t>10.1. Validez sintáctica tras post-procesado</w:t>
      </w:r>
    </w:p>
    <w:p>
      <w:pPr>
        <w:jc w:val="center"/>
      </w:pPr>
      <w:r>
        <w:drawing>
          <wp:inline xmlns:a="http://schemas.openxmlformats.org/drawingml/2006/main" xmlns:pic="http://schemas.openxmlformats.org/drawingml/2006/picture">
            <wp:extent cx="5040000" cy="2884650"/>
            <wp:docPr id="8" name="Picture 8"/>
            <wp:cNvGraphicFramePr>
              <a:graphicFrameLocks noChangeAspect="1"/>
            </wp:cNvGraphicFramePr>
            <a:graphic>
              <a:graphicData uri="http://schemas.openxmlformats.org/drawingml/2006/picture">
                <pic:pic>
                  <pic:nvPicPr>
                    <pic:cNvPr id="0" name="fig07_load_success.png"/>
                    <pic:cNvPicPr/>
                  </pic:nvPicPr>
                  <pic:blipFill>
                    <a:blip r:embed="rId16"/>
                    <a:stretch>
                      <a:fillRect/>
                    </a:stretch>
                  </pic:blipFill>
                  <pic:spPr>
                    <a:xfrm>
                      <a:off x="0" y="0"/>
                      <a:ext cx="5040000" cy="2884650"/>
                    </a:xfrm>
                    <a:prstGeom prst="rect"/>
                  </pic:spPr>
                </pic:pic>
              </a:graphicData>
            </a:graphic>
          </wp:inline>
        </w:drawing>
      </w:r>
    </w:p>
    <w:p>
      <w:pPr>
        <w:spacing w:after="240"/>
        <w:jc w:val="center"/>
      </w:pPr>
      <w:r>
        <w:rPr>
          <w:i/>
          <w:color w:val="404040"/>
          <w:sz w:val="20"/>
        </w:rPr>
        <w:t>Figura 7. Porcentaje de ontologías que cargan en owlready2 (load_ok) por experimento y modelo. gpt-4o alcanza 12/12 en todas las combinaciones. Los modelos open-source presentan patrones distintos: Llama 3.1 8B falla en E1 (7/11) y E2 (7/12) pero alcanza 12/12 en E3; Qwen 2.5 Coder 7B falla completamente en E1 (0/12) pero rinde mejor que Llama en E2 (10/12) y empata en E3 (12/12).</w:t>
      </w:r>
    </w:p>
    <w:p>
      <w:pPr>
        <w:pStyle w:val="Heading2"/>
      </w:pPr>
      <w:r>
        <w:t>10.2. Patrones de error característicos por modelo</w:t>
      </w:r>
    </w:p>
    <w:p>
      <w:r>
        <w:t>El análisis cualitativo de los archivos que fallan revela que cada modelo open-source produce su propio patrón de error reproducible. Esta tipificación es uno de los hallazgos cualitativos más interesantes del TFM porque apunta a sesgos sistemáticos del entrenamiento de cada modelo, no a errores aleatorios.</w:t>
      </w:r>
    </w:p>
    <w:p>
      <w:pPr>
        <w:pStyle w:val="Caption"/>
        <w:jc w:val="center"/>
        <w:spacing w:before="120" w:after="60"/>
      </w:pPr>
      <w:r>
        <w:rPr>
          <w:b/>
          <w:sz w:val="20"/>
          <w:i/>
        </w:rPr>
        <w:t xml:space="preserve">Tabla 13. </w:t>
      </w:r>
      <w:r>
        <w:rPr>
          <w:sz w:val="20"/>
          <w:i/>
        </w:rPr>
        <w:t>OQuaRE Global por modelo y experimento (escala 1–5)</w:t>
      </w:r>
    </w:p>
    <w:tbl>
      <w:tblPr>
        <w:tblStyle w:val="TableGrid"/>
        <w:tblW w:type="auto" w:w="0"/>
        <w:tblLook w:firstColumn="1" w:firstRow="1" w:lastColumn="0" w:lastRow="0" w:noHBand="0" w:noVBand="1" w:val="04A0"/>
      </w:tblPr>
      <w:tblGrid>
        <w:gridCol w:w="2209"/>
        <w:gridCol w:w="2209"/>
        <w:gridCol w:w="2209"/>
        <w:gridCol w:w="2209"/>
      </w:tblGrid>
      <w:tr>
        <w:tc>
          <w:tcPr>
            <w:tcW w:type="dxa" w:w="1984"/>
            <w:shd w:val="clear" w:color="auto" w:fill="1F4E79"/>
            <w:vAlign w:val="center"/>
          </w:tcPr>
          <w:p>
            <w:pPr>
              <w:jc w:val="center"/>
            </w:pPr>
            <w:r/>
            <w:r>
              <w:rPr>
                <w:b/>
                <w:color w:val="FFFFFF"/>
                <w:sz w:val="20"/>
              </w:rPr>
              <w:t>Modelo</w:t>
            </w:r>
          </w:p>
        </w:tc>
        <w:tc>
          <w:tcPr>
            <w:tcW w:type="dxa" w:w="2551"/>
            <w:shd w:val="clear" w:color="auto" w:fill="1F4E79"/>
            <w:vAlign w:val="center"/>
          </w:tcPr>
          <w:p>
            <w:pPr>
              <w:jc w:val="center"/>
            </w:pPr>
            <w:r/>
            <w:r>
              <w:rPr>
                <w:b/>
                <w:color w:val="FFFFFF"/>
                <w:sz w:val="20"/>
              </w:rPr>
              <w:t>Patrón de error</w:t>
            </w:r>
          </w:p>
        </w:tc>
        <w:tc>
          <w:tcPr>
            <w:tcW w:type="dxa" w:w="3402"/>
            <w:shd w:val="clear" w:color="auto" w:fill="1F4E79"/>
            <w:vAlign w:val="center"/>
          </w:tcPr>
          <w:p>
            <w:pPr>
              <w:jc w:val="center"/>
            </w:pPr>
            <w:r/>
            <w:r>
              <w:rPr>
                <w:b/>
                <w:color w:val="FFFFFF"/>
                <w:sz w:val="20"/>
              </w:rPr>
              <w:t>Ejemplo</w:t>
            </w:r>
          </w:p>
        </w:tc>
        <w:tc>
          <w:tcPr>
            <w:tcW w:type="dxa" w:w="850"/>
            <w:shd w:val="clear" w:color="auto" w:fill="1F4E79"/>
            <w:vAlign w:val="center"/>
          </w:tcPr>
          <w:p>
            <w:pPr>
              <w:jc w:val="center"/>
            </w:pPr>
            <w:r/>
            <w:r>
              <w:rPr>
                <w:b/>
                <w:color w:val="FFFFFF"/>
                <w:sz w:val="20"/>
              </w:rPr>
              <w:t>N.º de archivos</w:t>
            </w:r>
          </w:p>
        </w:tc>
      </w:tr>
      <w:tr>
        <w:tc>
          <w:tcPr>
            <w:tcW w:type="dxa" w:w="1984"/>
            <w:vAlign w:val="center"/>
          </w:tcPr>
          <w:p>
            <w:r/>
            <w:r>
              <w:rPr>
                <w:sz w:val="20"/>
              </w:rPr>
              <w:t>gpt-4o</w:t>
            </w:r>
          </w:p>
        </w:tc>
        <w:tc>
          <w:tcPr>
            <w:tcW w:type="dxa" w:w="2551"/>
            <w:vAlign w:val="center"/>
          </w:tcPr>
          <w:p>
            <w:r/>
            <w:r>
              <w:rPr>
                <w:sz w:val="20"/>
              </w:rPr>
              <w:t>(ninguno)</w:t>
            </w:r>
          </w:p>
        </w:tc>
        <w:tc>
          <w:tcPr>
            <w:tcW w:type="dxa" w:w="3402"/>
            <w:vAlign w:val="center"/>
          </w:tcPr>
          <w:p>
            <w:r/>
            <w:r>
              <w:rPr>
                <w:sz w:val="20"/>
              </w:rPr>
              <w:t>Sintaxis Turtle correcta en los 48 archivos</w:t>
            </w:r>
          </w:p>
        </w:tc>
        <w:tc>
          <w:tcPr>
            <w:tcW w:type="dxa" w:w="850"/>
            <w:vAlign w:val="center"/>
          </w:tcPr>
          <w:p>
            <w:r/>
            <w:r>
              <w:rPr>
                <w:sz w:val="20"/>
              </w:rPr>
              <w:t>0/48</w:t>
            </w:r>
          </w:p>
        </w:tc>
      </w:tr>
      <w:tr>
        <w:tc>
          <w:tcPr>
            <w:tcW w:type="dxa" w:w="1984"/>
            <w:shd w:val="clear" w:color="auto" w:fill="F2F6FA"/>
            <w:vAlign w:val="center"/>
          </w:tcPr>
          <w:p>
            <w:r/>
            <w:r>
              <w:rPr>
                <w:sz w:val="20"/>
              </w:rPr>
              <w:t>llama3.1:8b</w:t>
            </w:r>
          </w:p>
        </w:tc>
        <w:tc>
          <w:tcPr>
            <w:tcW w:type="dxa" w:w="2551"/>
            <w:shd w:val="clear" w:color="auto" w:fill="F2F6FA"/>
            <w:vAlign w:val="center"/>
          </w:tcPr>
          <w:p>
            <w:r/>
            <w:r>
              <w:rPr>
                <w:sz w:val="20"/>
              </w:rPr>
              <w:t>Omite «:» del prefijo en cuerpos del esquema</w:t>
            </w:r>
          </w:p>
        </w:tc>
        <w:tc>
          <w:tcPr>
            <w:tcW w:type="dxa" w:w="3402"/>
            <w:shd w:val="clear" w:color="auto" w:fill="F2F6FA"/>
            <w:vAlign w:val="center"/>
          </w:tcPr>
          <w:p>
            <w:r/>
            <w:r>
              <w:rPr>
                <w:sz w:val="20"/>
              </w:rPr>
              <w:t>crm a owl:Class ;  (debería ser crm:CRM a owl:Class)</w:t>
            </w:r>
          </w:p>
        </w:tc>
        <w:tc>
          <w:tcPr>
            <w:tcW w:type="dxa" w:w="850"/>
            <w:shd w:val="clear" w:color="auto" w:fill="F2F6FA"/>
            <w:vAlign w:val="center"/>
          </w:tcPr>
          <w:p>
            <w:r/>
            <w:r>
              <w:rPr>
                <w:sz w:val="20"/>
              </w:rPr>
              <w:t>9/35</w:t>
            </w:r>
          </w:p>
        </w:tc>
      </w:tr>
      <w:tr>
        <w:tc>
          <w:tcPr>
            <w:tcW w:type="dxa" w:w="1984"/>
            <w:vAlign w:val="center"/>
          </w:tcPr>
          <w:p>
            <w:r/>
            <w:r>
              <w:rPr>
                <w:sz w:val="20"/>
              </w:rPr>
              <w:t>qwen2.5-coder:7b</w:t>
            </w:r>
          </w:p>
        </w:tc>
        <w:tc>
          <w:tcPr>
            <w:tcW w:type="dxa" w:w="2551"/>
            <w:vAlign w:val="center"/>
          </w:tcPr>
          <w:p>
            <w:r/>
            <w:r>
              <w:rPr>
                <w:sz w:val="20"/>
              </w:rPr>
              <w:t>Mezcla sintaxis Turtle con RDF/XML y JSON-LD</w:t>
            </w:r>
          </w:p>
        </w:tc>
        <w:tc>
          <w:tcPr>
            <w:tcW w:type="dxa" w:w="3402"/>
            <w:vAlign w:val="center"/>
          </w:tcPr>
          <w:p>
            <w:r/>
            <w:r>
              <w:rPr>
                <w:sz w:val="20"/>
              </w:rPr>
              <w:t>owl:Ontology rdf:about "http://..." ;  o  owl:Ontology { ... }</w:t>
            </w:r>
          </w:p>
        </w:tc>
        <w:tc>
          <w:tcPr>
            <w:tcW w:type="dxa" w:w="850"/>
            <w:vAlign w:val="center"/>
          </w:tcPr>
          <w:p>
            <w:r/>
            <w:r>
              <w:rPr>
                <w:sz w:val="20"/>
              </w:rPr>
              <w:t>14/36</w:t>
            </w:r>
          </w:p>
        </w:tc>
      </w:tr>
    </w:tbl>
    <w:p>
      <w:r>
        <w:t>El patrón de Llama (omisión del «:») afecta principalmente a ontologías cortas en zero-shot y vocabulario controlado, pero desaparece en E3 cuando el RAG aporta ejemplos completos de sintaxis. El patrón de Qwen (confusión entre formatos RDF) es característico de un modelo de código que ha sido expuesto a múltiples serializaciones RDF (XML, JSON-LD, Turtle) durante el entrenamiento y mezcla los símbolos delimitadores. Curiosamente, Qwen produce Turtle válido en E3 (12/12), donde el contexto RAG actúa como ejemplo de referencia que «desambigua» el formato.</w:t>
      </w:r>
    </w:p>
    <w:p>
      <w:pPr>
        <w:pStyle w:val="Heading2"/>
      </w:pPr>
      <w:r>
        <w:t>10.3. Alucinaciones tipadas — un patrón de RAG, no de modelo</w:t>
      </w:r>
    </w:p>
    <w:p>
      <w:pPr>
        <w:jc w:val="center"/>
      </w:pPr>
      <w:r>
        <w:drawing>
          <wp:inline xmlns:a="http://schemas.openxmlformats.org/drawingml/2006/main" xmlns:pic="http://schemas.openxmlformats.org/drawingml/2006/picture">
            <wp:extent cx="5040000" cy="2767059"/>
            <wp:docPr id="9" name="Picture 9"/>
            <wp:cNvGraphicFramePr>
              <a:graphicFrameLocks noChangeAspect="1"/>
            </wp:cNvGraphicFramePr>
            <a:graphic>
              <a:graphicData uri="http://schemas.openxmlformats.org/drawingml/2006/picture">
                <pic:pic>
                  <pic:nvPicPr>
                    <pic:cNvPr id="0" name="fig08_hallucinations.png"/>
                    <pic:cNvPicPr/>
                  </pic:nvPicPr>
                  <pic:blipFill>
                    <a:blip r:embed="rId17"/>
                    <a:stretch>
                      <a:fillRect/>
                    </a:stretch>
                  </pic:blipFill>
                  <pic:spPr>
                    <a:xfrm>
                      <a:off x="0" y="0"/>
                      <a:ext cx="5040000" cy="2767059"/>
                    </a:xfrm>
                    <a:prstGeom prst="rect"/>
                  </pic:spPr>
                </pic:pic>
              </a:graphicData>
            </a:graphic>
          </wp:inline>
        </w:drawing>
      </w:r>
    </w:p>
    <w:p>
      <w:pPr>
        <w:spacing w:after="240"/>
        <w:jc w:val="center"/>
      </w:pPr>
      <w:r>
        <w:rPr>
          <w:i/>
          <w:color w:val="404040"/>
          <w:sz w:val="20"/>
        </w:rPr>
        <w:t>Figura 8. Literales con tipo numérico espurio (p.ej. "start_position"^^xsd:integer) detectados y saneados a xsd:string. Llama 3.1 8B y Qwen 2.5 Coder 7B producen exactamente 24 ocurrencias cada uno, concentradas exclusivamente en E3 (RAG). gpt-4o no incurre en este error en ningún experimento.</w:t>
      </w:r>
    </w:p>
    <w:p>
      <w:r>
        <w:t xml:space="preserve">Este resultado, refinado por la inclusión de Qwen, lleva a una conclusión más precisa que la formulada en la versión anterior del trabajo: el patrón de alucinación tipada </w:t>
      </w:r>
      <w:r>
        <w:rPr>
          <w:b/>
        </w:rPr>
        <w:t>no depende del modelo concreto sino del binomio RAG + modelo pequeño</w:t>
      </w:r>
      <w:r>
        <w:t>. Tanto Llama (generalista) como Qwen (especializado en código) producen exactamente el mismo número de errores y de la misma naturaleza. La causa probable es que el contexto recuperado incluye triples reales con valores numéricos, y el modelo pequeño copia el formato sin distinguir entre el placeholder del campo (start_position) y un valor concreto (16039967). gpt-4o, con mucha más capacidad de razonamiento contextual, asocia correctamente cada placeholder con un valor representativo del tipo declarado.</w:t>
      </w:r>
    </w:p>
    <w:p>
      <w:pPr>
        <w:pStyle w:val="Heading2"/>
      </w:pPr>
      <w:r>
        <w:t>10.4. Tabla resumen — OQuaRE Global por celda</w:t>
      </w:r>
    </w:p>
    <w:p>
      <w:pPr>
        <w:pStyle w:val="Caption"/>
        <w:jc w:val="center"/>
        <w:spacing w:before="120" w:after="60"/>
      </w:pPr>
      <w:r>
        <w:rPr>
          <w:b/>
          <w:sz w:val="20"/>
          <w:i/>
        </w:rPr>
        <w:t xml:space="preserve">Tabla 14. </w:t>
      </w:r>
      <w:r>
        <w:rPr>
          <w:sz w:val="20"/>
          <w:i/>
        </w:rPr>
        <w:t>Validez sintáctica cross-model tras post-procesado</w:t>
      </w:r>
    </w:p>
    <w:tbl>
      <w:tblPr>
        <w:tblStyle w:val="TableGrid"/>
        <w:tblW w:type="auto" w:w="0"/>
        <w:tblLook w:firstColumn="1" w:firstRow="1" w:lastColumn="0" w:lastRow="0" w:noHBand="0" w:noVBand="1" w:val="04A0"/>
      </w:tblPr>
      <w:tblGrid>
        <w:gridCol w:w="2209"/>
        <w:gridCol w:w="2209"/>
        <w:gridCol w:w="2209"/>
        <w:gridCol w:w="2209"/>
      </w:tblGrid>
      <w:tr>
        <w:tc>
          <w:tcPr>
            <w:tcW w:type="dxa" w:w="2268"/>
            <w:shd w:val="clear" w:color="auto" w:fill="1F4E79"/>
            <w:vAlign w:val="center"/>
          </w:tcPr>
          <w:p>
            <w:pPr>
              <w:jc w:val="center"/>
            </w:pPr>
            <w:r/>
            <w:r>
              <w:rPr>
                <w:b/>
                <w:color w:val="FFFFFF"/>
                <w:sz w:val="20"/>
              </w:rPr>
              <w:t>Experimento</w:t>
            </w:r>
          </w:p>
        </w:tc>
        <w:tc>
          <w:tcPr>
            <w:tcW w:type="dxa" w:w="1984"/>
            <w:shd w:val="clear" w:color="auto" w:fill="1F4E79"/>
            <w:vAlign w:val="center"/>
          </w:tcPr>
          <w:p>
            <w:pPr>
              <w:jc w:val="center"/>
            </w:pPr>
            <w:r/>
            <w:r>
              <w:rPr>
                <w:b/>
                <w:color w:val="FFFFFF"/>
                <w:sz w:val="20"/>
              </w:rPr>
              <w:t>gpt-4o</w:t>
            </w:r>
          </w:p>
        </w:tc>
        <w:tc>
          <w:tcPr>
            <w:tcW w:type="dxa" w:w="1984"/>
            <w:shd w:val="clear" w:color="auto" w:fill="1F4E79"/>
            <w:vAlign w:val="center"/>
          </w:tcPr>
          <w:p>
            <w:pPr>
              <w:jc w:val="center"/>
            </w:pPr>
            <w:r/>
            <w:r>
              <w:rPr>
                <w:b/>
                <w:color w:val="FFFFFF"/>
                <w:sz w:val="20"/>
              </w:rPr>
              <w:t>llama3.1:8b</w:t>
            </w:r>
          </w:p>
        </w:tc>
        <w:tc>
          <w:tcPr>
            <w:tcW w:type="dxa" w:w="2268"/>
            <w:shd w:val="clear" w:color="auto" w:fill="1F4E79"/>
            <w:vAlign w:val="center"/>
          </w:tcPr>
          <w:p>
            <w:pPr>
              <w:jc w:val="center"/>
            </w:pPr>
            <w:r/>
            <w:r>
              <w:rPr>
                <w:b/>
                <w:color w:val="FFFFFF"/>
                <w:sz w:val="20"/>
              </w:rPr>
              <w:t>qwen2.5-coder:7b</w:t>
            </w:r>
          </w:p>
        </w:tc>
      </w:tr>
      <w:tr>
        <w:tc>
          <w:tcPr>
            <w:tcW w:type="dxa" w:w="2268"/>
            <w:vAlign w:val="center"/>
          </w:tcPr>
          <w:p>
            <w:r/>
            <w:r>
              <w:rPr>
                <w:sz w:val="20"/>
              </w:rPr>
              <w:t>E1 zero-shot</w:t>
            </w:r>
          </w:p>
        </w:tc>
        <w:tc>
          <w:tcPr>
            <w:tcW w:type="dxa" w:w="1984"/>
            <w:vAlign w:val="center"/>
          </w:tcPr>
          <w:p>
            <w:r/>
            <w:r>
              <w:rPr>
                <w:sz w:val="20"/>
              </w:rPr>
              <w:t>3.89</w:t>
            </w:r>
          </w:p>
        </w:tc>
        <w:tc>
          <w:tcPr>
            <w:tcW w:type="dxa" w:w="1984"/>
            <w:vAlign w:val="center"/>
          </w:tcPr>
          <w:p>
            <w:r/>
            <w:r>
              <w:rPr>
                <w:sz w:val="20"/>
              </w:rPr>
              <w:t>3.77</w:t>
            </w:r>
          </w:p>
        </w:tc>
        <w:tc>
          <w:tcPr>
            <w:tcW w:type="dxa" w:w="2268"/>
            <w:vAlign w:val="center"/>
          </w:tcPr>
          <w:p>
            <w:r/>
            <w:r>
              <w:rPr>
                <w:sz w:val="20"/>
              </w:rPr>
              <w:t>(0/12 carga)</w:t>
            </w:r>
          </w:p>
        </w:tc>
      </w:tr>
      <w:tr>
        <w:tc>
          <w:tcPr>
            <w:tcW w:type="dxa" w:w="2268"/>
            <w:shd w:val="clear" w:color="auto" w:fill="F2F6FA"/>
            <w:vAlign w:val="center"/>
          </w:tcPr>
          <w:p>
            <w:r/>
            <w:r>
              <w:rPr>
                <w:sz w:val="20"/>
              </w:rPr>
              <w:t>E2 vocabulario</w:t>
            </w:r>
          </w:p>
        </w:tc>
        <w:tc>
          <w:tcPr>
            <w:tcW w:type="dxa" w:w="1984"/>
            <w:shd w:val="clear" w:color="auto" w:fill="F2F6FA"/>
            <w:vAlign w:val="center"/>
          </w:tcPr>
          <w:p>
            <w:r/>
            <w:r>
              <w:rPr>
                <w:sz w:val="20"/>
              </w:rPr>
              <w:t>3.98</w:t>
            </w:r>
          </w:p>
        </w:tc>
        <w:tc>
          <w:tcPr>
            <w:tcW w:type="dxa" w:w="1984"/>
            <w:shd w:val="clear" w:color="auto" w:fill="F2F6FA"/>
            <w:vAlign w:val="center"/>
          </w:tcPr>
          <w:p>
            <w:r/>
            <w:r>
              <w:rPr>
                <w:sz w:val="20"/>
              </w:rPr>
              <w:t>4.40</w:t>
            </w:r>
          </w:p>
        </w:tc>
        <w:tc>
          <w:tcPr>
            <w:tcW w:type="dxa" w:w="2268"/>
            <w:shd w:val="clear" w:color="auto" w:fill="F2F6FA"/>
            <w:vAlign w:val="center"/>
          </w:tcPr>
          <w:p>
            <w:r/>
            <w:r>
              <w:rPr>
                <w:sz w:val="20"/>
              </w:rPr>
              <w:t>4.00</w:t>
            </w:r>
          </w:p>
        </w:tc>
      </w:tr>
      <w:tr>
        <w:tc>
          <w:tcPr>
            <w:tcW w:type="dxa" w:w="2268"/>
            <w:vAlign w:val="center"/>
          </w:tcPr>
          <w:p>
            <w:r/>
            <w:r>
              <w:rPr>
                <w:sz w:val="20"/>
              </w:rPr>
              <w:t>E3 RAG</w:t>
            </w:r>
          </w:p>
        </w:tc>
        <w:tc>
          <w:tcPr>
            <w:tcW w:type="dxa" w:w="1984"/>
            <w:vAlign w:val="center"/>
          </w:tcPr>
          <w:p>
            <w:r/>
            <w:r>
              <w:rPr>
                <w:sz w:val="20"/>
              </w:rPr>
              <w:t>2.92</w:t>
            </w:r>
          </w:p>
        </w:tc>
        <w:tc>
          <w:tcPr>
            <w:tcW w:type="dxa" w:w="1984"/>
            <w:vAlign w:val="center"/>
          </w:tcPr>
          <w:p>
            <w:r/>
            <w:r>
              <w:rPr>
                <w:sz w:val="20"/>
              </w:rPr>
              <w:t>3.48</w:t>
            </w:r>
          </w:p>
        </w:tc>
        <w:tc>
          <w:tcPr>
            <w:tcW w:type="dxa" w:w="2268"/>
            <w:vAlign w:val="center"/>
          </w:tcPr>
          <w:p>
            <w:r/>
            <w:r>
              <w:rPr>
                <w:sz w:val="20"/>
              </w:rPr>
              <w:t>3.45</w:t>
            </w:r>
          </w:p>
        </w:tc>
      </w:tr>
      <w:tr>
        <w:tc>
          <w:tcPr>
            <w:tcW w:type="dxa" w:w="2268"/>
            <w:shd w:val="clear" w:color="auto" w:fill="F2F6FA"/>
            <w:vAlign w:val="center"/>
          </w:tcPr>
          <w:p>
            <w:r/>
            <w:r>
              <w:rPr>
                <w:sz w:val="20"/>
              </w:rPr>
              <w:t>E4 OntoGenix</w:t>
            </w:r>
          </w:p>
        </w:tc>
        <w:tc>
          <w:tcPr>
            <w:tcW w:type="dxa" w:w="1984"/>
            <w:shd w:val="clear" w:color="auto" w:fill="F2F6FA"/>
            <w:vAlign w:val="center"/>
          </w:tcPr>
          <w:p>
            <w:r/>
            <w:r>
              <w:rPr>
                <w:sz w:val="20"/>
              </w:rPr>
              <w:t>3.86</w:t>
            </w:r>
          </w:p>
        </w:tc>
        <w:tc>
          <w:tcPr>
            <w:tcW w:type="dxa" w:w="1984"/>
            <w:shd w:val="clear" w:color="auto" w:fill="F2F6FA"/>
            <w:vAlign w:val="center"/>
          </w:tcPr>
          <w:p>
            <w:r/>
            <w:r>
              <w:rPr>
                <w:sz w:val="20"/>
              </w:rPr>
              <w:t>(N/A)</w:t>
            </w:r>
          </w:p>
        </w:tc>
        <w:tc>
          <w:tcPr>
            <w:tcW w:type="dxa" w:w="2268"/>
            <w:shd w:val="clear" w:color="auto" w:fill="F2F6FA"/>
            <w:vAlign w:val="center"/>
          </w:tcPr>
          <w:p>
            <w:r/>
            <w:r>
              <w:rPr>
                <w:sz w:val="20"/>
              </w:rPr>
              <w:t>(N/A)</w:t>
            </w:r>
          </w:p>
        </w:tc>
      </w:tr>
    </w:tbl>
    <w:p>
      <w:pPr>
        <w:jc w:val="center"/>
      </w:pPr>
      <w:r>
        <w:drawing>
          <wp:inline xmlns:a="http://schemas.openxmlformats.org/drawingml/2006/main" xmlns:pic="http://schemas.openxmlformats.org/drawingml/2006/picture">
            <wp:extent cx="5040000" cy="3058690"/>
            <wp:docPr id="10" name="Picture 10"/>
            <wp:cNvGraphicFramePr>
              <a:graphicFrameLocks noChangeAspect="1"/>
            </wp:cNvGraphicFramePr>
            <a:graphic>
              <a:graphicData uri="http://schemas.openxmlformats.org/drawingml/2006/picture">
                <pic:pic>
                  <pic:nvPicPr>
                    <pic:cNvPr id="0" name="fig05_oquare_global.png"/>
                    <pic:cNvPicPr/>
                  </pic:nvPicPr>
                  <pic:blipFill>
                    <a:blip r:embed="rId14"/>
                    <a:stretch>
                      <a:fillRect/>
                    </a:stretch>
                  </pic:blipFill>
                  <pic:spPr>
                    <a:xfrm>
                      <a:off x="0" y="0"/>
                      <a:ext cx="5040000" cy="3058690"/>
                    </a:xfrm>
                    <a:prstGeom prst="rect"/>
                  </pic:spPr>
                </pic:pic>
              </a:graphicData>
            </a:graphic>
          </wp:inline>
        </w:drawing>
      </w:r>
    </w:p>
    <w:p>
      <w:pPr>
        <w:spacing w:after="240"/>
        <w:jc w:val="center"/>
      </w:pPr>
      <w:r>
        <w:rPr>
          <w:i/>
          <w:color w:val="404040"/>
          <w:sz w:val="20"/>
        </w:rPr>
        <w:t>Figura 9 (bis). OQuaRE Global por experimento y modelo. La línea punteada marca el umbral 3.0 «aceptable» de la literatura OQuaRE.</w:t>
      </w:r>
    </w:p>
    <w:p>
      <w:r>
        <w:t xml:space="preserve">Tres observaciones de esta tabla. </w:t>
      </w:r>
      <w:r>
        <w:rPr>
          <w:b/>
        </w:rPr>
        <w:t>Primera</w:t>
      </w:r>
      <w:r>
        <w:t xml:space="preserve">: en E2 y E3, los modelos open-source alcanzan o superan a gpt-4o (Llama 4.40 y Qwen 4.00 en E2 frente a 3.98 de gpt-4o; Llama 3.48 y Qwen 3.45 en E3 frente a 2.92 de gpt-4o). </w:t>
      </w:r>
      <w:r>
        <w:rPr>
          <w:b/>
        </w:rPr>
        <w:t>Segunda</w:t>
      </w:r>
      <w:r>
        <w:t xml:space="preserve">: la diferencia entre Llama y Qwen es muy pequeña (≤ 0.40 puntos en cualquier celda) — la especialización en código de Qwen no se traduce en una ventaja OQuaRE clara. </w:t>
      </w:r>
      <w:r>
        <w:rPr>
          <w:b/>
        </w:rPr>
        <w:t>Tercera</w:t>
      </w:r>
      <w:r>
        <w:t>: gpt-4o es el único modelo capaz de producir ontologías válidas en E1 sin post-procesado severo, lo cual mantiene su valor como baseline robusto.</w:t>
      </w:r>
    </w:p>
    <w:p>
      <w:pPr>
        <w:pStyle w:val="Heading2"/>
      </w:pPr>
      <w:r>
        <w:t>10.5. Hallazgo metodológico — OQuaRE penaliza la complejidad</w:t>
      </w:r>
    </w:p>
    <w:p>
      <w:r>
        <w:t>El resultado más contraintuitivo es que los modelos open-source obtienen scores OQuaRE Global más altos que gpt-4o en E2 y E3, y que E4 (OntoGenix), que en el apartado 8 era el ganador absoluto en riqueza estructural y documental, queda en posición intermedia (3.86). La explicación está en las rúbricas OQuaRE: las métricas de la sub-característica «Structural» (WMCOnto, NOMOnto, DITM) puntúan MEJOR cuanto MENOR es el valor — están calibradas para ontologías canónicas de tamaño medio y penalizan tanto la infra-estructuración como la sobre-estructuración. Las ontologías ricas que produce E4 (OntoGenix con sus ~227 triples y ~43 labels) caen en el borde superior, mientras que las ontologías simples y limpias de E2 con cualquier modelo se sitúan en el óptimo de la rúbrica.</w:t>
      </w:r>
    </w:p>
    <w:p>
      <w:r>
        <w:t xml:space="preserve">Esto no debe interpretarse como que los modelos open-source produzcan «mejores ontologías» que OntoGenix; significa que </w:t>
      </w:r>
      <w:r>
        <w:rPr>
          <w:b/>
        </w:rPr>
        <w:t>OQuaRE y riqueza semántica son dimensiones complementarias</w:t>
      </w:r>
      <w:r>
        <w:t>, no equivalentes. Para una evaluación holística hay que reportar ambas: el ranking OQuaRE + las métricas absolutas de triples, clases, labels y validez. Esta observación es uno de los hallazgos metodológicos principales del TFM.</w:t>
      </w:r>
    </w:p>
    <w:p>
      <w:pPr>
        <w:pStyle w:val="Heading2"/>
      </w:pPr>
      <w:r>
        <w:t>10.6. Extensión del cuadro: E4 (OntoGenix) con modelos open-source</w:t>
      </w:r>
    </w:p>
    <w:p>
      <w:r>
        <w:t>Para responder a la pregunta «¿la ventaja de E4 viene del MÉTODO (pipeline multi-agente) o del MODELO (gpt-4o)?», se replicó la pipeline OntoGenix con modelo open-source local. Esto requirió tres adaptaciones técnicas mínimas al código original de OntoGenix/GUI/LLM_base/LlmBase.py:</w:t>
      </w:r>
    </w:p>
    <w:p>
      <w:pPr>
        <w:pStyle w:val="ListBullet"/>
      </w:pPr>
      <w:r>
        <w:t>Detección del provider: nueva rama en el constructor de AbstractLlm que crea un cliente OpenAI con base_url=http://localhost:11434/v1 y api_key dummy cuando metadata['provider']=='ollama'.</w:t>
      </w:r>
    </w:p>
    <w:p>
      <w:pPr>
        <w:pStyle w:val="ListBullet"/>
      </w:pPr>
      <w:r>
        <w:t>Inyección de num_ctx en cada llamada al API mediante extra_body={'options': {'num_ctx': N}}. Sin esto, Ollama trunca silenciosamente todo prompt &gt; 4096 tokens, lo cual rompe el paso del OntoMapper (cuyos prompts pueden alcanzar 45 000 tokens).</w:t>
      </w:r>
    </w:p>
    <w:p>
      <w:pPr>
        <w:pStyle w:val="ListBullet"/>
      </w:pPr>
      <w:r>
        <w:t>Omisión del parámetro seed en llamadas Ollama (algunas builds del endpoint /v1/chat/completions lo rechazan).</w:t>
      </w:r>
    </w:p>
    <w:p>
      <w:r>
        <w:t>El script scripts/run_ontogenix_experiments.py se extendió con un flag --num-ctx (default 32 768) que se propaga a los tres agentes. El soporte se valida automáticamente leyendo LLM_MODELS de config.py.</w:t>
      </w:r>
    </w:p>
    <w:p>
      <w:pPr>
        <w:pStyle w:val="Heading3"/>
      </w:pPr>
      <w:r>
        <w:t>10.6.1. Resultados preliminares E4 con Llama 3.1 8B</w:t>
      </w:r>
    </w:p>
    <w:p>
      <w:r>
        <w:t>Tras adaptar OntoGenix se ejecutó la pipeline completa con llama3.1:8b sobre las cuatro bases de datos del corpus. La tabla siguiente recoge los resultados parciales (FANTOM5 y dbSUPER completados, HACER en curso, DiseaseEnhancer pendiente al cierre de esta versión).</w:t>
      </w:r>
    </w:p>
    <w:p>
      <w:pPr>
        <w:pStyle w:val="Caption"/>
        <w:jc w:val="center"/>
        <w:spacing w:before="120" w:after="60"/>
      </w:pPr>
      <w:r>
        <w:rPr>
          <w:b/>
          <w:sz w:val="20"/>
          <w:i/>
        </w:rPr>
        <w:t xml:space="preserve">Tabla 15. </w:t>
      </w:r>
      <w:r>
        <w:rPr>
          <w:sz w:val="20"/>
          <w:i/>
        </w:rPr>
        <w:t>OQuaRE Global por celda — modelo × experimento × base de datos</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2268"/>
            <w:shd w:val="clear" w:color="auto" w:fill="1F4E79"/>
            <w:vAlign w:val="center"/>
          </w:tcPr>
          <w:p>
            <w:pPr>
              <w:jc w:val="center"/>
            </w:pPr>
            <w:r/>
            <w:r>
              <w:rPr>
                <w:b/>
                <w:color w:val="FFFFFF"/>
                <w:sz w:val="20"/>
              </w:rPr>
              <w:t>BBDD</w:t>
            </w:r>
          </w:p>
        </w:tc>
        <w:tc>
          <w:tcPr>
            <w:tcW w:type="dxa" w:w="1417"/>
            <w:shd w:val="clear" w:color="auto" w:fill="1F4E79"/>
            <w:vAlign w:val="center"/>
          </w:tcPr>
          <w:p>
            <w:pPr>
              <w:jc w:val="center"/>
            </w:pPr>
            <w:r/>
            <w:r>
              <w:rPr>
                <w:b/>
                <w:color w:val="FFFFFF"/>
                <w:sz w:val="20"/>
              </w:rPr>
              <w:t>n_runs OK</w:t>
            </w:r>
          </w:p>
        </w:tc>
        <w:tc>
          <w:tcPr>
            <w:tcW w:type="dxa" w:w="1701"/>
            <w:shd w:val="clear" w:color="auto" w:fill="1F4E79"/>
            <w:vAlign w:val="center"/>
          </w:tcPr>
          <w:p>
            <w:pPr>
              <w:jc w:val="center"/>
            </w:pPr>
            <w:r/>
            <w:r>
              <w:rPr>
                <w:b/>
                <w:color w:val="FFFFFF"/>
                <w:sz w:val="20"/>
              </w:rPr>
              <w:t>Triples (media)</w:t>
            </w:r>
          </w:p>
        </w:tc>
        <w:tc>
          <w:tcPr>
            <w:tcW w:type="dxa" w:w="1417"/>
            <w:shd w:val="clear" w:color="auto" w:fill="1F4E79"/>
            <w:vAlign w:val="center"/>
          </w:tcPr>
          <w:p>
            <w:pPr>
              <w:jc w:val="center"/>
            </w:pPr>
            <w:r/>
            <w:r>
              <w:rPr>
                <w:b/>
                <w:color w:val="FFFFFF"/>
                <w:sz w:val="20"/>
              </w:rPr>
              <w:t>Labels (media)</w:t>
            </w:r>
          </w:p>
        </w:tc>
        <w:tc>
          <w:tcPr>
            <w:tcW w:type="dxa" w:w="1701"/>
            <w:shd w:val="clear" w:color="auto" w:fill="1F4E79"/>
            <w:vAlign w:val="center"/>
          </w:tcPr>
          <w:p>
            <w:pPr>
              <w:jc w:val="center"/>
            </w:pPr>
            <w:r/>
            <w:r>
              <w:rPr>
                <w:b/>
                <w:color w:val="FFFFFF"/>
                <w:sz w:val="20"/>
              </w:rPr>
              <w:t>Tiempo / run</w:t>
            </w:r>
          </w:p>
        </w:tc>
      </w:tr>
      <w:tr>
        <w:tc>
          <w:tcPr>
            <w:tcW w:type="dxa" w:w="2268"/>
            <w:vAlign w:val="center"/>
          </w:tcPr>
          <w:p>
            <w:r/>
            <w:r>
              <w:rPr>
                <w:sz w:val="20"/>
              </w:rPr>
              <w:t>FANTOM5</w:t>
            </w:r>
          </w:p>
        </w:tc>
        <w:tc>
          <w:tcPr>
            <w:tcW w:type="dxa" w:w="1417"/>
            <w:vAlign w:val="center"/>
          </w:tcPr>
          <w:p>
            <w:r/>
            <w:r>
              <w:rPr>
                <w:sz w:val="20"/>
              </w:rPr>
              <w:t>3/3</w:t>
            </w:r>
          </w:p>
        </w:tc>
        <w:tc>
          <w:tcPr>
            <w:tcW w:type="dxa" w:w="1701"/>
            <w:vAlign w:val="center"/>
          </w:tcPr>
          <w:p>
            <w:r/>
            <w:r>
              <w:rPr>
                <w:sz w:val="20"/>
              </w:rPr>
              <w:t>≈6</w:t>
            </w:r>
          </w:p>
        </w:tc>
        <w:tc>
          <w:tcPr>
            <w:tcW w:type="dxa" w:w="1417"/>
            <w:vAlign w:val="center"/>
          </w:tcPr>
          <w:p>
            <w:r/>
            <w:r>
              <w:rPr>
                <w:sz w:val="20"/>
              </w:rPr>
              <w:t>31</w:t>
            </w:r>
          </w:p>
        </w:tc>
        <w:tc>
          <w:tcPr>
            <w:tcW w:type="dxa" w:w="1701"/>
            <w:vAlign w:val="center"/>
          </w:tcPr>
          <w:p>
            <w:r/>
            <w:r>
              <w:rPr>
                <w:sz w:val="20"/>
              </w:rPr>
              <w:t>≈4 h</w:t>
            </w:r>
          </w:p>
        </w:tc>
      </w:tr>
      <w:tr>
        <w:tc>
          <w:tcPr>
            <w:tcW w:type="dxa" w:w="2268"/>
            <w:shd w:val="clear" w:color="auto" w:fill="F2F6FA"/>
            <w:vAlign w:val="center"/>
          </w:tcPr>
          <w:p>
            <w:r/>
            <w:r>
              <w:rPr>
                <w:sz w:val="20"/>
              </w:rPr>
              <w:t>dbSUPER</w:t>
            </w:r>
          </w:p>
        </w:tc>
        <w:tc>
          <w:tcPr>
            <w:tcW w:type="dxa" w:w="1417"/>
            <w:shd w:val="clear" w:color="auto" w:fill="F2F6FA"/>
            <w:vAlign w:val="center"/>
          </w:tcPr>
          <w:p>
            <w:r/>
            <w:r>
              <w:rPr>
                <w:sz w:val="20"/>
              </w:rPr>
              <w:t>3/3</w:t>
            </w:r>
          </w:p>
        </w:tc>
        <w:tc>
          <w:tcPr>
            <w:tcW w:type="dxa" w:w="1701"/>
            <w:shd w:val="clear" w:color="auto" w:fill="F2F6FA"/>
            <w:vAlign w:val="center"/>
          </w:tcPr>
          <w:p>
            <w:r/>
            <w:r>
              <w:rPr>
                <w:sz w:val="20"/>
              </w:rPr>
              <w:t>≈6</w:t>
            </w:r>
          </w:p>
        </w:tc>
        <w:tc>
          <w:tcPr>
            <w:tcW w:type="dxa" w:w="1417"/>
            <w:shd w:val="clear" w:color="auto" w:fill="F2F6FA"/>
            <w:vAlign w:val="center"/>
          </w:tcPr>
          <w:p>
            <w:r/>
            <w:r>
              <w:rPr>
                <w:sz w:val="20"/>
              </w:rPr>
              <w:t>24</w:t>
            </w:r>
          </w:p>
        </w:tc>
        <w:tc>
          <w:tcPr>
            <w:tcW w:type="dxa" w:w="1701"/>
            <w:shd w:val="clear" w:color="auto" w:fill="F2F6FA"/>
            <w:vAlign w:val="center"/>
          </w:tcPr>
          <w:p>
            <w:r/>
            <w:r>
              <w:rPr>
                <w:sz w:val="20"/>
              </w:rPr>
              <w:t>≈4 h</w:t>
            </w:r>
          </w:p>
        </w:tc>
      </w:tr>
      <w:tr>
        <w:tc>
          <w:tcPr>
            <w:tcW w:type="dxa" w:w="2268"/>
            <w:vAlign w:val="center"/>
          </w:tcPr>
          <w:p>
            <w:r/>
            <w:r>
              <w:rPr>
                <w:sz w:val="20"/>
              </w:rPr>
              <w:t>HACER</w:t>
            </w:r>
          </w:p>
        </w:tc>
        <w:tc>
          <w:tcPr>
            <w:tcW w:type="dxa" w:w="1417"/>
            <w:vAlign w:val="center"/>
          </w:tcPr>
          <w:p>
            <w:r/>
            <w:r>
              <w:rPr>
                <w:sz w:val="20"/>
              </w:rPr>
              <w:t>1/3*</w:t>
            </w:r>
          </w:p>
        </w:tc>
        <w:tc>
          <w:tcPr>
            <w:tcW w:type="dxa" w:w="1701"/>
            <w:vAlign w:val="center"/>
          </w:tcPr>
          <w:p>
            <w:r/>
            <w:r>
              <w:rPr>
                <w:sz w:val="20"/>
              </w:rPr>
              <w:t>≈5</w:t>
            </w:r>
          </w:p>
        </w:tc>
        <w:tc>
          <w:tcPr>
            <w:tcW w:type="dxa" w:w="1417"/>
            <w:vAlign w:val="center"/>
          </w:tcPr>
          <w:p>
            <w:r/>
            <w:r>
              <w:rPr>
                <w:sz w:val="20"/>
              </w:rPr>
              <w:t>24</w:t>
            </w:r>
          </w:p>
        </w:tc>
        <w:tc>
          <w:tcPr>
            <w:tcW w:type="dxa" w:w="1701"/>
            <w:vAlign w:val="center"/>
          </w:tcPr>
          <w:p>
            <w:r/>
            <w:r>
              <w:rPr>
                <w:sz w:val="20"/>
              </w:rPr>
              <w:t>≈4 h</w:t>
            </w:r>
          </w:p>
        </w:tc>
      </w:tr>
      <w:tr>
        <w:tc>
          <w:tcPr>
            <w:tcW w:type="dxa" w:w="2268"/>
            <w:shd w:val="clear" w:color="auto" w:fill="F2F6FA"/>
            <w:vAlign w:val="center"/>
          </w:tcPr>
          <w:p>
            <w:r/>
            <w:r>
              <w:rPr>
                <w:sz w:val="20"/>
              </w:rPr>
              <w:t>DiseaseEnhancer</w:t>
            </w:r>
          </w:p>
        </w:tc>
        <w:tc>
          <w:tcPr>
            <w:tcW w:type="dxa" w:w="1417"/>
            <w:shd w:val="clear" w:color="auto" w:fill="F2F6FA"/>
            <w:vAlign w:val="center"/>
          </w:tcPr>
          <w:p>
            <w:r/>
            <w:r>
              <w:rPr>
                <w:sz w:val="20"/>
              </w:rPr>
              <w:t>—</w:t>
            </w:r>
          </w:p>
        </w:tc>
        <w:tc>
          <w:tcPr>
            <w:tcW w:type="dxa" w:w="1701"/>
            <w:shd w:val="clear" w:color="auto" w:fill="F2F6FA"/>
            <w:vAlign w:val="center"/>
          </w:tcPr>
          <w:p>
            <w:r/>
            <w:r>
              <w:rPr>
                <w:sz w:val="20"/>
              </w:rPr>
              <w:t>—</w:t>
            </w:r>
          </w:p>
        </w:tc>
        <w:tc>
          <w:tcPr>
            <w:tcW w:type="dxa" w:w="1417"/>
            <w:shd w:val="clear" w:color="auto" w:fill="F2F6FA"/>
            <w:vAlign w:val="center"/>
          </w:tcPr>
          <w:p>
            <w:r/>
            <w:r>
              <w:rPr>
                <w:sz w:val="20"/>
              </w:rPr>
              <w:t>—</w:t>
            </w:r>
          </w:p>
        </w:tc>
        <w:tc>
          <w:tcPr>
            <w:tcW w:type="dxa" w:w="1701"/>
            <w:shd w:val="clear" w:color="auto" w:fill="F2F6FA"/>
            <w:vAlign w:val="center"/>
          </w:tcPr>
          <w:p>
            <w:r/>
            <w:r>
              <w:rPr>
                <w:sz w:val="20"/>
              </w:rPr>
              <w:t>—</w:t>
            </w:r>
          </w:p>
        </w:tc>
      </w:tr>
      <w:tr>
        <w:tc>
          <w:tcPr>
            <w:tcW w:type="dxa" w:w="2268"/>
            <w:vAlign w:val="center"/>
          </w:tcPr>
          <w:p>
            <w:r/>
            <w:r>
              <w:rPr>
                <w:sz w:val="20"/>
              </w:rPr>
              <w:t>E4 con gpt-4o (referencia)</w:t>
            </w:r>
          </w:p>
        </w:tc>
        <w:tc>
          <w:tcPr>
            <w:tcW w:type="dxa" w:w="1417"/>
            <w:vAlign w:val="center"/>
          </w:tcPr>
          <w:p>
            <w:r/>
            <w:r>
              <w:rPr>
                <w:sz w:val="20"/>
              </w:rPr>
              <w:t>12/12 (4×3)</w:t>
            </w:r>
          </w:p>
        </w:tc>
        <w:tc>
          <w:tcPr>
            <w:tcW w:type="dxa" w:w="1701"/>
            <w:vAlign w:val="center"/>
          </w:tcPr>
          <w:p>
            <w:r/>
            <w:r>
              <w:rPr>
                <w:sz w:val="20"/>
              </w:rPr>
              <w:t>≈227</w:t>
            </w:r>
          </w:p>
        </w:tc>
        <w:tc>
          <w:tcPr>
            <w:tcW w:type="dxa" w:w="1417"/>
            <w:vAlign w:val="center"/>
          </w:tcPr>
          <w:p>
            <w:r/>
            <w:r>
              <w:rPr>
                <w:sz w:val="20"/>
              </w:rPr>
              <w:t>≈43</w:t>
            </w:r>
          </w:p>
        </w:tc>
        <w:tc>
          <w:tcPr>
            <w:tcW w:type="dxa" w:w="1701"/>
            <w:vAlign w:val="center"/>
          </w:tcPr>
          <w:p>
            <w:r/>
            <w:r>
              <w:rPr>
                <w:sz w:val="20"/>
              </w:rPr>
              <w:t>≈30 s</w:t>
            </w:r>
          </w:p>
        </w:tc>
      </w:tr>
    </w:tbl>
    <w:p>
      <w:r>
        <w:t>* En curso al cierre de esta versión del documento. Se actualizará en la versión 6 con la tabla completa y la evaluación OQuaRE.</w:t>
      </w:r>
    </w:p>
    <w:p>
      <w:pPr>
        <w:pStyle w:val="Heading3"/>
      </w:pPr>
      <w:r>
        <w:t>10.6.2. Hallazgo clave — el método compensa la sintaxis pero no la riqueza</w:t>
      </w:r>
    </w:p>
    <w:p>
      <w:r>
        <w:t xml:space="preserve">Las ontologías producidas por la pipeline OntoGenix con llama3.1:8b son sintácticamente correctas (3/3 cargan en owlready2 sin necesidad de post-procesado), bien estructuradas (jerarquía de owl:Class con rdfs:subClassOf, cobertura documental similar a E4/gpt-4o con ~25-30 rdfs:label) y consistentes lógicamente (HermiT no detecta clases insatisfacibles). En este aspecto </w:t>
      </w:r>
      <w:r>
        <w:rPr>
          <w:b/>
        </w:rPr>
        <w:t>el método multi-agente sí compensa la deficiencia sintáctica observada en E1-E3 con llama3.1:8b</w:t>
      </w:r>
      <w:r>
        <w:t>: el modelo, guiado paso a paso por LlmPlanner → LlmOntology → LlmOntoMapper, deja de cometer errores como omitir el «:» del prefijo o mezclar sintaxis.</w:t>
      </w:r>
    </w:p>
    <w:p>
      <w:r>
        <w:t xml:space="preserve">Sin embargo, </w:t>
      </w:r>
      <w:r>
        <w:rPr>
          <w:b/>
        </w:rPr>
        <w:t>el método NO compensa la pobreza semántica</w:t>
      </w:r>
      <w:r>
        <w:t>. Las ontologías generadas con llama3.1:8b contienen únicamente 5-6 triples de cuerpo y carecen prácticamente de propiedades de objeto (owl:ObjectProperty), propiedades de datos (owl:DatatypeProperty) y restricciones (owl:Restriction). Son esquemas válidos pero esqueléticos: una jerarquía de clases con etiquetas y comentarios, sin la malla relacional rica que produce gpt-4o (≈227 triples, ≈26 datatype properties, ≈10 subClassOf por ontología en E4).</w:t>
      </w:r>
    </w:p>
    <w:p>
      <w:pPr>
        <w:pStyle w:val="Caption"/>
        <w:jc w:val="center"/>
        <w:spacing w:before="120" w:after="60"/>
      </w:pPr>
      <w:r>
        <w:rPr>
          <w:b/>
          <w:sz w:val="20"/>
          <w:i/>
        </w:rPr>
        <w:t xml:space="preserve">Tabla 16. </w:t>
      </w:r>
      <w:r>
        <w:rPr>
          <w:sz w:val="20"/>
          <w:i/>
        </w:rPr>
        <w:t>Comparativa E4 OntoGenix con gpt-4o frente a Llama 3.1 8B (riqueza vs sintaxis)</w:t>
      </w:r>
    </w:p>
    <w:tbl>
      <w:tblPr>
        <w:tblStyle w:val="TableGrid"/>
        <w:tblW w:type="auto" w:w="0"/>
        <w:tblLook w:firstColumn="1" w:firstRow="1" w:lastColumn="0" w:lastRow="0" w:noHBand="0" w:noVBand="1" w:val="04A0"/>
      </w:tblPr>
      <w:tblGrid>
        <w:gridCol w:w="2209"/>
        <w:gridCol w:w="2209"/>
        <w:gridCol w:w="2209"/>
        <w:gridCol w:w="2209"/>
      </w:tblGrid>
      <w:tr>
        <w:tc>
          <w:tcPr>
            <w:tcW w:type="dxa" w:w="2835"/>
            <w:shd w:val="clear" w:color="auto" w:fill="1F4E79"/>
            <w:vAlign w:val="center"/>
          </w:tcPr>
          <w:p>
            <w:pPr>
              <w:jc w:val="center"/>
            </w:pPr>
            <w:r/>
            <w:r>
              <w:rPr>
                <w:b/>
                <w:color w:val="FFFFFF"/>
                <w:sz w:val="20"/>
              </w:rPr>
              <w:t>Dimensión</w:t>
            </w:r>
          </w:p>
        </w:tc>
        <w:tc>
          <w:tcPr>
            <w:tcW w:type="dxa" w:w="1701"/>
            <w:shd w:val="clear" w:color="auto" w:fill="1F4E79"/>
            <w:vAlign w:val="center"/>
          </w:tcPr>
          <w:p>
            <w:pPr>
              <w:jc w:val="center"/>
            </w:pPr>
            <w:r/>
            <w:r>
              <w:rPr>
                <w:b/>
                <w:color w:val="FFFFFF"/>
                <w:sz w:val="20"/>
              </w:rPr>
              <w:t>E4 / gpt-4o</w:t>
            </w:r>
          </w:p>
        </w:tc>
        <w:tc>
          <w:tcPr>
            <w:tcW w:type="dxa" w:w="1984"/>
            <w:shd w:val="clear" w:color="auto" w:fill="1F4E79"/>
            <w:vAlign w:val="center"/>
          </w:tcPr>
          <w:p>
            <w:pPr>
              <w:jc w:val="center"/>
            </w:pPr>
            <w:r/>
            <w:r>
              <w:rPr>
                <w:b/>
                <w:color w:val="FFFFFF"/>
                <w:sz w:val="20"/>
              </w:rPr>
              <w:t>E4 / llama3.1:8b</w:t>
            </w:r>
          </w:p>
        </w:tc>
        <w:tc>
          <w:tcPr>
            <w:tcW w:type="dxa" w:w="1984"/>
            <w:shd w:val="clear" w:color="auto" w:fill="1F4E79"/>
            <w:vAlign w:val="center"/>
          </w:tcPr>
          <w:p>
            <w:pPr>
              <w:jc w:val="center"/>
            </w:pPr>
            <w:r/>
            <w:r>
              <w:rPr>
                <w:b/>
                <w:color w:val="FFFFFF"/>
                <w:sz w:val="20"/>
              </w:rPr>
              <w:t>Ratio</w:t>
            </w:r>
          </w:p>
        </w:tc>
      </w:tr>
      <w:tr>
        <w:tc>
          <w:tcPr>
            <w:tcW w:type="dxa" w:w="2835"/>
            <w:vAlign w:val="center"/>
          </w:tcPr>
          <w:p>
            <w:r/>
            <w:r>
              <w:rPr>
                <w:sz w:val="20"/>
              </w:rPr>
              <w:t>Triples totales</w:t>
            </w:r>
          </w:p>
        </w:tc>
        <w:tc>
          <w:tcPr>
            <w:tcW w:type="dxa" w:w="1701"/>
            <w:vAlign w:val="center"/>
          </w:tcPr>
          <w:p>
            <w:r/>
            <w:r>
              <w:rPr>
                <w:sz w:val="20"/>
              </w:rPr>
              <w:t>≈227</w:t>
            </w:r>
          </w:p>
        </w:tc>
        <w:tc>
          <w:tcPr>
            <w:tcW w:type="dxa" w:w="1984"/>
            <w:vAlign w:val="center"/>
          </w:tcPr>
          <w:p>
            <w:r/>
            <w:r>
              <w:rPr>
                <w:sz w:val="20"/>
              </w:rPr>
              <w:t>≈6</w:t>
            </w:r>
          </w:p>
        </w:tc>
        <w:tc>
          <w:tcPr>
            <w:tcW w:type="dxa" w:w="1984"/>
            <w:vAlign w:val="center"/>
          </w:tcPr>
          <w:p>
            <w:r/>
            <w:r>
              <w:rPr>
                <w:sz w:val="20"/>
              </w:rPr>
              <w:t>38× menos</w:t>
            </w:r>
          </w:p>
        </w:tc>
      </w:tr>
      <w:tr>
        <w:tc>
          <w:tcPr>
            <w:tcW w:type="dxa" w:w="2835"/>
            <w:shd w:val="clear" w:color="auto" w:fill="F2F6FA"/>
            <w:vAlign w:val="center"/>
          </w:tcPr>
          <w:p>
            <w:r/>
            <w:r>
              <w:rPr>
                <w:sz w:val="20"/>
              </w:rPr>
              <w:t>rdfs:label</w:t>
            </w:r>
          </w:p>
        </w:tc>
        <w:tc>
          <w:tcPr>
            <w:tcW w:type="dxa" w:w="1701"/>
            <w:shd w:val="clear" w:color="auto" w:fill="F2F6FA"/>
            <w:vAlign w:val="center"/>
          </w:tcPr>
          <w:p>
            <w:r/>
            <w:r>
              <w:rPr>
                <w:sz w:val="20"/>
              </w:rPr>
              <w:t>≈43</w:t>
            </w:r>
          </w:p>
        </w:tc>
        <w:tc>
          <w:tcPr>
            <w:tcW w:type="dxa" w:w="1984"/>
            <w:shd w:val="clear" w:color="auto" w:fill="F2F6FA"/>
            <w:vAlign w:val="center"/>
          </w:tcPr>
          <w:p>
            <w:r/>
            <w:r>
              <w:rPr>
                <w:sz w:val="20"/>
              </w:rPr>
              <w:t>≈30</w:t>
            </w:r>
          </w:p>
        </w:tc>
        <w:tc>
          <w:tcPr>
            <w:tcW w:type="dxa" w:w="1984"/>
            <w:shd w:val="clear" w:color="auto" w:fill="F2F6FA"/>
            <w:vAlign w:val="center"/>
          </w:tcPr>
          <w:p>
            <w:r/>
            <w:r>
              <w:rPr>
                <w:sz w:val="20"/>
              </w:rPr>
              <w:t>1.4× menos</w:t>
            </w:r>
          </w:p>
        </w:tc>
      </w:tr>
      <w:tr>
        <w:tc>
          <w:tcPr>
            <w:tcW w:type="dxa" w:w="2835"/>
            <w:vAlign w:val="center"/>
          </w:tcPr>
          <w:p>
            <w:r/>
            <w:r>
              <w:rPr>
                <w:sz w:val="20"/>
              </w:rPr>
              <w:t>owl:ObjectProperty</w:t>
            </w:r>
          </w:p>
        </w:tc>
        <w:tc>
          <w:tcPr>
            <w:tcW w:type="dxa" w:w="1701"/>
            <w:vAlign w:val="center"/>
          </w:tcPr>
          <w:p>
            <w:r/>
            <w:r>
              <w:rPr>
                <w:sz w:val="20"/>
              </w:rPr>
              <w:t>≈6</w:t>
            </w:r>
          </w:p>
        </w:tc>
        <w:tc>
          <w:tcPr>
            <w:tcW w:type="dxa" w:w="1984"/>
            <w:vAlign w:val="center"/>
          </w:tcPr>
          <w:p>
            <w:r/>
            <w:r>
              <w:rPr>
                <w:sz w:val="20"/>
              </w:rPr>
              <w:t>≈0</w:t>
            </w:r>
          </w:p>
        </w:tc>
        <w:tc>
          <w:tcPr>
            <w:tcW w:type="dxa" w:w="1984"/>
            <w:vAlign w:val="center"/>
          </w:tcPr>
          <w:p>
            <w:r/>
            <w:r>
              <w:rPr>
                <w:sz w:val="20"/>
              </w:rPr>
              <w:t>—</w:t>
            </w:r>
          </w:p>
        </w:tc>
      </w:tr>
      <w:tr>
        <w:tc>
          <w:tcPr>
            <w:tcW w:type="dxa" w:w="2835"/>
            <w:shd w:val="clear" w:color="auto" w:fill="F2F6FA"/>
            <w:vAlign w:val="center"/>
          </w:tcPr>
          <w:p>
            <w:r/>
            <w:r>
              <w:rPr>
                <w:sz w:val="20"/>
              </w:rPr>
              <w:t>owl:DatatypeProperty</w:t>
            </w:r>
          </w:p>
        </w:tc>
        <w:tc>
          <w:tcPr>
            <w:tcW w:type="dxa" w:w="1701"/>
            <w:shd w:val="clear" w:color="auto" w:fill="F2F6FA"/>
            <w:vAlign w:val="center"/>
          </w:tcPr>
          <w:p>
            <w:r/>
            <w:r>
              <w:rPr>
                <w:sz w:val="20"/>
              </w:rPr>
              <w:t>≈26</w:t>
            </w:r>
          </w:p>
        </w:tc>
        <w:tc>
          <w:tcPr>
            <w:tcW w:type="dxa" w:w="1984"/>
            <w:shd w:val="clear" w:color="auto" w:fill="F2F6FA"/>
            <w:vAlign w:val="center"/>
          </w:tcPr>
          <w:p>
            <w:r/>
            <w:r>
              <w:rPr>
                <w:sz w:val="20"/>
              </w:rPr>
              <w:t>≈0</w:t>
            </w:r>
          </w:p>
        </w:tc>
        <w:tc>
          <w:tcPr>
            <w:tcW w:type="dxa" w:w="1984"/>
            <w:shd w:val="clear" w:color="auto" w:fill="F2F6FA"/>
            <w:vAlign w:val="center"/>
          </w:tcPr>
          <w:p>
            <w:r/>
            <w:r>
              <w:rPr>
                <w:sz w:val="20"/>
              </w:rPr>
              <w:t>—</w:t>
            </w:r>
          </w:p>
        </w:tc>
      </w:tr>
      <w:tr>
        <w:tc>
          <w:tcPr>
            <w:tcW w:type="dxa" w:w="2835"/>
            <w:vAlign w:val="center"/>
          </w:tcPr>
          <w:p>
            <w:r/>
            <w:r>
              <w:rPr>
                <w:sz w:val="20"/>
              </w:rPr>
              <w:t>rdfs:subClassOf</w:t>
            </w:r>
          </w:p>
        </w:tc>
        <w:tc>
          <w:tcPr>
            <w:tcW w:type="dxa" w:w="1701"/>
            <w:vAlign w:val="center"/>
          </w:tcPr>
          <w:p>
            <w:r/>
            <w:r>
              <w:rPr>
                <w:sz w:val="20"/>
              </w:rPr>
              <w:t>≈10</w:t>
            </w:r>
          </w:p>
        </w:tc>
        <w:tc>
          <w:tcPr>
            <w:tcW w:type="dxa" w:w="1984"/>
            <w:vAlign w:val="center"/>
          </w:tcPr>
          <w:p>
            <w:r/>
            <w:r>
              <w:rPr>
                <w:sz w:val="20"/>
              </w:rPr>
              <w:t>≈5</w:t>
            </w:r>
          </w:p>
        </w:tc>
        <w:tc>
          <w:tcPr>
            <w:tcW w:type="dxa" w:w="1984"/>
            <w:vAlign w:val="center"/>
          </w:tcPr>
          <w:p>
            <w:r/>
            <w:r>
              <w:rPr>
                <w:sz w:val="20"/>
              </w:rPr>
              <w:t>2× menos</w:t>
            </w:r>
          </w:p>
        </w:tc>
      </w:tr>
      <w:tr>
        <w:tc>
          <w:tcPr>
            <w:tcW w:type="dxa" w:w="2835"/>
            <w:shd w:val="clear" w:color="auto" w:fill="F2F6FA"/>
            <w:vAlign w:val="center"/>
          </w:tcPr>
          <w:p>
            <w:r/>
            <w:r>
              <w:rPr>
                <w:sz w:val="20"/>
              </w:rPr>
              <w:t>Validez sintáctica</w:t>
            </w:r>
          </w:p>
        </w:tc>
        <w:tc>
          <w:tcPr>
            <w:tcW w:type="dxa" w:w="1701"/>
            <w:shd w:val="clear" w:color="auto" w:fill="F2F6FA"/>
            <w:vAlign w:val="center"/>
          </w:tcPr>
          <w:p>
            <w:r/>
            <w:r>
              <w:rPr>
                <w:sz w:val="20"/>
              </w:rPr>
              <w:t>12/12</w:t>
            </w:r>
          </w:p>
        </w:tc>
        <w:tc>
          <w:tcPr>
            <w:tcW w:type="dxa" w:w="1984"/>
            <w:shd w:val="clear" w:color="auto" w:fill="F2F6FA"/>
            <w:vAlign w:val="center"/>
          </w:tcPr>
          <w:p>
            <w:r/>
            <w:r>
              <w:rPr>
                <w:sz w:val="20"/>
              </w:rPr>
              <w:t>3/3+</w:t>
            </w:r>
          </w:p>
        </w:tc>
        <w:tc>
          <w:tcPr>
            <w:tcW w:type="dxa" w:w="1984"/>
            <w:shd w:val="clear" w:color="auto" w:fill="F2F6FA"/>
            <w:vAlign w:val="center"/>
          </w:tcPr>
          <w:p>
            <w:r/>
            <w:r>
              <w:rPr>
                <w:sz w:val="20"/>
              </w:rPr>
              <w:t>100% en ambos</w:t>
            </w:r>
          </w:p>
        </w:tc>
      </w:tr>
      <w:tr>
        <w:tc>
          <w:tcPr>
            <w:tcW w:type="dxa" w:w="2835"/>
            <w:vAlign w:val="center"/>
          </w:tcPr>
          <w:p>
            <w:r/>
            <w:r>
              <w:rPr>
                <w:sz w:val="20"/>
              </w:rPr>
              <w:t>Tiempo por run (M3 CPU)</w:t>
            </w:r>
          </w:p>
        </w:tc>
        <w:tc>
          <w:tcPr>
            <w:tcW w:type="dxa" w:w="1701"/>
            <w:vAlign w:val="center"/>
          </w:tcPr>
          <w:p>
            <w:r/>
            <w:r>
              <w:rPr>
                <w:sz w:val="20"/>
              </w:rPr>
              <w:t>≈30 s</w:t>
            </w:r>
          </w:p>
        </w:tc>
        <w:tc>
          <w:tcPr>
            <w:tcW w:type="dxa" w:w="1984"/>
            <w:vAlign w:val="center"/>
          </w:tcPr>
          <w:p>
            <w:r/>
            <w:r>
              <w:rPr>
                <w:sz w:val="20"/>
              </w:rPr>
              <w:t>≈4 h</w:t>
            </w:r>
          </w:p>
        </w:tc>
        <w:tc>
          <w:tcPr>
            <w:tcW w:type="dxa" w:w="1984"/>
            <w:vAlign w:val="center"/>
          </w:tcPr>
          <w:p>
            <w:r/>
            <w:r>
              <w:rPr>
                <w:sz w:val="20"/>
              </w:rPr>
              <w:t>480× más lento</w:t>
            </w:r>
          </w:p>
        </w:tc>
      </w:tr>
    </w:tbl>
    <w:p>
      <w:r>
        <w:rPr>
          <w:b/>
        </w:rPr>
        <w:t>Conclusión del experimento extendido</w:t>
      </w:r>
      <w:r>
        <w:t>. La hipótesis previa (la ventaja de E4 podría ser solo del método) queda matizada: el método multi-agente de OntoGenix añade una capa importante de validación sintáctica que el modelo pequeño no consigue por sí solo, pero la riqueza semántica final depende del modelo subyacente. Para producir ontologías biomédicas operativas se necesitan ambos: un buen pipeline + un modelo capaz.</w:t>
      </w:r>
    </w:p>
    <w:p>
      <w:pPr>
        <w:pStyle w:val="Heading3"/>
      </w:pPr>
      <w:r>
        <w:t>10.6.3. Coste computacional</w:t>
      </w:r>
    </w:p>
    <w:p>
      <w:r>
        <w:t>El experimento E4 con llama3.1:8b en un MacBook Air M3 (16 GB de memoria unificada) requirió aproximadamente 4 horas por run, frente a los 30 segundos por run con gpt-4o vía API OpenAI. Este coste se debe principalmente a tres factores:</w:t>
      </w:r>
    </w:p>
    <w:p>
      <w:pPr>
        <w:pStyle w:val="ListBullet"/>
      </w:pPr>
      <w:r>
        <w:t>Tamaño del prompt del OntoMapper: en los CSV más grandes (FANTOM5, dbSUPER) alcanza 40-45 mil tokens, lo que multiplica el tiempo de procesamiento independientemente del hardware.</w:t>
      </w:r>
    </w:p>
    <w:p>
      <w:pPr>
        <w:pStyle w:val="ListBullet"/>
      </w:pPr>
      <w:r>
        <w:t>Disponibilidad de GPU: la primera ejecución cayó a CPU por un problema de permisos en el directorio temporal de macOS (failure during GPU discovery / permission denied). Aun resuelto, la memoria unificada de 16 GB limita el offload completo del modelo + cache KV a Metal cuando otras aplicaciones consumen RAM.</w:t>
      </w:r>
    </w:p>
    <w:p>
      <w:pPr>
        <w:pStyle w:val="ListBullet"/>
      </w:pPr>
      <w:r>
        <w:t>Determinismo: los tres runs por BBDD producen archivos idénticos bit-a-bit porque temperature=0 y los seeds incrementales (42, 43, 44) son ignorados por la API compatible OpenAI de Ollama. La replicación inter-run no aporta varianza para esta configuración; sí lo hace inter-modelo e inter-experimento.</w:t>
      </w:r>
    </w:p>
    <w:p>
      <w:r>
        <w:t>Esta observación tiene implicaciones prácticas para futuros trabajos: el despliegue local de modelos open-source compactos para tareas multi-agente con prompts grandes es viable pero requiere planificación de hardware y contexto. Una alternativa razonable es ejecutar la pipeline en GPU dedicada o en servicios como vLLM/TGI con quantización adaptada.</w:t>
      </w:r>
    </w:p>
    <w:p>
      <w:pPr>
        <w:pStyle w:val="Heading2"/>
      </w:pPr>
      <w:r>
        <w:t>10.7. RAG semántico vs RAG por keywords</w:t>
      </w:r>
    </w:p>
    <w:p>
      <w:r>
        <w:t>El experimento E3 original del TFM utiliza una versión muy básica de RAG: un emparejador de keywords sobre cuatro esquemas Turtle estáticos (crm, crm2gene, crm2phen, crm2tfac). Para cuantificar cuánto mejora la calidad del esquema generado al sustituir ese retrieval léxico por un retrieval semántico real, se integró el repositorio annotationRAG (Tecnomod, Universidad de Murcia) como backend RAG alternativo y se replicaron las 12 corridas de E3 con gpt-4o.</w:t>
      </w:r>
    </w:p>
    <w:p>
      <w:pPr>
        <w:pStyle w:val="Heading3"/>
      </w:pPr>
      <w:r>
        <w:t>10.7.1. Arquitectura del RAG semántico</w:t>
      </w:r>
    </w:p>
    <w:p>
      <w:pPr>
        <w:pStyle w:val="Caption"/>
        <w:jc w:val="center"/>
        <w:spacing w:before="120" w:after="60"/>
      </w:pPr>
      <w:r>
        <w:rPr>
          <w:b/>
          <w:sz w:val="20"/>
          <w:i/>
        </w:rPr>
        <w:t xml:space="preserve">Tabla 17. </w:t>
      </w:r>
      <w:r>
        <w:rPr>
          <w:sz w:val="20"/>
          <w:i/>
        </w:rPr>
        <w:t>Arquitectura del RAG semántico (annotationRAG): componentes y responsabilidades</w:t>
      </w:r>
    </w:p>
    <w:tbl>
      <w:tblPr>
        <w:tblStyle w:val="TableGrid"/>
        <w:tblW w:type="auto" w:w="0"/>
        <w:tblLook w:firstColumn="1" w:firstRow="1" w:lastColumn="0" w:lastRow="0" w:noHBand="0" w:noVBand="1" w:val="04A0"/>
      </w:tblPr>
      <w:tblGrid>
        <w:gridCol w:w="2946"/>
        <w:gridCol w:w="2946"/>
        <w:gridCol w:w="2946"/>
      </w:tblGrid>
      <w:tr>
        <w:tc>
          <w:tcPr>
            <w:tcW w:type="dxa" w:w="1984"/>
            <w:shd w:val="clear" w:color="auto" w:fill="1F4E79"/>
            <w:vAlign w:val="center"/>
          </w:tcPr>
          <w:p>
            <w:pPr>
              <w:jc w:val="center"/>
            </w:pPr>
            <w:r/>
            <w:r>
              <w:rPr>
                <w:b/>
                <w:color w:val="FFFFFF"/>
                <w:sz w:val="20"/>
              </w:rPr>
              <w:t>Componente</w:t>
            </w:r>
          </w:p>
        </w:tc>
        <w:tc>
          <w:tcPr>
            <w:tcW w:type="dxa" w:w="2551"/>
            <w:shd w:val="clear" w:color="auto" w:fill="1F4E79"/>
            <w:vAlign w:val="center"/>
          </w:tcPr>
          <w:p>
            <w:pPr>
              <w:jc w:val="center"/>
            </w:pPr>
            <w:r/>
            <w:r>
              <w:rPr>
                <w:b/>
                <w:color w:val="FFFFFF"/>
                <w:sz w:val="20"/>
              </w:rPr>
              <w:t>Tecnología</w:t>
            </w:r>
          </w:p>
        </w:tc>
        <w:tc>
          <w:tcPr>
            <w:tcW w:type="dxa" w:w="3969"/>
            <w:shd w:val="clear" w:color="auto" w:fill="1F4E79"/>
            <w:vAlign w:val="center"/>
          </w:tcPr>
          <w:p>
            <w:pPr>
              <w:jc w:val="center"/>
            </w:pPr>
            <w:r/>
            <w:r>
              <w:rPr>
                <w:b/>
                <w:color w:val="FFFFFF"/>
                <w:sz w:val="20"/>
              </w:rPr>
              <w:t>Función</w:t>
            </w:r>
          </w:p>
        </w:tc>
      </w:tr>
      <w:tr>
        <w:tc>
          <w:tcPr>
            <w:tcW w:type="dxa" w:w="1984"/>
            <w:vAlign w:val="center"/>
          </w:tcPr>
          <w:p>
            <w:r/>
            <w:r>
              <w:rPr>
                <w:sz w:val="20"/>
              </w:rPr>
              <w:t>API HTTP</w:t>
            </w:r>
          </w:p>
        </w:tc>
        <w:tc>
          <w:tcPr>
            <w:tcW w:type="dxa" w:w="2551"/>
            <w:vAlign w:val="center"/>
          </w:tcPr>
          <w:p>
            <w:r/>
            <w:r>
              <w:rPr>
                <w:sz w:val="20"/>
              </w:rPr>
              <w:t>FastAPI + uvicorn</w:t>
            </w:r>
          </w:p>
        </w:tc>
        <w:tc>
          <w:tcPr>
            <w:tcW w:type="dxa" w:w="3969"/>
            <w:vAlign w:val="center"/>
          </w:tcPr>
          <w:p>
            <w:r/>
            <w:r>
              <w:rPr>
                <w:sz w:val="20"/>
              </w:rPr>
              <w:t>Tres endpoints: /similar-ontologies, /similar-entities, /similar-relations</w:t>
            </w:r>
          </w:p>
        </w:tc>
      </w:tr>
      <w:tr>
        <w:tc>
          <w:tcPr>
            <w:tcW w:type="dxa" w:w="1984"/>
            <w:shd w:val="clear" w:color="auto" w:fill="F2F6FA"/>
            <w:vAlign w:val="center"/>
          </w:tcPr>
          <w:p>
            <w:r/>
            <w:r>
              <w:rPr>
                <w:sz w:val="20"/>
              </w:rPr>
              <w:t>Modelo de embeddings</w:t>
            </w:r>
          </w:p>
        </w:tc>
        <w:tc>
          <w:tcPr>
            <w:tcW w:type="dxa" w:w="2551"/>
            <w:shd w:val="clear" w:color="auto" w:fill="F2F6FA"/>
            <w:vAlign w:val="center"/>
          </w:tcPr>
          <w:p>
            <w:r/>
            <w:r>
              <w:rPr>
                <w:sz w:val="20"/>
              </w:rPr>
              <w:t>sentence-transformers/all-MiniLM-L6-v2</w:t>
            </w:r>
          </w:p>
        </w:tc>
        <w:tc>
          <w:tcPr>
            <w:tcW w:type="dxa" w:w="3969"/>
            <w:shd w:val="clear" w:color="auto" w:fill="F2F6FA"/>
            <w:vAlign w:val="center"/>
          </w:tcPr>
          <w:p>
            <w:r/>
            <w:r>
              <w:rPr>
                <w:sz w:val="20"/>
              </w:rPr>
              <w:t>Codifica texto a vectores de 384 dimensiones</w:t>
            </w:r>
          </w:p>
        </w:tc>
      </w:tr>
      <w:tr>
        <w:tc>
          <w:tcPr>
            <w:tcW w:type="dxa" w:w="1984"/>
            <w:vAlign w:val="center"/>
          </w:tcPr>
          <w:p>
            <w:r/>
            <w:r>
              <w:rPr>
                <w:sz w:val="20"/>
              </w:rPr>
              <w:t>Vector store</w:t>
            </w:r>
          </w:p>
        </w:tc>
        <w:tc>
          <w:tcPr>
            <w:tcW w:type="dxa" w:w="2551"/>
            <w:vAlign w:val="center"/>
          </w:tcPr>
          <w:p>
            <w:r/>
            <w:r>
              <w:rPr>
                <w:sz w:val="20"/>
              </w:rPr>
              <w:t>Neo4j 5.26+ con CREATE VECTOR INDEX</w:t>
            </w:r>
          </w:p>
        </w:tc>
        <w:tc>
          <w:tcPr>
            <w:tcW w:type="dxa" w:w="3969"/>
            <w:vAlign w:val="center"/>
          </w:tcPr>
          <w:p>
            <w:r/>
            <w:r>
              <w:rPr>
                <w:sz w:val="20"/>
              </w:rPr>
              <w:t>Persistencia y búsqueda por similitud cosine vía Cypher</w:t>
            </w:r>
          </w:p>
        </w:tc>
      </w:tr>
      <w:tr>
        <w:tc>
          <w:tcPr>
            <w:tcW w:type="dxa" w:w="1984"/>
            <w:shd w:val="clear" w:color="auto" w:fill="F2F6FA"/>
            <w:vAlign w:val="center"/>
          </w:tcPr>
          <w:p>
            <w:r/>
            <w:r>
              <w:rPr>
                <w:sz w:val="20"/>
              </w:rPr>
              <w:t>Indexación</w:t>
            </w:r>
          </w:p>
        </w:tc>
        <w:tc>
          <w:tcPr>
            <w:tcW w:type="dxa" w:w="2551"/>
            <w:shd w:val="clear" w:color="auto" w:fill="F2F6FA"/>
            <w:vAlign w:val="center"/>
          </w:tcPr>
          <w:p>
            <w:r/>
            <w:r>
              <w:rPr>
                <w:sz w:val="20"/>
              </w:rPr>
              <w:t>rdflib + ProcessPoolExecutor</w:t>
            </w:r>
          </w:p>
        </w:tc>
        <w:tc>
          <w:tcPr>
            <w:tcW w:type="dxa" w:w="3969"/>
            <w:shd w:val="clear" w:color="auto" w:fill="F2F6FA"/>
            <w:vAlign w:val="center"/>
          </w:tcPr>
          <w:p>
            <w:r/>
            <w:r>
              <w:rPr>
                <w:sz w:val="20"/>
              </w:rPr>
              <w:t>Procesa .ttl/.owl/.rdf, extrae jerarquía, calcula embeddings, los persiste en Neo4j</w:t>
            </w:r>
          </w:p>
        </w:tc>
      </w:tr>
      <w:tr>
        <w:tc>
          <w:tcPr>
            <w:tcW w:type="dxa" w:w="1984"/>
            <w:vAlign w:val="center"/>
          </w:tcPr>
          <w:p>
            <w:r/>
            <w:r>
              <w:rPr>
                <w:sz w:val="20"/>
              </w:rPr>
              <w:t>Cliente Python</w:t>
            </w:r>
          </w:p>
        </w:tc>
        <w:tc>
          <w:tcPr>
            <w:tcW w:type="dxa" w:w="2551"/>
            <w:vAlign w:val="center"/>
          </w:tcPr>
          <w:p>
            <w:r/>
            <w:r>
              <w:rPr>
                <w:sz w:val="20"/>
              </w:rPr>
              <w:t>scripts/rag_backend.py (creado para el TFM)</w:t>
            </w:r>
          </w:p>
        </w:tc>
        <w:tc>
          <w:tcPr>
            <w:tcW w:type="dxa" w:w="3969"/>
            <w:vAlign w:val="center"/>
          </w:tcPr>
          <w:p>
            <w:r/>
            <w:r>
              <w:rPr>
                <w:sz w:val="20"/>
              </w:rPr>
              <w:t>Wrapper HTTP que orquesta los 3 endpoints y devuelve un string Turtle-like compatible con el placeholder {ontology_fragments} del prompt E3</w:t>
            </w:r>
          </w:p>
        </w:tc>
      </w:tr>
    </w:tbl>
    <w:p>
      <w:r>
        <w:t>Se indexaron 21 ontologías en Neo4j: las 8 cisreg específicas del TFM (crm, crm2gene, crm2phen, crm2tfac, más sus variantes _example) y 13 ontologías auxiliares de otros dominios incluidas en el repositorio (cdm_ido, kks, organizations, equipment, etc.). Las 4 ontologías base de cisreg requirieron correcciones sintácticas: literales tipados con placeholder ("start_position"^^xsd:integer), local names con caracteres no permitidos en Turtle (bgw!CRM_ID--uniprot!Q99593) y errores tipográficos puntuales ("&gt;" espurios) detectados durante la indexación. Estos arreglos se documentaron y aplicaron sin modificar la semántica de los esquemas.</w:t>
      </w:r>
    </w:p>
    <w:p>
      <w:pPr>
        <w:pStyle w:val="Heading3"/>
      </w:pPr>
      <w:r>
        <w:t>10.7.2. Diseño de la comparativa</w:t>
      </w:r>
    </w:p>
    <w:p>
      <w:r>
        <w:t>Mismo prompt E3 (apartado 5.4), mismo modelo (gpt-4o), mismas BBDD (FANTOM5, dbSUPER, HACER, DiseaseEnhancer), mismas repeticiones (3 por celda, seeds 42-44). La única diferencia es el contenido del placeholder {ontology_fragments}: en el legacy se inyectan los esquemas estáticos seleccionados por keyword matching; en el semántico se inyecta el resultado de annotationRAG con scores de similitud reales.</w:t>
      </w:r>
    </w:p>
    <w:p>
      <w:pPr>
        <w:pStyle w:val="Heading3"/>
      </w:pPr>
      <w:r>
        <w:t>10.7.3. Resultados</w:t>
      </w:r>
    </w:p>
    <w:p>
      <w:pPr>
        <w:jc w:val="center"/>
      </w:pPr>
      <w:r>
        <w:drawing>
          <wp:inline xmlns:a="http://schemas.openxmlformats.org/drawingml/2006/main" xmlns:pic="http://schemas.openxmlformats.org/drawingml/2006/picture">
            <wp:extent cx="5040000" cy="3031261"/>
            <wp:docPr id="11" name="Picture 11"/>
            <wp:cNvGraphicFramePr>
              <a:graphicFrameLocks noChangeAspect="1"/>
            </wp:cNvGraphicFramePr>
            <a:graphic>
              <a:graphicData uri="http://schemas.openxmlformats.org/drawingml/2006/picture">
                <pic:pic>
                  <pic:nvPicPr>
                    <pic:cNvPr id="0" name="fig10_rag_legacy_vs_api.png"/>
                    <pic:cNvPicPr/>
                  </pic:nvPicPr>
                  <pic:blipFill>
                    <a:blip r:embed="rId18"/>
                    <a:stretch>
                      <a:fillRect/>
                    </a:stretch>
                  </pic:blipFill>
                  <pic:spPr>
                    <a:xfrm>
                      <a:off x="0" y="0"/>
                      <a:ext cx="5040000" cy="3031261"/>
                    </a:xfrm>
                    <a:prstGeom prst="rect"/>
                  </pic:spPr>
                </pic:pic>
              </a:graphicData>
            </a:graphic>
          </wp:inline>
        </w:drawing>
      </w:r>
    </w:p>
    <w:p>
      <w:pPr>
        <w:spacing w:after="240"/>
        <w:jc w:val="center"/>
      </w:pPr>
      <w:r>
        <w:rPr>
          <w:i/>
          <w:color w:val="404040"/>
          <w:sz w:val="20"/>
        </w:rPr>
        <w:t>Figura 10. Comparativa OQuaRE entre el RAG por keywords (barras grises) y el RAG semántico con embeddings y Neo4j vector index (barras rojas) en E3 con gpt-4o sobre las cuatro BBDD (12 runs cada uno). Las anotaciones sobre cada par de barras muestran la diferencia absoluta. La mejora más drástica se da en Operability (×6.6 mayor), indicando que el contexto semántico aumenta enormemente la riqueza relacional del esquema generado.</w:t>
      </w:r>
    </w:p>
    <w:p>
      <w:pPr>
        <w:pStyle w:val="Caption"/>
        <w:jc w:val="center"/>
        <w:spacing w:before="120" w:after="60"/>
      </w:pPr>
      <w:r>
        <w:rPr>
          <w:b/>
          <w:sz w:val="20"/>
          <w:i/>
        </w:rPr>
        <w:t xml:space="preserve">Tabla 18. </w:t>
      </w:r>
      <w:r>
        <w:rPr>
          <w:sz w:val="20"/>
          <w:i/>
        </w:rPr>
        <w:t>Descomposición OQuaRE: RAG por keywords frente a RAG semántico (gpt-4o)</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984"/>
            <w:shd w:val="clear" w:color="auto" w:fill="1F4E79"/>
            <w:vAlign w:val="center"/>
          </w:tcPr>
          <w:p>
            <w:pPr>
              <w:jc w:val="center"/>
            </w:pPr>
            <w:r/>
            <w:r>
              <w:rPr>
                <w:b/>
                <w:color w:val="FFFFFF"/>
                <w:sz w:val="20"/>
              </w:rPr>
              <w:t>Sub-característica</w:t>
            </w:r>
          </w:p>
        </w:tc>
        <w:tc>
          <w:tcPr>
            <w:tcW w:type="dxa" w:w="964"/>
            <w:shd w:val="clear" w:color="auto" w:fill="1F4E79"/>
            <w:vAlign w:val="center"/>
          </w:tcPr>
          <w:p>
            <w:pPr>
              <w:jc w:val="center"/>
            </w:pPr>
            <w:r/>
            <w:r>
              <w:rPr>
                <w:b/>
                <w:color w:val="FFFFFF"/>
                <w:sz w:val="20"/>
              </w:rPr>
              <w:t>Legacy</w:t>
            </w:r>
          </w:p>
        </w:tc>
        <w:tc>
          <w:tcPr>
            <w:tcW w:type="dxa" w:w="1417"/>
            <w:shd w:val="clear" w:color="auto" w:fill="1F4E79"/>
            <w:vAlign w:val="center"/>
          </w:tcPr>
          <w:p>
            <w:pPr>
              <w:jc w:val="center"/>
            </w:pPr>
            <w:r/>
            <w:r>
              <w:rPr>
                <w:b/>
                <w:color w:val="FFFFFF"/>
                <w:sz w:val="20"/>
              </w:rPr>
              <w:t>RAG semántico</w:t>
            </w:r>
          </w:p>
        </w:tc>
        <w:tc>
          <w:tcPr>
            <w:tcW w:type="dxa" w:w="964"/>
            <w:shd w:val="clear" w:color="auto" w:fill="1F4E79"/>
            <w:vAlign w:val="center"/>
          </w:tcPr>
          <w:p>
            <w:pPr>
              <w:jc w:val="center"/>
            </w:pPr>
            <w:r/>
            <w:r>
              <w:rPr>
                <w:b/>
                <w:color w:val="FFFFFF"/>
                <w:sz w:val="20"/>
              </w:rPr>
              <w:t>Δ</w:t>
            </w:r>
          </w:p>
        </w:tc>
        <w:tc>
          <w:tcPr>
            <w:tcW w:type="dxa" w:w="3175"/>
            <w:shd w:val="clear" w:color="auto" w:fill="1F4E79"/>
            <w:vAlign w:val="center"/>
          </w:tcPr>
          <w:p>
            <w:pPr>
              <w:jc w:val="center"/>
            </w:pPr>
            <w:r/>
            <w:r>
              <w:rPr>
                <w:b/>
                <w:color w:val="FFFFFF"/>
                <w:sz w:val="20"/>
              </w:rPr>
              <w:t>Lectura</w:t>
            </w:r>
          </w:p>
        </w:tc>
      </w:tr>
      <w:tr>
        <w:tc>
          <w:tcPr>
            <w:tcW w:type="dxa" w:w="1984"/>
            <w:vAlign w:val="center"/>
          </w:tcPr>
          <w:p>
            <w:r/>
            <w:r>
              <w:rPr>
                <w:sz w:val="20"/>
              </w:rPr>
              <w:t>Structural</w:t>
            </w:r>
          </w:p>
        </w:tc>
        <w:tc>
          <w:tcPr>
            <w:tcW w:type="dxa" w:w="964"/>
            <w:vAlign w:val="center"/>
          </w:tcPr>
          <w:p>
            <w:r/>
            <w:r>
              <w:rPr>
                <w:sz w:val="20"/>
              </w:rPr>
              <w:t>3.75</w:t>
            </w:r>
          </w:p>
        </w:tc>
        <w:tc>
          <w:tcPr>
            <w:tcW w:type="dxa" w:w="1417"/>
            <w:vAlign w:val="center"/>
          </w:tcPr>
          <w:p>
            <w:r/>
            <w:r>
              <w:rPr>
                <w:sz w:val="20"/>
              </w:rPr>
              <w:t>5.00</w:t>
            </w:r>
          </w:p>
        </w:tc>
        <w:tc>
          <w:tcPr>
            <w:tcW w:type="dxa" w:w="964"/>
            <w:vAlign w:val="center"/>
          </w:tcPr>
          <w:p>
            <w:r/>
            <w:r>
              <w:rPr>
                <w:sz w:val="20"/>
              </w:rPr>
              <w:t>+1.25</w:t>
            </w:r>
          </w:p>
        </w:tc>
        <w:tc>
          <w:tcPr>
            <w:tcW w:type="dxa" w:w="3175"/>
            <w:vAlign w:val="center"/>
          </w:tcPr>
          <w:p>
            <w:r/>
            <w:r>
              <w:rPr>
                <w:sz w:val="20"/>
              </w:rPr>
              <w:t>Esquema estructuralmente óptimo en 100 % de los runs</w:t>
            </w:r>
          </w:p>
        </w:tc>
      </w:tr>
      <w:tr>
        <w:tc>
          <w:tcPr>
            <w:tcW w:type="dxa" w:w="1984"/>
            <w:shd w:val="clear" w:color="auto" w:fill="F2F6FA"/>
            <w:vAlign w:val="center"/>
          </w:tcPr>
          <w:p>
            <w:r/>
            <w:r>
              <w:rPr>
                <w:sz w:val="20"/>
              </w:rPr>
              <w:t>Modularity</w:t>
            </w:r>
          </w:p>
        </w:tc>
        <w:tc>
          <w:tcPr>
            <w:tcW w:type="dxa" w:w="964"/>
            <w:shd w:val="clear" w:color="auto" w:fill="F2F6FA"/>
            <w:vAlign w:val="center"/>
          </w:tcPr>
          <w:p>
            <w:r/>
            <w:r>
              <w:rPr>
                <w:sz w:val="20"/>
              </w:rPr>
              <w:t>3.29</w:t>
            </w:r>
          </w:p>
        </w:tc>
        <w:tc>
          <w:tcPr>
            <w:tcW w:type="dxa" w:w="1417"/>
            <w:shd w:val="clear" w:color="auto" w:fill="F2F6FA"/>
            <w:vAlign w:val="center"/>
          </w:tcPr>
          <w:p>
            <w:r/>
            <w:r>
              <w:rPr>
                <w:sz w:val="20"/>
              </w:rPr>
              <w:t>4.00</w:t>
            </w:r>
          </w:p>
        </w:tc>
        <w:tc>
          <w:tcPr>
            <w:tcW w:type="dxa" w:w="964"/>
            <w:shd w:val="clear" w:color="auto" w:fill="F2F6FA"/>
            <w:vAlign w:val="center"/>
          </w:tcPr>
          <w:p>
            <w:r/>
            <w:r>
              <w:rPr>
                <w:sz w:val="20"/>
              </w:rPr>
              <w:t>+0.71</w:t>
            </w:r>
          </w:p>
        </w:tc>
        <w:tc>
          <w:tcPr>
            <w:tcW w:type="dxa" w:w="3175"/>
            <w:shd w:val="clear" w:color="auto" w:fill="F2F6FA"/>
            <w:vAlign w:val="center"/>
          </w:tcPr>
          <w:p>
            <w:r/>
            <w:r>
              <w:rPr>
                <w:sz w:val="20"/>
              </w:rPr>
              <w:t>Mejor cohesión de clases y menor acoplamiento</w:t>
            </w:r>
          </w:p>
        </w:tc>
      </w:tr>
      <w:tr>
        <w:tc>
          <w:tcPr>
            <w:tcW w:type="dxa" w:w="1984"/>
            <w:vAlign w:val="center"/>
          </w:tcPr>
          <w:p>
            <w:r/>
            <w:r>
              <w:rPr>
                <w:sz w:val="20"/>
              </w:rPr>
              <w:t>Reusability</w:t>
            </w:r>
          </w:p>
        </w:tc>
        <w:tc>
          <w:tcPr>
            <w:tcW w:type="dxa" w:w="964"/>
            <w:vAlign w:val="center"/>
          </w:tcPr>
          <w:p>
            <w:r/>
            <w:r>
              <w:rPr>
                <w:sz w:val="20"/>
              </w:rPr>
              <w:t>1.75</w:t>
            </w:r>
          </w:p>
        </w:tc>
        <w:tc>
          <w:tcPr>
            <w:tcW w:type="dxa" w:w="1417"/>
            <w:vAlign w:val="center"/>
          </w:tcPr>
          <w:p>
            <w:r/>
            <w:r>
              <w:rPr>
                <w:sz w:val="20"/>
              </w:rPr>
              <w:t>2.48</w:t>
            </w:r>
          </w:p>
        </w:tc>
        <w:tc>
          <w:tcPr>
            <w:tcW w:type="dxa" w:w="964"/>
            <w:vAlign w:val="center"/>
          </w:tcPr>
          <w:p>
            <w:r/>
            <w:r>
              <w:rPr>
                <w:sz w:val="20"/>
              </w:rPr>
              <w:t>+0.73</w:t>
            </w:r>
          </w:p>
        </w:tc>
        <w:tc>
          <w:tcPr>
            <w:tcW w:type="dxa" w:w="3175"/>
            <w:vAlign w:val="center"/>
          </w:tcPr>
          <w:p>
            <w:r/>
            <w:r>
              <w:rPr>
                <w:sz w:val="20"/>
              </w:rPr>
              <w:t>Más anotaciones (rdfs:label, skos:definition) y herencia</w:t>
            </w:r>
          </w:p>
        </w:tc>
      </w:tr>
      <w:tr>
        <w:tc>
          <w:tcPr>
            <w:tcW w:type="dxa" w:w="1984"/>
            <w:shd w:val="clear" w:color="auto" w:fill="F2F6FA"/>
            <w:vAlign w:val="center"/>
          </w:tcPr>
          <w:p>
            <w:r/>
            <w:r>
              <w:rPr>
                <w:sz w:val="20"/>
              </w:rPr>
              <w:t>Operability</w:t>
            </w:r>
          </w:p>
        </w:tc>
        <w:tc>
          <w:tcPr>
            <w:tcW w:type="dxa" w:w="964"/>
            <w:shd w:val="clear" w:color="auto" w:fill="F2F6FA"/>
            <w:vAlign w:val="center"/>
          </w:tcPr>
          <w:p>
            <w:r/>
            <w:r>
              <w:rPr>
                <w:sz w:val="20"/>
              </w:rPr>
              <w:t>0.75</w:t>
            </w:r>
          </w:p>
        </w:tc>
        <w:tc>
          <w:tcPr>
            <w:tcW w:type="dxa" w:w="1417"/>
            <w:shd w:val="clear" w:color="auto" w:fill="F2F6FA"/>
            <w:vAlign w:val="center"/>
          </w:tcPr>
          <w:p>
            <w:r/>
            <w:r>
              <w:rPr>
                <w:sz w:val="20"/>
              </w:rPr>
              <w:t>4.95</w:t>
            </w:r>
          </w:p>
        </w:tc>
        <w:tc>
          <w:tcPr>
            <w:tcW w:type="dxa" w:w="964"/>
            <w:shd w:val="clear" w:color="auto" w:fill="F2F6FA"/>
            <w:vAlign w:val="center"/>
          </w:tcPr>
          <w:p>
            <w:r/>
            <w:r>
              <w:rPr>
                <w:sz w:val="20"/>
              </w:rPr>
              <w:t>+4.20 ⭐</w:t>
            </w:r>
          </w:p>
        </w:tc>
        <w:tc>
          <w:tcPr>
            <w:tcW w:type="dxa" w:w="3175"/>
            <w:shd w:val="clear" w:color="auto" w:fill="F2F6FA"/>
            <w:vAlign w:val="center"/>
          </w:tcPr>
          <w:p>
            <w:r/>
            <w:r>
              <w:rPr>
                <w:sz w:val="20"/>
              </w:rPr>
              <w:t>Riqueza relacional explosiva: 6.6× más object/data properties por clase</w:t>
            </w:r>
          </w:p>
        </w:tc>
      </w:tr>
      <w:tr>
        <w:tc>
          <w:tcPr>
            <w:tcW w:type="dxa" w:w="1984"/>
            <w:vAlign w:val="center"/>
          </w:tcPr>
          <w:p>
            <w:r/>
            <w:r>
              <w:rPr>
                <w:sz w:val="20"/>
              </w:rPr>
              <w:t>Reliability</w:t>
            </w:r>
          </w:p>
        </w:tc>
        <w:tc>
          <w:tcPr>
            <w:tcW w:type="dxa" w:w="964"/>
            <w:vAlign w:val="center"/>
          </w:tcPr>
          <w:p>
            <w:r/>
            <w:r>
              <w:rPr>
                <w:sz w:val="20"/>
              </w:rPr>
              <w:t>5.00</w:t>
            </w:r>
          </w:p>
        </w:tc>
        <w:tc>
          <w:tcPr>
            <w:tcW w:type="dxa" w:w="1417"/>
            <w:vAlign w:val="center"/>
          </w:tcPr>
          <w:p>
            <w:r/>
            <w:r>
              <w:rPr>
                <w:sz w:val="20"/>
              </w:rPr>
              <w:t>4.55</w:t>
            </w:r>
          </w:p>
        </w:tc>
        <w:tc>
          <w:tcPr>
            <w:tcW w:type="dxa" w:w="964"/>
            <w:vAlign w:val="center"/>
          </w:tcPr>
          <w:p>
            <w:r/>
            <w:r>
              <w:rPr>
                <w:sz w:val="20"/>
              </w:rPr>
              <w:t>−0.45</w:t>
            </w:r>
          </w:p>
        </w:tc>
        <w:tc>
          <w:tcPr>
            <w:tcW w:type="dxa" w:w="3175"/>
            <w:vAlign w:val="center"/>
          </w:tcPr>
          <w:p>
            <w:r/>
            <w:r>
              <w:rPr>
                <w:sz w:val="20"/>
              </w:rPr>
              <w:t>Una corrida no consistente y otra de carga (HACER/run3); trade-off de mayor riqueza</w:t>
            </w:r>
          </w:p>
        </w:tc>
      </w:tr>
      <w:tr>
        <w:tc>
          <w:tcPr>
            <w:tcW w:type="dxa" w:w="1984"/>
            <w:shd w:val="clear" w:color="auto" w:fill="F2F6FA"/>
            <w:vAlign w:val="center"/>
          </w:tcPr>
          <w:p>
            <w:r>
              <w:rPr>
                <w:b/>
                <w:sz w:val="20"/>
              </w:rPr>
              <w:t>OQuaRE Global</w:t>
            </w:r>
          </w:p>
        </w:tc>
        <w:tc>
          <w:tcPr>
            <w:tcW w:type="dxa" w:w="964"/>
            <w:shd w:val="clear" w:color="auto" w:fill="F2F6FA"/>
            <w:vAlign w:val="center"/>
          </w:tcPr>
          <w:p>
            <w:r>
              <w:rPr>
                <w:b/>
                <w:sz w:val="20"/>
              </w:rPr>
              <w:t>2.91</w:t>
            </w:r>
          </w:p>
        </w:tc>
        <w:tc>
          <w:tcPr>
            <w:tcW w:type="dxa" w:w="1417"/>
            <w:shd w:val="clear" w:color="auto" w:fill="F2F6FA"/>
            <w:vAlign w:val="center"/>
          </w:tcPr>
          <w:p>
            <w:r>
              <w:rPr>
                <w:b/>
                <w:sz w:val="20"/>
              </w:rPr>
              <w:t>4.20</w:t>
            </w:r>
          </w:p>
        </w:tc>
        <w:tc>
          <w:tcPr>
            <w:tcW w:type="dxa" w:w="964"/>
            <w:shd w:val="clear" w:color="auto" w:fill="F2F6FA"/>
            <w:vAlign w:val="center"/>
          </w:tcPr>
          <w:p>
            <w:r>
              <w:rPr>
                <w:b/>
                <w:sz w:val="20"/>
              </w:rPr>
              <w:t>+1.29</w:t>
            </w:r>
          </w:p>
        </w:tc>
        <w:tc>
          <w:tcPr>
            <w:tcW w:type="dxa" w:w="3175"/>
            <w:shd w:val="clear" w:color="auto" w:fill="F2F6FA"/>
            <w:vAlign w:val="center"/>
          </w:tcPr>
          <w:p>
            <w:r/>
            <w:r>
              <w:rPr>
                <w:sz w:val="20"/>
              </w:rPr>
              <w:t>Mejora del 44 % respecto al baseline keyword-match</w:t>
            </w:r>
          </w:p>
        </w:tc>
      </w:tr>
    </w:tbl>
    <w:p>
      <w:pPr>
        <w:pStyle w:val="Heading3"/>
      </w:pPr>
      <w:r>
        <w:t>10.7.4. Hallazgo principal</w:t>
      </w:r>
    </w:p>
    <w:p>
      <w:r>
        <w:t>El reemplazo del retrieval por keywords por un retrieval semántico real (embeddings + similitud cosine + vector index persistente) eleva el OQuaRE Global de E3 de 2.91 (por debajo del umbral aceptable de 3.0) a 4.20 (próximo al óptimo de 5.0), una mejora absoluta de +1.29 puntos (+44 % relativo). El componente que más contribuye es Operability, donde la mejora es de +4.20 puntos: mientras el RAG legacy producía esquemas casi sin object properties (RROnto ≈ 0.75), el RAG semántico induce una malla relacional rica (RROnto ≈ 4.95) gracias a que el contexto recuperado contiene patrones de propiedades reales del dominio biomédico, no solo nombres de clase.</w:t>
      </w:r>
    </w:p>
    <w:p>
      <w:r>
        <w:t>Este resultado tiene tres implicaciones para el TFM:</w:t>
      </w:r>
    </w:p>
    <w:p>
      <w:pPr>
        <w:pStyle w:val="ListBullet"/>
      </w:pPr>
      <w:r>
        <w:rPr>
          <w:b/>
        </w:rPr>
        <w:t>El cuello de botella de E3 era el retrieval, no el modelo.</w:t>
      </w:r>
      <w:r>
        <w:t xml:space="preserve"> gpt-4o ya tenía la capacidad de generar esquemas ricos; lo que le faltaba era el contexto adecuado.</w:t>
      </w:r>
    </w:p>
    <w:p>
      <w:pPr>
        <w:pStyle w:val="ListBullet"/>
      </w:pPr>
      <w:r>
        <w:rPr>
          <w:b/>
        </w:rPr>
        <w:t>La calidad del corpus indexado importa más que el tamaño.</w:t>
      </w:r>
      <w:r>
        <w:t xml:space="preserve"> Indexamos solo 21 ontologías y la mejora es drástica. La evidencia sugiere que escalar a corpus mayores (toda la BFO, OBI, GO, BioGateway completo) podría llevar el score a &gt;4.5.</w:t>
      </w:r>
    </w:p>
    <w:p>
      <w:pPr>
        <w:pStyle w:val="ListBullet"/>
      </w:pPr>
      <w:r>
        <w:rPr>
          <w:b/>
        </w:rPr>
        <w:t>El RAG semántico cambia el orden del cuadro 4×3 del apartado 10.4.</w:t>
      </w:r>
      <w:r>
        <w:t xml:space="preserve"> Con el legacy, E3 era el peor experimento (2.92). Con el RAG semántico, E3 (4.20) supera a E1 zero-shot (3.89) y a E2 vocabulario (3.98), y casi alcanza a E4 OntoGenix (3.86 OQuaRE Global, aunque E4 sigue ganando en triples y labels absolutos del apartado 8).</w:t>
      </w:r>
    </w:p>
    <w:p>
      <w:pPr>
        <w:pStyle w:val="Heading3"/>
      </w:pPr>
      <w:r>
        <w:t>10.7.5. Coste de la integración</w:t>
      </w:r>
    </w:p>
    <w:p>
      <w:pPr>
        <w:pStyle w:val="Caption"/>
        <w:jc w:val="center"/>
        <w:spacing w:before="120" w:after="60"/>
      </w:pPr>
      <w:r>
        <w:rPr>
          <w:b/>
          <w:sz w:val="20"/>
          <w:i/>
        </w:rPr>
        <w:t xml:space="preserve">Tabla 19. </w:t>
      </w:r>
      <w:r>
        <w:rPr>
          <w:sz w:val="20"/>
          <w:i/>
        </w:rPr>
        <w:t>Coste de la integración del RAG semántico (recursos y dependencias)</w:t>
      </w:r>
    </w:p>
    <w:tbl>
      <w:tblPr>
        <w:tblStyle w:val="TableGrid"/>
        <w:tblW w:type="auto" w:w="0"/>
        <w:tblLook w:firstColumn="1" w:firstRow="1" w:lastColumn="0" w:lastRow="0" w:noHBand="0" w:noVBand="1" w:val="04A0"/>
      </w:tblPr>
      <w:tblGrid>
        <w:gridCol w:w="4419"/>
        <w:gridCol w:w="4419"/>
      </w:tblGrid>
      <w:tr>
        <w:tc>
          <w:tcPr>
            <w:tcW w:type="dxa" w:w="3969"/>
            <w:shd w:val="clear" w:color="auto" w:fill="1F4E79"/>
            <w:vAlign w:val="center"/>
          </w:tcPr>
          <w:p>
            <w:pPr>
              <w:jc w:val="center"/>
            </w:pPr>
            <w:r/>
            <w:r>
              <w:rPr>
                <w:b/>
                <w:color w:val="FFFFFF"/>
                <w:sz w:val="20"/>
              </w:rPr>
              <w:t>Concepto</w:t>
            </w:r>
          </w:p>
        </w:tc>
        <w:tc>
          <w:tcPr>
            <w:tcW w:type="dxa" w:w="2835"/>
            <w:shd w:val="clear" w:color="auto" w:fill="1F4E79"/>
            <w:vAlign w:val="center"/>
          </w:tcPr>
          <w:p>
            <w:pPr>
              <w:jc w:val="center"/>
            </w:pPr>
            <w:r/>
            <w:r>
              <w:rPr>
                <w:b/>
                <w:color w:val="FFFFFF"/>
                <w:sz w:val="20"/>
              </w:rPr>
              <w:t>Coste</w:t>
            </w:r>
          </w:p>
        </w:tc>
      </w:tr>
      <w:tr>
        <w:tc>
          <w:tcPr>
            <w:tcW w:type="dxa" w:w="3969"/>
            <w:vAlign w:val="center"/>
          </w:tcPr>
          <w:p>
            <w:r/>
            <w:r>
              <w:rPr>
                <w:sz w:val="20"/>
              </w:rPr>
              <w:t>Setup local (Neo4j + venv)</w:t>
            </w:r>
          </w:p>
        </w:tc>
        <w:tc>
          <w:tcPr>
            <w:tcW w:type="dxa" w:w="2835"/>
            <w:vAlign w:val="center"/>
          </w:tcPr>
          <w:p>
            <w:r/>
            <w:r>
              <w:rPr>
                <w:sz w:val="20"/>
              </w:rPr>
              <w:t>~30 min</w:t>
            </w:r>
          </w:p>
        </w:tc>
      </w:tr>
      <w:tr>
        <w:tc>
          <w:tcPr>
            <w:tcW w:type="dxa" w:w="3969"/>
            <w:shd w:val="clear" w:color="auto" w:fill="F2F6FA"/>
            <w:vAlign w:val="center"/>
          </w:tcPr>
          <w:p>
            <w:r/>
            <w:r>
              <w:rPr>
                <w:sz w:val="20"/>
              </w:rPr>
              <w:t>Indexación inicial (21 ontologías)</w:t>
            </w:r>
          </w:p>
        </w:tc>
        <w:tc>
          <w:tcPr>
            <w:tcW w:type="dxa" w:w="2835"/>
            <w:shd w:val="clear" w:color="auto" w:fill="F2F6FA"/>
            <w:vAlign w:val="center"/>
          </w:tcPr>
          <w:p>
            <w:r/>
            <w:r>
              <w:rPr>
                <w:sz w:val="20"/>
              </w:rPr>
              <w:t>~2 min en M3</w:t>
            </w:r>
          </w:p>
        </w:tc>
      </w:tr>
      <w:tr>
        <w:tc>
          <w:tcPr>
            <w:tcW w:type="dxa" w:w="3969"/>
            <w:vAlign w:val="center"/>
          </w:tcPr>
          <w:p>
            <w:r/>
            <w:r>
              <w:rPr>
                <w:sz w:val="20"/>
              </w:rPr>
              <w:t>12 corridas E3 con gpt-4o + RAG semántico</w:t>
            </w:r>
          </w:p>
        </w:tc>
        <w:tc>
          <w:tcPr>
            <w:tcW w:type="dxa" w:w="2835"/>
            <w:vAlign w:val="center"/>
          </w:tcPr>
          <w:p>
            <w:r/>
            <w:r>
              <w:rPr>
                <w:sz w:val="20"/>
              </w:rPr>
              <w:t>~10 min, ≈ $1.50</w:t>
            </w:r>
          </w:p>
        </w:tc>
      </w:tr>
      <w:tr>
        <w:tc>
          <w:tcPr>
            <w:tcW w:type="dxa" w:w="3969"/>
            <w:shd w:val="clear" w:color="auto" w:fill="F2F6FA"/>
            <w:vAlign w:val="center"/>
          </w:tcPr>
          <w:p>
            <w:r/>
            <w:r>
              <w:rPr>
                <w:sz w:val="20"/>
              </w:rPr>
              <w:t>Evaluación OQuaRE</w:t>
            </w:r>
          </w:p>
        </w:tc>
        <w:tc>
          <w:tcPr>
            <w:tcW w:type="dxa" w:w="2835"/>
            <w:shd w:val="clear" w:color="auto" w:fill="F2F6FA"/>
            <w:vAlign w:val="center"/>
          </w:tcPr>
          <w:p>
            <w:r/>
            <w:r>
              <w:rPr>
                <w:sz w:val="20"/>
              </w:rPr>
              <w:t>~3 min con HermiT + owlready2</w:t>
            </w:r>
          </w:p>
        </w:tc>
      </w:tr>
      <w:tr>
        <w:tc>
          <w:tcPr>
            <w:tcW w:type="dxa" w:w="3969"/>
            <w:vAlign w:val="center"/>
          </w:tcPr>
          <w:p>
            <w:r>
              <w:rPr>
                <w:b/>
                <w:sz w:val="20"/>
              </w:rPr>
              <w:t>Total</w:t>
            </w:r>
            <w:r>
              <w:rPr>
                <w:sz w:val="20"/>
              </w:rPr>
              <w:t xml:space="preserve"> (sin contar la corrida de gpt-4o)</w:t>
            </w:r>
          </w:p>
        </w:tc>
        <w:tc>
          <w:tcPr>
            <w:tcW w:type="dxa" w:w="2835"/>
            <w:vAlign w:val="center"/>
          </w:tcPr>
          <w:p>
            <w:r>
              <w:rPr>
                <w:b/>
                <w:sz w:val="20"/>
              </w:rPr>
              <w:t>~45 min</w:t>
            </w:r>
          </w:p>
        </w:tc>
      </w:tr>
    </w:tbl>
    <w:p>
      <w:r>
        <w:t>La inversión es marginal y replicable, lo que hace de este cambio una de las mejoras con mejor relación coste-beneficio del TFM.</w:t>
      </w:r>
    </w:p>
    <w:p>
      <w:pPr>
        <w:pStyle w:val="Heading3"/>
      </w:pPr>
      <w:r>
        <w:t>10.7.6. Replicación con llama3.1:8b — el modelo importa para asimilar el contexto</w:t>
      </w:r>
    </w:p>
    <w:p>
      <w:r>
        <w:t>Para discriminar si la mejora del RAG semántico es atribuible al retrieval o al modelo, se replicó el experimento sustituyendo gpt-4o por llama3.1:8b (open-source, ~8 mil millones de parámetros, ejecutado localmente vía Ollama). Total: 24 corridas adicionales (12 con backend legacy + 12 con backend semántico), mismas 4 BBDD y mismas 3 repeticiones por celda.</w:t>
      </w:r>
    </w:p>
    <w:p>
      <w:pPr>
        <w:jc w:val="center"/>
      </w:pPr>
      <w:r>
        <w:drawing>
          <wp:inline xmlns:a="http://schemas.openxmlformats.org/drawingml/2006/main" xmlns:pic="http://schemas.openxmlformats.org/drawingml/2006/picture">
            <wp:extent cx="5040000" cy="2764299"/>
            <wp:docPr id="12" name="Picture 12"/>
            <wp:cNvGraphicFramePr>
              <a:graphicFrameLocks noChangeAspect="1"/>
            </wp:cNvGraphicFramePr>
            <a:graphic>
              <a:graphicData uri="http://schemas.openxmlformats.org/drawingml/2006/picture">
                <pic:pic>
                  <pic:nvPicPr>
                    <pic:cNvPr id="0" name="fig11_rag_crossmodel.png"/>
                    <pic:cNvPicPr/>
                  </pic:nvPicPr>
                  <pic:blipFill>
                    <a:blip r:embed="rId19"/>
                    <a:stretch>
                      <a:fillRect/>
                    </a:stretch>
                  </pic:blipFill>
                  <pic:spPr>
                    <a:xfrm>
                      <a:off x="0" y="0"/>
                      <a:ext cx="5040000" cy="2764299"/>
                    </a:xfrm>
                    <a:prstGeom prst="rect"/>
                  </pic:spPr>
                </pic:pic>
              </a:graphicData>
            </a:graphic>
          </wp:inline>
        </w:drawing>
      </w:r>
    </w:p>
    <w:p>
      <w:pPr>
        <w:spacing w:after="240"/>
        <w:jc w:val="center"/>
      </w:pPr>
      <w:r>
        <w:rPr>
          <w:i/>
          <w:color w:val="404040"/>
          <w:sz w:val="20"/>
        </w:rPr>
        <w:t>Figura 11. Cuadro 2×2: efecto del backend RAG (legacy vs semántico) sobre dos modelos (gpt-4o cerrado vs llama3.1:8b open-source) en E3. Las anotaciones sobre la columna 'Global' destacan los deltas: gpt-4o sube +1.29 puntos con RAG real, mientras que llama solo sube +0.24. El paréntesis 'X/12 válidas' en la leyenda indica cuántas corridas pasaron el parseo en owlready2.</w:t>
      </w:r>
    </w:p>
    <w:p>
      <w:pPr>
        <w:pStyle w:val="Caption"/>
        <w:jc w:val="center"/>
        <w:spacing w:before="120" w:after="60"/>
      </w:pPr>
      <w:r>
        <w:rPr>
          <w:b/>
          <w:sz w:val="20"/>
          <w:i/>
        </w:rPr>
        <w:t xml:space="preserve">Tabla 20. </w:t>
      </w:r>
      <w:r>
        <w:rPr>
          <w:sz w:val="20"/>
          <w:i/>
        </w:rPr>
        <w:t>Cuadro 2×2: efecto del backend RAG (legacy vs semántico) en gpt-4o y Llama 3.1 8B</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984"/>
            <w:shd w:val="clear" w:color="auto" w:fill="1F4E79"/>
            <w:vAlign w:val="center"/>
          </w:tcPr>
          <w:p>
            <w:pPr>
              <w:jc w:val="center"/>
            </w:pPr>
            <w:r/>
            <w:r>
              <w:rPr>
                <w:b/>
                <w:color w:val="FFFFFF"/>
                <w:sz w:val="20"/>
              </w:rPr>
            </w:r>
          </w:p>
        </w:tc>
        <w:tc>
          <w:tcPr>
            <w:tcW w:type="dxa" w:w="1417"/>
            <w:shd w:val="clear" w:color="auto" w:fill="1F4E79"/>
            <w:vAlign w:val="center"/>
          </w:tcPr>
          <w:p>
            <w:pPr>
              <w:jc w:val="center"/>
            </w:pPr>
            <w:r/>
            <w:r>
              <w:rPr>
                <w:b/>
                <w:color w:val="FFFFFF"/>
                <w:sz w:val="20"/>
              </w:rPr>
              <w:t>RAG legacy</w:t>
            </w:r>
          </w:p>
        </w:tc>
        <w:tc>
          <w:tcPr>
            <w:tcW w:type="dxa" w:w="1701"/>
            <w:shd w:val="clear" w:color="auto" w:fill="1F4E79"/>
            <w:vAlign w:val="center"/>
          </w:tcPr>
          <w:p>
            <w:pPr>
              <w:jc w:val="center"/>
            </w:pPr>
            <w:r/>
            <w:r>
              <w:rPr>
                <w:b/>
                <w:color w:val="FFFFFF"/>
                <w:sz w:val="20"/>
              </w:rPr>
              <w:t>RAG semántico</w:t>
            </w:r>
          </w:p>
        </w:tc>
        <w:tc>
          <w:tcPr>
            <w:tcW w:type="dxa" w:w="1417"/>
            <w:shd w:val="clear" w:color="auto" w:fill="1F4E79"/>
            <w:vAlign w:val="center"/>
          </w:tcPr>
          <w:p>
            <w:pPr>
              <w:jc w:val="center"/>
            </w:pPr>
            <w:r/>
            <w:r>
              <w:rPr>
                <w:b/>
                <w:color w:val="FFFFFF"/>
                <w:sz w:val="20"/>
              </w:rPr>
              <w:t>Δ Global</w:t>
            </w:r>
          </w:p>
        </w:tc>
        <w:tc>
          <w:tcPr>
            <w:tcW w:type="dxa" w:w="1701"/>
            <w:shd w:val="clear" w:color="auto" w:fill="1F4E79"/>
            <w:vAlign w:val="center"/>
          </w:tcPr>
          <w:p>
            <w:pPr>
              <w:jc w:val="center"/>
            </w:pPr>
            <w:r/>
            <w:r>
              <w:rPr>
                <w:b/>
                <w:color w:val="FFFFFF"/>
                <w:sz w:val="20"/>
              </w:rPr>
              <w:t>n válidas</w:t>
            </w:r>
          </w:p>
        </w:tc>
      </w:tr>
      <w:tr>
        <w:tc>
          <w:tcPr>
            <w:tcW w:type="dxa" w:w="1984"/>
            <w:vAlign w:val="center"/>
          </w:tcPr>
          <w:p>
            <w:r>
              <w:rPr>
                <w:b/>
                <w:sz w:val="20"/>
              </w:rPr>
              <w:t>gpt-4o</w:t>
            </w:r>
          </w:p>
        </w:tc>
        <w:tc>
          <w:tcPr>
            <w:tcW w:type="dxa" w:w="1417"/>
            <w:vAlign w:val="center"/>
          </w:tcPr>
          <w:p>
            <w:r/>
            <w:r>
              <w:rPr>
                <w:sz w:val="20"/>
              </w:rPr>
              <w:t>2.91</w:t>
            </w:r>
          </w:p>
        </w:tc>
        <w:tc>
          <w:tcPr>
            <w:tcW w:type="dxa" w:w="1701"/>
            <w:vAlign w:val="center"/>
          </w:tcPr>
          <w:p>
            <w:r>
              <w:rPr>
                <w:b/>
                <w:sz w:val="20"/>
              </w:rPr>
              <w:t>4.20</w:t>
            </w:r>
          </w:p>
        </w:tc>
        <w:tc>
          <w:tcPr>
            <w:tcW w:type="dxa" w:w="1417"/>
            <w:vAlign w:val="center"/>
          </w:tcPr>
          <w:p>
            <w:r>
              <w:rPr>
                <w:b/>
                <w:sz w:val="20"/>
              </w:rPr>
              <w:t>+1.29</w:t>
            </w:r>
          </w:p>
        </w:tc>
        <w:tc>
          <w:tcPr>
            <w:tcW w:type="dxa" w:w="1701"/>
            <w:vAlign w:val="center"/>
          </w:tcPr>
          <w:p>
            <w:r/>
            <w:r>
              <w:rPr>
                <w:sz w:val="20"/>
              </w:rPr>
              <w:t>12 / 11</w:t>
            </w:r>
          </w:p>
        </w:tc>
      </w:tr>
      <w:tr>
        <w:tc>
          <w:tcPr>
            <w:tcW w:type="dxa" w:w="1984"/>
            <w:shd w:val="clear" w:color="auto" w:fill="F2F6FA"/>
            <w:vAlign w:val="center"/>
          </w:tcPr>
          <w:p>
            <w:r>
              <w:rPr>
                <w:b/>
                <w:sz w:val="20"/>
              </w:rPr>
              <w:t>llama3.1:8b</w:t>
            </w:r>
          </w:p>
        </w:tc>
        <w:tc>
          <w:tcPr>
            <w:tcW w:type="dxa" w:w="1417"/>
            <w:shd w:val="clear" w:color="auto" w:fill="F2F6FA"/>
            <w:vAlign w:val="center"/>
          </w:tcPr>
          <w:p>
            <w:r/>
            <w:r>
              <w:rPr>
                <w:sz w:val="20"/>
              </w:rPr>
              <w:t>3.45</w:t>
            </w:r>
          </w:p>
        </w:tc>
        <w:tc>
          <w:tcPr>
            <w:tcW w:type="dxa" w:w="1701"/>
            <w:shd w:val="clear" w:color="auto" w:fill="F2F6FA"/>
            <w:vAlign w:val="center"/>
          </w:tcPr>
          <w:p>
            <w:r/>
            <w:r>
              <w:rPr>
                <w:sz w:val="20"/>
              </w:rPr>
              <w:t>3.69</w:t>
            </w:r>
          </w:p>
        </w:tc>
        <w:tc>
          <w:tcPr>
            <w:tcW w:type="dxa" w:w="1417"/>
            <w:shd w:val="clear" w:color="auto" w:fill="F2F6FA"/>
            <w:vAlign w:val="center"/>
          </w:tcPr>
          <w:p>
            <w:r/>
            <w:r>
              <w:rPr>
                <w:sz w:val="20"/>
              </w:rPr>
              <w:t>+0.24</w:t>
            </w:r>
          </w:p>
        </w:tc>
        <w:tc>
          <w:tcPr>
            <w:tcW w:type="dxa" w:w="1701"/>
            <w:shd w:val="clear" w:color="auto" w:fill="F2F6FA"/>
            <w:vAlign w:val="center"/>
          </w:tcPr>
          <w:p>
            <w:r/>
            <w:r>
              <w:rPr>
                <w:sz w:val="20"/>
              </w:rPr>
              <w:t>12 / 6</w:t>
            </w:r>
          </w:p>
        </w:tc>
      </w:tr>
    </w:tbl>
    <w:p>
      <w:pPr>
        <w:pStyle w:val="Heading4"/>
      </w:pPr>
      <w:r>
        <w:t>Hallazgos del cuadro 2×2</w:t>
      </w:r>
    </w:p>
    <w:p>
      <w:pPr>
        <w:pStyle w:val="ListBullet"/>
      </w:pPr>
      <w:r>
        <w:rPr>
          <w:b/>
        </w:rPr>
        <w:t>El RAG semántico beneficia mucho más al modelo grande</w:t>
      </w:r>
      <w:r>
        <w:t>: +1.29 puntos en gpt-4o frente a +0.24 en llama. Una hipótesis es que la riqueza del contexto recuperado solo se traduce en ontologías ricas si el modelo tiene capacidad de razonamiento suficiente para asimilarlo y reorganizarlo en triples coherentes.</w:t>
      </w:r>
    </w:p>
    <w:p>
      <w:pPr>
        <w:pStyle w:val="ListBullet"/>
      </w:pPr>
      <w:r>
        <w:rPr>
          <w:b/>
        </w:rPr>
        <w:t>Llama pierde la mitad de las corridas con RAG semántico</w:t>
      </w:r>
      <w:r>
        <w:t xml:space="preserve"> (6/12 válidas vs 12/12 en legacy). El contexto enriquecido le induce a inventar prefijos no declarados (</w:t>
      </w:r>
      <w:r>
        <w:rPr>
          <w:rFonts w:ascii="Consolas" w:hAnsi="Consolas"/>
        </w:rPr>
        <w:t>enhancer:</w:t>
      </w:r>
      <w:r>
        <w:t xml:space="preserve">, </w:t>
      </w:r>
      <w:r>
        <w:rPr>
          <w:rFonts w:ascii="Consolas" w:hAnsi="Consolas"/>
        </w:rPr>
        <w:t>crmType:</w:t>
      </w:r>
      <w:r>
        <w:t>, etc.) y produce TTL irrecuperables incluso tras post-procesado. Es un trade-off claro entre cantidad de información en el prompt y capacidad del modelo para mantener coherencia sintáctica.</w:t>
      </w:r>
    </w:p>
    <w:p>
      <w:pPr>
        <w:pStyle w:val="ListBullet"/>
      </w:pPr>
      <w:r>
        <w:rPr>
          <w:b/>
        </w:rPr>
        <w:t>En las pocas corridas válidas, llama+RAG semántico mantiene Reliability=5.00</w:t>
      </w:r>
      <w:r>
        <w:t xml:space="preserve"> (las que validan son siempre consistentes en OWL DL) pero su Operability sube solo a 2.50, frente a los 4.95 que alcanza gpt-4o. Es decir: aunque Llama recibe el mismo contexto rico, no lo materializa en una malla relacional comparable a la de gpt-4o.</w:t>
      </w:r>
    </w:p>
    <w:p>
      <w:pPr>
        <w:pStyle w:val="ListBullet"/>
      </w:pPr>
      <w:r>
        <w:rPr>
          <w:b/>
        </w:rPr>
        <w:t>Inversión cualitativa del ranking en legacy vs en RAG real</w:t>
      </w:r>
      <w:r>
        <w:t>. Con backend legacy, llama3.1:8b (3.45) supera ligeramente a gpt-4o (2.91) por la regla observada en §10.5 (OQuaRE penaliza la complejidad y Llama produce esquemas más simples). Con RAG semántico, gpt-4o (4.20) supera a llama (3.69) porque ahora sí convierte el contexto en estructura, mientras que Llama no.</w:t>
      </w:r>
    </w:p>
    <w:p>
      <w:r>
        <w:t xml:space="preserve">Este experimento de control refuerza una conclusión metodológica central del trabajo: </w:t>
      </w:r>
      <w:r>
        <w:rPr>
          <w:b/>
        </w:rPr>
        <w:t>la efectividad del RAG no es una propiedad del retrieval por sí solo, sino de la interacción retrieval × modelo</w:t>
      </w:r>
      <w:r>
        <w:t>. Para futuros despliegues con modelos compactos se recomienda explorar configuraciones intermedias (top-k reducido, filtrado por score threshold más alto, chunking más agresivo) que limiten el volumen de contexto inyectado y eviten saturar la ventana del modelo. La validación empírica de esta recomendación se aborda en §10.7.7.</w:t>
      </w:r>
    </w:p>
    <w:p>
      <w:pPr>
        <w:pStyle w:val="Heading3"/>
      </w:pPr>
      <w:r>
        <w:t>10.7.7. Calibración del RAG para modelos compactos — validación empírica</w:t>
      </w:r>
    </w:p>
    <w:p>
      <w:r>
        <w:t>La hipótesis cualitativa de §10.7.6 —que configuraciones intermedias del RAG semántico podrían rescatar parte del desempeño perdido en modelos compactos— se sometió a validación experimental con un sub-experimento de calibración. Se definieron tres configuraciones distintas del cliente RAG (C1, C2, C3) variando los parámetros más relevantes del retrieval, y se compararon contra el baseline (top_k=5, score_thr=0.4, max_chars=5000) y el legacy (keyword-match) sobre las mismas 4 BBDD × 3 runs = 12 corridas por configuración. Total: 36 corridas adicionales con llama3.1:8b, sin coste de API.</w:t>
      </w:r>
    </w:p>
    <w:p>
      <w:pPr>
        <w:pStyle w:val="Heading4"/>
      </w:pPr>
      <w:r>
        <w:t>Diseño de las configuraciones</w:t>
      </w:r>
    </w:p>
    <w:p>
      <w:pPr>
        <w:pStyle w:val="Caption"/>
        <w:jc w:val="center"/>
        <w:spacing w:before="120" w:after="60"/>
      </w:pPr>
      <w:r>
        <w:rPr>
          <w:b/>
          <w:sz w:val="20"/>
          <w:i/>
        </w:rPr>
        <w:t xml:space="preserve">Tabla 21. </w:t>
      </w:r>
      <w:r>
        <w:rPr>
          <w:sz w:val="20"/>
          <w:i/>
        </w:rPr>
        <w:t>Configuraciones de calibración del RAG (C1: top_k=2, C2: thr=0.6, C3: combinada)</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984"/>
            <w:shd w:val="clear" w:color="auto" w:fill="1F4E79"/>
            <w:vAlign w:val="center"/>
          </w:tcPr>
          <w:p>
            <w:pPr>
              <w:jc w:val="center"/>
            </w:pPr>
            <w:r/>
            <w:r>
              <w:rPr>
                <w:b/>
                <w:color w:val="FFFFFF"/>
                <w:sz w:val="20"/>
              </w:rPr>
              <w:t>Config.</w:t>
            </w:r>
          </w:p>
        </w:tc>
        <w:tc>
          <w:tcPr>
            <w:tcW w:type="dxa" w:w="850"/>
            <w:shd w:val="clear" w:color="auto" w:fill="1F4E79"/>
            <w:vAlign w:val="center"/>
          </w:tcPr>
          <w:p>
            <w:pPr>
              <w:jc w:val="center"/>
            </w:pPr>
            <w:r/>
            <w:r>
              <w:rPr>
                <w:b/>
                <w:color w:val="FFFFFF"/>
                <w:sz w:val="20"/>
              </w:rPr>
              <w:t>top_k</w:t>
            </w:r>
          </w:p>
        </w:tc>
        <w:tc>
          <w:tcPr>
            <w:tcW w:type="dxa" w:w="1134"/>
            <w:shd w:val="clear" w:color="auto" w:fill="1F4E79"/>
            <w:vAlign w:val="center"/>
          </w:tcPr>
          <w:p>
            <w:pPr>
              <w:jc w:val="center"/>
            </w:pPr>
            <w:r/>
            <w:r>
              <w:rPr>
                <w:b/>
                <w:color w:val="FFFFFF"/>
                <w:sz w:val="20"/>
              </w:rPr>
              <w:t>score_thr</w:t>
            </w:r>
          </w:p>
        </w:tc>
        <w:tc>
          <w:tcPr>
            <w:tcW w:type="dxa" w:w="1134"/>
            <w:shd w:val="clear" w:color="auto" w:fill="1F4E79"/>
            <w:vAlign w:val="center"/>
          </w:tcPr>
          <w:p>
            <w:pPr>
              <w:jc w:val="center"/>
            </w:pPr>
            <w:r/>
            <w:r>
              <w:rPr>
                <w:b/>
                <w:color w:val="FFFFFF"/>
                <w:sz w:val="20"/>
              </w:rPr>
              <w:t>max_chars</w:t>
            </w:r>
          </w:p>
        </w:tc>
        <w:tc>
          <w:tcPr>
            <w:tcW w:type="dxa" w:w="3402"/>
            <w:shd w:val="clear" w:color="auto" w:fill="1F4E79"/>
            <w:vAlign w:val="center"/>
          </w:tcPr>
          <w:p>
            <w:pPr>
              <w:jc w:val="center"/>
            </w:pPr>
            <w:r/>
            <w:r>
              <w:rPr>
                <w:b/>
                <w:color w:val="FFFFFF"/>
                <w:sz w:val="20"/>
              </w:rPr>
              <w:t>Hipótesis de mejora</w:t>
            </w:r>
          </w:p>
        </w:tc>
      </w:tr>
      <w:tr>
        <w:tc>
          <w:tcPr>
            <w:tcW w:type="dxa" w:w="1984"/>
            <w:vAlign w:val="center"/>
          </w:tcPr>
          <w:p>
            <w:r/>
            <w:r>
              <w:rPr>
                <w:sz w:val="20"/>
              </w:rPr>
              <w:t>legacy</w:t>
            </w:r>
          </w:p>
        </w:tc>
        <w:tc>
          <w:tcPr>
            <w:tcW w:type="dxa" w:w="850"/>
            <w:vAlign w:val="center"/>
          </w:tcPr>
          <w:p>
            <w:r/>
            <w:r>
              <w:rPr>
                <w:sz w:val="20"/>
              </w:rPr>
              <w:t>—</w:t>
            </w:r>
          </w:p>
        </w:tc>
        <w:tc>
          <w:tcPr>
            <w:tcW w:type="dxa" w:w="1134"/>
            <w:vAlign w:val="center"/>
          </w:tcPr>
          <w:p>
            <w:r/>
            <w:r>
              <w:rPr>
                <w:sz w:val="20"/>
              </w:rPr>
              <w:t>—</w:t>
            </w:r>
          </w:p>
        </w:tc>
        <w:tc>
          <w:tcPr>
            <w:tcW w:type="dxa" w:w="1134"/>
            <w:vAlign w:val="center"/>
          </w:tcPr>
          <w:p>
            <w:r/>
            <w:r>
              <w:rPr>
                <w:sz w:val="20"/>
              </w:rPr>
              <w:t>—</w:t>
            </w:r>
          </w:p>
        </w:tc>
        <w:tc>
          <w:tcPr>
            <w:tcW w:type="dxa" w:w="3402"/>
            <w:vAlign w:val="center"/>
          </w:tcPr>
          <w:p>
            <w:r/>
            <w:r>
              <w:rPr>
                <w:sz w:val="20"/>
              </w:rPr>
              <w:t>Baseline keyword (sin embeddings)</w:t>
            </w:r>
          </w:p>
        </w:tc>
      </w:tr>
      <w:tr>
        <w:tc>
          <w:tcPr>
            <w:tcW w:type="dxa" w:w="1984"/>
            <w:shd w:val="clear" w:color="auto" w:fill="F2F6FA"/>
            <w:vAlign w:val="center"/>
          </w:tcPr>
          <w:p>
            <w:r/>
            <w:r>
              <w:rPr>
                <w:sz w:val="20"/>
              </w:rPr>
              <w:t>ragapi (baseline)</w:t>
            </w:r>
          </w:p>
        </w:tc>
        <w:tc>
          <w:tcPr>
            <w:tcW w:type="dxa" w:w="850"/>
            <w:shd w:val="clear" w:color="auto" w:fill="F2F6FA"/>
            <w:vAlign w:val="center"/>
          </w:tcPr>
          <w:p>
            <w:r/>
            <w:r>
              <w:rPr>
                <w:sz w:val="20"/>
              </w:rPr>
              <w:t>5</w:t>
            </w:r>
          </w:p>
        </w:tc>
        <w:tc>
          <w:tcPr>
            <w:tcW w:type="dxa" w:w="1134"/>
            <w:shd w:val="clear" w:color="auto" w:fill="F2F6FA"/>
            <w:vAlign w:val="center"/>
          </w:tcPr>
          <w:p>
            <w:r/>
            <w:r>
              <w:rPr>
                <w:sz w:val="20"/>
              </w:rPr>
              <w:t>0.40</w:t>
            </w:r>
          </w:p>
        </w:tc>
        <w:tc>
          <w:tcPr>
            <w:tcW w:type="dxa" w:w="1134"/>
            <w:shd w:val="clear" w:color="auto" w:fill="F2F6FA"/>
            <w:vAlign w:val="center"/>
          </w:tcPr>
          <w:p>
            <w:r/>
            <w:r>
              <w:rPr>
                <w:sz w:val="20"/>
              </w:rPr>
              <w:t>5000</w:t>
            </w:r>
          </w:p>
        </w:tc>
        <w:tc>
          <w:tcPr>
            <w:tcW w:type="dxa" w:w="3402"/>
            <w:shd w:val="clear" w:color="auto" w:fill="F2F6FA"/>
            <w:vAlign w:val="center"/>
          </w:tcPr>
          <w:p>
            <w:r/>
            <w:r>
              <w:rPr>
                <w:sz w:val="20"/>
              </w:rPr>
              <w:t>RAG semántico estándar (lo del §10.7.6)</w:t>
            </w:r>
          </w:p>
        </w:tc>
      </w:tr>
      <w:tr>
        <w:tc>
          <w:tcPr>
            <w:tcW w:type="dxa" w:w="1984"/>
            <w:vAlign w:val="center"/>
          </w:tcPr>
          <w:p>
            <w:r>
              <w:rPr>
                <w:b/>
                <w:sz w:val="20"/>
              </w:rPr>
              <w:t>C1 — top-k reducido</w:t>
            </w:r>
          </w:p>
        </w:tc>
        <w:tc>
          <w:tcPr>
            <w:tcW w:type="dxa" w:w="850"/>
            <w:vAlign w:val="center"/>
          </w:tcPr>
          <w:p>
            <w:r>
              <w:rPr>
                <w:b/>
                <w:sz w:val="20"/>
              </w:rPr>
              <w:t>2</w:t>
            </w:r>
          </w:p>
        </w:tc>
        <w:tc>
          <w:tcPr>
            <w:tcW w:type="dxa" w:w="1134"/>
            <w:vAlign w:val="center"/>
          </w:tcPr>
          <w:p>
            <w:r/>
            <w:r>
              <w:rPr>
                <w:sz w:val="20"/>
              </w:rPr>
              <w:t>0.40</w:t>
            </w:r>
          </w:p>
        </w:tc>
        <w:tc>
          <w:tcPr>
            <w:tcW w:type="dxa" w:w="1134"/>
            <w:vAlign w:val="center"/>
          </w:tcPr>
          <w:p>
            <w:r/>
            <w:r>
              <w:rPr>
                <w:sz w:val="20"/>
              </w:rPr>
              <w:t>5000</w:t>
            </w:r>
          </w:p>
        </w:tc>
        <w:tc>
          <w:tcPr>
            <w:tcW w:type="dxa" w:w="3402"/>
            <w:vAlign w:val="center"/>
          </w:tcPr>
          <w:p>
            <w:r/>
            <w:r>
              <w:rPr>
                <w:sz w:val="20"/>
              </w:rPr>
              <w:t>Menos ontologías recuperadas → menos prefijos espurios</w:t>
            </w:r>
          </w:p>
        </w:tc>
      </w:tr>
      <w:tr>
        <w:tc>
          <w:tcPr>
            <w:tcW w:type="dxa" w:w="1984"/>
            <w:shd w:val="clear" w:color="auto" w:fill="F2F6FA"/>
            <w:vAlign w:val="center"/>
          </w:tcPr>
          <w:p>
            <w:r/>
            <w:r>
              <w:rPr>
                <w:sz w:val="20"/>
              </w:rPr>
              <w:t>C2 — score-thr alto</w:t>
            </w:r>
          </w:p>
        </w:tc>
        <w:tc>
          <w:tcPr>
            <w:tcW w:type="dxa" w:w="850"/>
            <w:shd w:val="clear" w:color="auto" w:fill="F2F6FA"/>
            <w:vAlign w:val="center"/>
          </w:tcPr>
          <w:p>
            <w:r/>
            <w:r>
              <w:rPr>
                <w:sz w:val="20"/>
              </w:rPr>
              <w:t>5</w:t>
            </w:r>
          </w:p>
        </w:tc>
        <w:tc>
          <w:tcPr>
            <w:tcW w:type="dxa" w:w="1134"/>
            <w:shd w:val="clear" w:color="auto" w:fill="F2F6FA"/>
            <w:vAlign w:val="center"/>
          </w:tcPr>
          <w:p>
            <w:r>
              <w:rPr>
                <w:b/>
                <w:sz w:val="20"/>
              </w:rPr>
              <w:t>0.60</w:t>
            </w:r>
          </w:p>
        </w:tc>
        <w:tc>
          <w:tcPr>
            <w:tcW w:type="dxa" w:w="1134"/>
            <w:shd w:val="clear" w:color="auto" w:fill="F2F6FA"/>
            <w:vAlign w:val="center"/>
          </w:tcPr>
          <w:p>
            <w:r/>
            <w:r>
              <w:rPr>
                <w:sz w:val="20"/>
              </w:rPr>
              <w:t>5000</w:t>
            </w:r>
          </w:p>
        </w:tc>
        <w:tc>
          <w:tcPr>
            <w:tcW w:type="dxa" w:w="3402"/>
            <w:shd w:val="clear" w:color="auto" w:fill="F2F6FA"/>
            <w:vAlign w:val="center"/>
          </w:tcPr>
          <w:p>
            <w:r/>
            <w:r>
              <w:rPr>
                <w:sz w:val="20"/>
              </w:rPr>
              <w:t>Solo matches muy similares → contexto más limpio</w:t>
            </w:r>
          </w:p>
        </w:tc>
      </w:tr>
      <w:tr>
        <w:tc>
          <w:tcPr>
            <w:tcW w:type="dxa" w:w="1984"/>
            <w:vAlign w:val="center"/>
          </w:tcPr>
          <w:p>
            <w:r/>
            <w:r>
              <w:rPr>
                <w:sz w:val="20"/>
              </w:rPr>
              <w:t>C3 — combinada</w:t>
            </w:r>
          </w:p>
        </w:tc>
        <w:tc>
          <w:tcPr>
            <w:tcW w:type="dxa" w:w="850"/>
            <w:vAlign w:val="center"/>
          </w:tcPr>
          <w:p>
            <w:r>
              <w:rPr>
                <w:b/>
                <w:sz w:val="20"/>
              </w:rPr>
              <w:t>2</w:t>
            </w:r>
          </w:p>
        </w:tc>
        <w:tc>
          <w:tcPr>
            <w:tcW w:type="dxa" w:w="1134"/>
            <w:vAlign w:val="center"/>
          </w:tcPr>
          <w:p>
            <w:r>
              <w:rPr>
                <w:b/>
                <w:sz w:val="20"/>
              </w:rPr>
              <w:t>0.60</w:t>
            </w:r>
          </w:p>
        </w:tc>
        <w:tc>
          <w:tcPr>
            <w:tcW w:type="dxa" w:w="1134"/>
            <w:vAlign w:val="center"/>
          </w:tcPr>
          <w:p>
            <w:r>
              <w:rPr>
                <w:b/>
                <w:sz w:val="20"/>
              </w:rPr>
              <w:t>2000</w:t>
            </w:r>
          </w:p>
        </w:tc>
        <w:tc>
          <w:tcPr>
            <w:tcW w:type="dxa" w:w="3402"/>
            <w:vAlign w:val="center"/>
          </w:tcPr>
          <w:p>
            <w:r/>
            <w:r>
              <w:rPr>
                <w:sz w:val="20"/>
              </w:rPr>
              <w:t>Combinación agresiva: top-k bajo + threshold alto + recorte</w:t>
            </w:r>
          </w:p>
        </w:tc>
      </w:tr>
    </w:tbl>
    <w:p>
      <w:r>
        <w:t>El cliente RAG (scripts/rag_backend.py) se extendió para aceptar los tres parámetros como flags CLI (--rag-top-k, --rag-score-thr, --rag-max-chars) que se propagan desde run_gpt_experiments.py. La calibración se aplica sin tocar la API ni el corpus indexado en Neo4j; lo único que cambia es qué subset del retrieval se inyecta en el prompt E3.</w:t>
      </w:r>
    </w:p>
    <w:p>
      <w:pPr>
        <w:pStyle w:val="Heading4"/>
      </w:pPr>
      <w:r>
        <w:t>Resultados</w:t>
      </w:r>
    </w:p>
    <w:p>
      <w:pPr>
        <w:jc w:val="center"/>
      </w:pPr>
      <w:r>
        <w:drawing>
          <wp:inline xmlns:a="http://schemas.openxmlformats.org/drawingml/2006/main" xmlns:pic="http://schemas.openxmlformats.org/drawingml/2006/picture">
            <wp:extent cx="5040000" cy="2365979"/>
            <wp:docPr id="13" name="Picture 13"/>
            <wp:cNvGraphicFramePr>
              <a:graphicFrameLocks noChangeAspect="1"/>
            </wp:cNvGraphicFramePr>
            <a:graphic>
              <a:graphicData uri="http://schemas.openxmlformats.org/drawingml/2006/picture">
                <pic:pic>
                  <pic:nvPicPr>
                    <pic:cNvPr id="0" name="fig12_rag_calibration.png"/>
                    <pic:cNvPicPr/>
                  </pic:nvPicPr>
                  <pic:blipFill>
                    <a:blip r:embed="rId20"/>
                    <a:stretch>
                      <a:fillRect/>
                    </a:stretch>
                  </pic:blipFill>
                  <pic:spPr>
                    <a:xfrm>
                      <a:off x="0" y="0"/>
                      <a:ext cx="5040000" cy="2365979"/>
                    </a:xfrm>
                    <a:prstGeom prst="rect"/>
                  </pic:spPr>
                </pic:pic>
              </a:graphicData>
            </a:graphic>
          </wp:inline>
        </w:drawing>
      </w:r>
    </w:p>
    <w:p>
      <w:pPr>
        <w:spacing w:after="240"/>
        <w:jc w:val="center"/>
      </w:pPr>
      <w:r>
        <w:rPr>
          <w:i/>
          <w:color w:val="404040"/>
          <w:sz w:val="20"/>
        </w:rPr>
        <w:t>Figura 12. Calibración del RAG semántico para llama3.1:8b en E3. Panel A: OQuaRE Global y nº de runs válidas por configuración (de 12 esperadas). Panel B: radar comparativo de las 5 sub-características OQuaRE. C1 (top-k=2) es la configuración óptima: alcanza el mayor OQuaRE Global (4.08, +0.39 sobre el baseline ragapi y +0.63 sobre legacy) gracias a una mejora drástica en Operability (4.25 vs 2.50 del baseline).</w:t>
      </w:r>
    </w:p>
    <w:p>
      <w:pPr>
        <w:pStyle w:val="Caption"/>
        <w:jc w:val="center"/>
        <w:spacing w:before="120" w:after="60"/>
      </w:pPr>
      <w:r>
        <w:rPr>
          <w:b/>
          <w:sz w:val="20"/>
          <w:i/>
        </w:rPr>
        <w:t xml:space="preserve">Tabla 22. </w:t>
      </w:r>
      <w:r>
        <w:rPr>
          <w:sz w:val="20"/>
          <w:i/>
        </w:rPr>
        <w:t>Resultados de la calibración del RAG semántico sobre Llama 3.1 8B en E3</w:t>
      </w:r>
    </w:p>
    <w:tbl>
      <w:tblPr>
        <w:tblStyle w:val="TableGrid"/>
        <w:tblW w:type="auto" w:w="0"/>
        <w:tblLook w:firstColumn="1" w:firstRow="1" w:lastColumn="0" w:lastRow="0" w:noHBand="0" w:noVBand="1" w:val="04A0"/>
      </w:tblPr>
      <w:tblGrid>
        <w:gridCol w:w="1105"/>
        <w:gridCol w:w="1105"/>
        <w:gridCol w:w="1105"/>
        <w:gridCol w:w="1105"/>
        <w:gridCol w:w="1105"/>
        <w:gridCol w:w="1105"/>
        <w:gridCol w:w="1105"/>
        <w:gridCol w:w="1105"/>
      </w:tblGrid>
      <w:tr>
        <w:tc>
          <w:tcPr>
            <w:tcW w:type="dxa" w:w="1701"/>
            <w:shd w:val="clear" w:color="auto" w:fill="1F4E79"/>
            <w:vAlign w:val="center"/>
          </w:tcPr>
          <w:p>
            <w:pPr>
              <w:jc w:val="center"/>
            </w:pPr>
            <w:r/>
            <w:r>
              <w:rPr>
                <w:b/>
                <w:color w:val="FFFFFF"/>
                <w:sz w:val="20"/>
              </w:rPr>
              <w:t>Config.</w:t>
            </w:r>
          </w:p>
        </w:tc>
        <w:tc>
          <w:tcPr>
            <w:tcW w:type="dxa" w:w="850"/>
            <w:shd w:val="clear" w:color="auto" w:fill="1F4E79"/>
            <w:vAlign w:val="center"/>
          </w:tcPr>
          <w:p>
            <w:pPr>
              <w:jc w:val="center"/>
            </w:pPr>
            <w:r/>
            <w:r>
              <w:rPr>
                <w:b/>
                <w:color w:val="FFFFFF"/>
                <w:sz w:val="20"/>
              </w:rPr>
              <w:t>n_válidas</w:t>
            </w:r>
          </w:p>
        </w:tc>
        <w:tc>
          <w:tcPr>
            <w:tcW w:type="dxa" w:w="850"/>
            <w:shd w:val="clear" w:color="auto" w:fill="1F4E79"/>
            <w:vAlign w:val="center"/>
          </w:tcPr>
          <w:p>
            <w:pPr>
              <w:jc w:val="center"/>
            </w:pPr>
            <w:r/>
            <w:r>
              <w:rPr>
                <w:b/>
                <w:color w:val="FFFFFF"/>
                <w:sz w:val="20"/>
              </w:rPr>
              <w:t>Structural</w:t>
            </w:r>
          </w:p>
        </w:tc>
        <w:tc>
          <w:tcPr>
            <w:tcW w:type="dxa" w:w="850"/>
            <w:shd w:val="clear" w:color="auto" w:fill="1F4E79"/>
            <w:vAlign w:val="center"/>
          </w:tcPr>
          <w:p>
            <w:pPr>
              <w:jc w:val="center"/>
            </w:pPr>
            <w:r/>
            <w:r>
              <w:rPr>
                <w:b/>
                <w:color w:val="FFFFFF"/>
                <w:sz w:val="20"/>
              </w:rPr>
              <w:t>Modularity</w:t>
            </w:r>
          </w:p>
        </w:tc>
        <w:tc>
          <w:tcPr>
            <w:tcW w:type="dxa" w:w="850"/>
            <w:shd w:val="clear" w:color="auto" w:fill="1F4E79"/>
            <w:vAlign w:val="center"/>
          </w:tcPr>
          <w:p>
            <w:pPr>
              <w:jc w:val="center"/>
            </w:pPr>
            <w:r/>
            <w:r>
              <w:rPr>
                <w:b/>
                <w:color w:val="FFFFFF"/>
                <w:sz w:val="20"/>
              </w:rPr>
              <w:t>Reusability</w:t>
            </w:r>
          </w:p>
        </w:tc>
        <w:tc>
          <w:tcPr>
            <w:tcW w:type="dxa" w:w="850"/>
            <w:shd w:val="clear" w:color="auto" w:fill="1F4E79"/>
            <w:vAlign w:val="center"/>
          </w:tcPr>
          <w:p>
            <w:pPr>
              <w:jc w:val="center"/>
            </w:pPr>
            <w:r/>
            <w:r>
              <w:rPr>
                <w:b/>
                <w:color w:val="FFFFFF"/>
                <w:sz w:val="20"/>
              </w:rPr>
              <w:t>Operability</w:t>
            </w:r>
          </w:p>
        </w:tc>
        <w:tc>
          <w:tcPr>
            <w:tcW w:type="dxa" w:w="850"/>
            <w:shd w:val="clear" w:color="auto" w:fill="1F4E79"/>
            <w:vAlign w:val="center"/>
          </w:tcPr>
          <w:p>
            <w:pPr>
              <w:jc w:val="center"/>
            </w:pPr>
            <w:r/>
            <w:r>
              <w:rPr>
                <w:b/>
                <w:color w:val="FFFFFF"/>
                <w:sz w:val="20"/>
              </w:rPr>
              <w:t>Reliability</w:t>
            </w:r>
          </w:p>
        </w:tc>
        <w:tc>
          <w:tcPr>
            <w:tcW w:type="dxa" w:w="850"/>
            <w:shd w:val="clear" w:color="auto" w:fill="1F4E79"/>
            <w:vAlign w:val="center"/>
          </w:tcPr>
          <w:p>
            <w:pPr>
              <w:jc w:val="center"/>
            </w:pPr>
            <w:r>
              <w:rPr>
                <w:b/>
                <w:color w:val="FFFFFF"/>
                <w:sz w:val="20"/>
              </w:rPr>
              <w:t>Global</w:t>
            </w:r>
          </w:p>
        </w:tc>
      </w:tr>
      <w:tr>
        <w:tc>
          <w:tcPr>
            <w:tcW w:type="dxa" w:w="1701"/>
            <w:vAlign w:val="center"/>
          </w:tcPr>
          <w:p>
            <w:r/>
            <w:r>
              <w:rPr>
                <w:sz w:val="20"/>
              </w:rPr>
              <w:t>legacy</w:t>
            </w:r>
          </w:p>
        </w:tc>
        <w:tc>
          <w:tcPr>
            <w:tcW w:type="dxa" w:w="850"/>
            <w:vAlign w:val="center"/>
          </w:tcPr>
          <w:p>
            <w:r/>
            <w:r>
              <w:rPr>
                <w:sz w:val="20"/>
              </w:rPr>
              <w:t>12/12</w:t>
            </w:r>
          </w:p>
        </w:tc>
        <w:tc>
          <w:tcPr>
            <w:tcW w:type="dxa" w:w="850"/>
            <w:vAlign w:val="center"/>
          </w:tcPr>
          <w:p>
            <w:r/>
            <w:r>
              <w:rPr>
                <w:sz w:val="20"/>
              </w:rPr>
              <w:t>5.00</w:t>
            </w:r>
          </w:p>
        </w:tc>
        <w:tc>
          <w:tcPr>
            <w:tcW w:type="dxa" w:w="850"/>
            <w:vAlign w:val="center"/>
          </w:tcPr>
          <w:p>
            <w:r/>
            <w:r>
              <w:rPr>
                <w:sz w:val="20"/>
              </w:rPr>
              <w:t>3.67</w:t>
            </w:r>
          </w:p>
        </w:tc>
        <w:tc>
          <w:tcPr>
            <w:tcW w:type="dxa" w:w="850"/>
            <w:vAlign w:val="center"/>
          </w:tcPr>
          <w:p>
            <w:r/>
            <w:r>
              <w:rPr>
                <w:sz w:val="20"/>
              </w:rPr>
              <w:t>2.61</w:t>
            </w:r>
          </w:p>
        </w:tc>
        <w:tc>
          <w:tcPr>
            <w:tcW w:type="dxa" w:w="850"/>
            <w:vAlign w:val="center"/>
          </w:tcPr>
          <w:p>
            <w:r/>
            <w:r>
              <w:rPr>
                <w:sz w:val="20"/>
              </w:rPr>
              <w:t>1.00</w:t>
            </w:r>
          </w:p>
        </w:tc>
        <w:tc>
          <w:tcPr>
            <w:tcW w:type="dxa" w:w="850"/>
            <w:vAlign w:val="center"/>
          </w:tcPr>
          <w:p>
            <w:r/>
            <w:r>
              <w:rPr>
                <w:sz w:val="20"/>
              </w:rPr>
              <w:t>5.00</w:t>
            </w:r>
          </w:p>
        </w:tc>
        <w:tc>
          <w:tcPr>
            <w:tcW w:type="dxa" w:w="850"/>
            <w:vAlign w:val="center"/>
          </w:tcPr>
          <w:p>
            <w:r/>
            <w:r>
              <w:rPr>
                <w:sz w:val="20"/>
              </w:rPr>
              <w:t>3.45</w:t>
            </w:r>
          </w:p>
        </w:tc>
      </w:tr>
      <w:tr>
        <w:tc>
          <w:tcPr>
            <w:tcW w:type="dxa" w:w="1701"/>
            <w:shd w:val="clear" w:color="auto" w:fill="F2F6FA"/>
            <w:vAlign w:val="center"/>
          </w:tcPr>
          <w:p>
            <w:r/>
            <w:r>
              <w:rPr>
                <w:sz w:val="20"/>
              </w:rPr>
              <w:t>ragapi (baseline)</w:t>
            </w:r>
          </w:p>
        </w:tc>
        <w:tc>
          <w:tcPr>
            <w:tcW w:type="dxa" w:w="850"/>
            <w:shd w:val="clear" w:color="auto" w:fill="F2F6FA"/>
            <w:vAlign w:val="center"/>
          </w:tcPr>
          <w:p>
            <w:r/>
            <w:r>
              <w:rPr>
                <w:sz w:val="20"/>
              </w:rPr>
              <w:t>6/12</w:t>
            </w:r>
          </w:p>
        </w:tc>
        <w:tc>
          <w:tcPr>
            <w:tcW w:type="dxa" w:w="850"/>
            <w:shd w:val="clear" w:color="auto" w:fill="F2F6FA"/>
            <w:vAlign w:val="center"/>
          </w:tcPr>
          <w:p>
            <w:r/>
            <w:r>
              <w:rPr>
                <w:sz w:val="20"/>
              </w:rPr>
              <w:t>5.00</w:t>
            </w:r>
          </w:p>
        </w:tc>
        <w:tc>
          <w:tcPr>
            <w:tcW w:type="dxa" w:w="850"/>
            <w:shd w:val="clear" w:color="auto" w:fill="F2F6FA"/>
            <w:vAlign w:val="center"/>
          </w:tcPr>
          <w:p>
            <w:r/>
            <w:r>
              <w:rPr>
                <w:sz w:val="20"/>
              </w:rPr>
              <w:t>3.58</w:t>
            </w:r>
          </w:p>
        </w:tc>
        <w:tc>
          <w:tcPr>
            <w:tcW w:type="dxa" w:w="850"/>
            <w:shd w:val="clear" w:color="auto" w:fill="F2F6FA"/>
            <w:vAlign w:val="center"/>
          </w:tcPr>
          <w:p>
            <w:r/>
            <w:r>
              <w:rPr>
                <w:sz w:val="20"/>
              </w:rPr>
              <w:t>2.33</w:t>
            </w:r>
          </w:p>
        </w:tc>
        <w:tc>
          <w:tcPr>
            <w:tcW w:type="dxa" w:w="850"/>
            <w:shd w:val="clear" w:color="auto" w:fill="F2F6FA"/>
            <w:vAlign w:val="center"/>
          </w:tcPr>
          <w:p>
            <w:r/>
            <w:r>
              <w:rPr>
                <w:sz w:val="20"/>
              </w:rPr>
              <w:t>2.50</w:t>
            </w:r>
          </w:p>
        </w:tc>
        <w:tc>
          <w:tcPr>
            <w:tcW w:type="dxa" w:w="850"/>
            <w:shd w:val="clear" w:color="auto" w:fill="F2F6FA"/>
            <w:vAlign w:val="center"/>
          </w:tcPr>
          <w:p>
            <w:r/>
            <w:r>
              <w:rPr>
                <w:sz w:val="20"/>
              </w:rPr>
              <w:t>5.00</w:t>
            </w:r>
          </w:p>
        </w:tc>
        <w:tc>
          <w:tcPr>
            <w:tcW w:type="dxa" w:w="850"/>
            <w:shd w:val="clear" w:color="auto" w:fill="F2F6FA"/>
            <w:vAlign w:val="center"/>
          </w:tcPr>
          <w:p>
            <w:r/>
            <w:r>
              <w:rPr>
                <w:sz w:val="20"/>
              </w:rPr>
              <w:t>3.69</w:t>
            </w:r>
          </w:p>
        </w:tc>
      </w:tr>
      <w:tr>
        <w:tc>
          <w:tcPr>
            <w:tcW w:type="dxa" w:w="1701"/>
            <w:vAlign w:val="center"/>
          </w:tcPr>
          <w:p>
            <w:r>
              <w:rPr>
                <w:b/>
                <w:sz w:val="20"/>
              </w:rPr>
              <w:t>C1 — top-k=2</w:t>
            </w:r>
          </w:p>
        </w:tc>
        <w:tc>
          <w:tcPr>
            <w:tcW w:type="dxa" w:w="850"/>
            <w:vAlign w:val="center"/>
          </w:tcPr>
          <w:p>
            <w:r>
              <w:rPr>
                <w:b/>
                <w:sz w:val="20"/>
              </w:rPr>
              <w:t>6/12</w:t>
            </w:r>
          </w:p>
        </w:tc>
        <w:tc>
          <w:tcPr>
            <w:tcW w:type="dxa" w:w="850"/>
            <w:vAlign w:val="center"/>
          </w:tcPr>
          <w:p>
            <w:r/>
            <w:r>
              <w:rPr>
                <w:sz w:val="20"/>
              </w:rPr>
              <w:t>5.00</w:t>
            </w:r>
          </w:p>
        </w:tc>
        <w:tc>
          <w:tcPr>
            <w:tcW w:type="dxa" w:w="850"/>
            <w:vAlign w:val="center"/>
          </w:tcPr>
          <w:p>
            <w:r/>
            <w:r>
              <w:rPr>
                <w:sz w:val="20"/>
              </w:rPr>
              <w:t>3.75</w:t>
            </w:r>
          </w:p>
        </w:tc>
        <w:tc>
          <w:tcPr>
            <w:tcW w:type="dxa" w:w="850"/>
            <w:vAlign w:val="center"/>
          </w:tcPr>
          <w:p>
            <w:r/>
            <w:r>
              <w:rPr>
                <w:sz w:val="20"/>
              </w:rPr>
              <w:t>2.39</w:t>
            </w:r>
          </w:p>
        </w:tc>
        <w:tc>
          <w:tcPr>
            <w:tcW w:type="dxa" w:w="850"/>
            <w:vAlign w:val="center"/>
          </w:tcPr>
          <w:p>
            <w:r>
              <w:rPr>
                <w:b/>
                <w:sz w:val="20"/>
              </w:rPr>
              <w:t>4.25</w:t>
            </w:r>
          </w:p>
        </w:tc>
        <w:tc>
          <w:tcPr>
            <w:tcW w:type="dxa" w:w="850"/>
            <w:vAlign w:val="center"/>
          </w:tcPr>
          <w:p>
            <w:r/>
            <w:r>
              <w:rPr>
                <w:sz w:val="20"/>
              </w:rPr>
              <w:t>5.00</w:t>
            </w:r>
          </w:p>
        </w:tc>
        <w:tc>
          <w:tcPr>
            <w:tcW w:type="dxa" w:w="850"/>
            <w:vAlign w:val="center"/>
          </w:tcPr>
          <w:p>
            <w:r>
              <w:rPr>
                <w:b/>
                <w:sz w:val="20"/>
              </w:rPr>
              <w:t>4.08</w:t>
            </w:r>
          </w:p>
        </w:tc>
      </w:tr>
      <w:tr>
        <w:tc>
          <w:tcPr>
            <w:tcW w:type="dxa" w:w="1701"/>
            <w:shd w:val="clear" w:color="auto" w:fill="F2F6FA"/>
            <w:vAlign w:val="center"/>
          </w:tcPr>
          <w:p>
            <w:r/>
            <w:r>
              <w:rPr>
                <w:sz w:val="20"/>
              </w:rPr>
              <w:t>C2 — thr=0.6</w:t>
            </w:r>
          </w:p>
        </w:tc>
        <w:tc>
          <w:tcPr>
            <w:tcW w:type="dxa" w:w="850"/>
            <w:shd w:val="clear" w:color="auto" w:fill="F2F6FA"/>
            <w:vAlign w:val="center"/>
          </w:tcPr>
          <w:p>
            <w:r/>
            <w:r>
              <w:rPr>
                <w:sz w:val="20"/>
              </w:rPr>
              <w:t>5/12</w:t>
            </w:r>
          </w:p>
        </w:tc>
        <w:tc>
          <w:tcPr>
            <w:tcW w:type="dxa" w:w="850"/>
            <w:shd w:val="clear" w:color="auto" w:fill="F2F6FA"/>
            <w:vAlign w:val="center"/>
          </w:tcPr>
          <w:p>
            <w:r/>
            <w:r>
              <w:rPr>
                <w:sz w:val="20"/>
              </w:rPr>
              <w:t>4.95</w:t>
            </w:r>
          </w:p>
        </w:tc>
        <w:tc>
          <w:tcPr>
            <w:tcW w:type="dxa" w:w="850"/>
            <w:shd w:val="clear" w:color="auto" w:fill="F2F6FA"/>
            <w:vAlign w:val="center"/>
          </w:tcPr>
          <w:p>
            <w:r/>
            <w:r>
              <w:rPr>
                <w:sz w:val="20"/>
              </w:rPr>
              <w:t>4.10</w:t>
            </w:r>
          </w:p>
        </w:tc>
        <w:tc>
          <w:tcPr>
            <w:tcW w:type="dxa" w:w="850"/>
            <w:shd w:val="clear" w:color="auto" w:fill="F2F6FA"/>
            <w:vAlign w:val="center"/>
          </w:tcPr>
          <w:p>
            <w:r/>
            <w:r>
              <w:rPr>
                <w:sz w:val="20"/>
              </w:rPr>
              <w:t>2.33</w:t>
            </w:r>
          </w:p>
        </w:tc>
        <w:tc>
          <w:tcPr>
            <w:tcW w:type="dxa" w:w="850"/>
            <w:shd w:val="clear" w:color="auto" w:fill="F2F6FA"/>
            <w:vAlign w:val="center"/>
          </w:tcPr>
          <w:p>
            <w:r/>
            <w:r>
              <w:rPr>
                <w:sz w:val="20"/>
              </w:rPr>
              <w:t>3.30</w:t>
            </w:r>
          </w:p>
        </w:tc>
        <w:tc>
          <w:tcPr>
            <w:tcW w:type="dxa" w:w="850"/>
            <w:shd w:val="clear" w:color="auto" w:fill="F2F6FA"/>
            <w:vAlign w:val="center"/>
          </w:tcPr>
          <w:p>
            <w:r/>
            <w:r>
              <w:rPr>
                <w:sz w:val="20"/>
              </w:rPr>
              <w:t>4.00</w:t>
            </w:r>
          </w:p>
        </w:tc>
        <w:tc>
          <w:tcPr>
            <w:tcW w:type="dxa" w:w="850"/>
            <w:shd w:val="clear" w:color="auto" w:fill="F2F6FA"/>
            <w:vAlign w:val="center"/>
          </w:tcPr>
          <w:p>
            <w:r/>
            <w:r>
              <w:rPr>
                <w:sz w:val="20"/>
              </w:rPr>
              <w:t>3.74</w:t>
            </w:r>
          </w:p>
        </w:tc>
      </w:tr>
      <w:tr>
        <w:tc>
          <w:tcPr>
            <w:tcW w:type="dxa" w:w="1701"/>
            <w:vAlign w:val="center"/>
          </w:tcPr>
          <w:p>
            <w:r/>
            <w:r>
              <w:rPr>
                <w:sz w:val="20"/>
              </w:rPr>
              <w:t>C3 — combinada</w:t>
            </w:r>
          </w:p>
        </w:tc>
        <w:tc>
          <w:tcPr>
            <w:tcW w:type="dxa" w:w="850"/>
            <w:vAlign w:val="center"/>
          </w:tcPr>
          <w:p>
            <w:r/>
            <w:r>
              <w:rPr>
                <w:sz w:val="20"/>
              </w:rPr>
              <w:t>7/12</w:t>
            </w:r>
          </w:p>
        </w:tc>
        <w:tc>
          <w:tcPr>
            <w:tcW w:type="dxa" w:w="850"/>
            <w:vAlign w:val="center"/>
          </w:tcPr>
          <w:p>
            <w:r/>
            <w:r>
              <w:rPr>
                <w:sz w:val="20"/>
              </w:rPr>
              <w:t>4.29</w:t>
            </w:r>
          </w:p>
        </w:tc>
        <w:tc>
          <w:tcPr>
            <w:tcW w:type="dxa" w:w="850"/>
            <w:vAlign w:val="center"/>
          </w:tcPr>
          <w:p>
            <w:r/>
            <w:r>
              <w:rPr>
                <w:sz w:val="20"/>
              </w:rPr>
              <w:t>3.36</w:t>
            </w:r>
          </w:p>
        </w:tc>
        <w:tc>
          <w:tcPr>
            <w:tcW w:type="dxa" w:w="850"/>
            <w:vAlign w:val="center"/>
          </w:tcPr>
          <w:p>
            <w:r/>
            <w:r>
              <w:rPr>
                <w:sz w:val="20"/>
              </w:rPr>
              <w:t>2.09</w:t>
            </w:r>
          </w:p>
        </w:tc>
        <w:tc>
          <w:tcPr>
            <w:tcW w:type="dxa" w:w="850"/>
            <w:vAlign w:val="center"/>
          </w:tcPr>
          <w:p>
            <w:r/>
            <w:r>
              <w:rPr>
                <w:sz w:val="20"/>
              </w:rPr>
              <w:t>2.71</w:t>
            </w:r>
          </w:p>
        </w:tc>
        <w:tc>
          <w:tcPr>
            <w:tcW w:type="dxa" w:w="850"/>
            <w:vAlign w:val="center"/>
          </w:tcPr>
          <w:p>
            <w:r/>
            <w:r>
              <w:rPr>
                <w:sz w:val="20"/>
              </w:rPr>
              <w:t>5.00</w:t>
            </w:r>
          </w:p>
        </w:tc>
        <w:tc>
          <w:tcPr>
            <w:tcW w:type="dxa" w:w="850"/>
            <w:vAlign w:val="center"/>
          </w:tcPr>
          <w:p>
            <w:r/>
            <w:r>
              <w:rPr>
                <w:sz w:val="20"/>
              </w:rPr>
              <w:t>3.49</w:t>
            </w:r>
          </w:p>
        </w:tc>
      </w:tr>
    </w:tbl>
    <w:p>
      <w:pPr>
        <w:pStyle w:val="Heading4"/>
      </w:pPr>
      <w:r>
        <w:t>Hallazgos del experimento de calibración</w:t>
      </w:r>
    </w:p>
    <w:p>
      <w:pPr>
        <w:pStyle w:val="ListBullet"/>
      </w:pPr>
      <w:r>
        <w:rPr>
          <w:b/>
        </w:rPr>
        <w:t>C1 (top-k reducido) es la configuración óptima</w:t>
      </w:r>
      <w:r>
        <w:t>: 4.08 OQuaRE Global, +0.39 sobre el baseline ragapi y +0.63 sobre legacy. Mantiene el mismo número de runs válidas que el baseline (6/12) pero la calidad de las que sí validan es muy superior, destacando una mejora ×1.7 en Operability (4.25 vs 2.50).</w:t>
      </w:r>
    </w:p>
    <w:p>
      <w:pPr>
        <w:pStyle w:val="ListBullet"/>
      </w:pPr>
      <w:r>
        <w:rPr>
          <w:b/>
        </w:rPr>
        <w:t>El top_k es la palanca crítica</w:t>
      </w:r>
      <w:r>
        <w:t>, no el score threshold ni el recorte de contexto. C2 (score_thr=0.6) gana solo +0.05 sobre el baseline ragapi y pierde 1 run más; el filtrado fino no compensa la pérdida de contexto útil. C3 (combinación agresiva) rescata más runs (7/12) pero su Global cae a 3.49 (incluso por debajo del legacy), porque max_chars=2000 deja al modelo sin contexto suficiente.</w:t>
      </w:r>
    </w:p>
    <w:p>
      <w:pPr>
        <w:pStyle w:val="ListBullet"/>
      </w:pPr>
      <w:r>
        <w:rPr>
          <w:b/>
        </w:rPr>
        <w:t>Hipótesis confirmada con matiz</w:t>
      </w:r>
      <w:r>
        <w:t xml:space="preserve">. La afirmación general de §10.7.6 ("configuraciones intermedias mejoran a los modelos compactos") se valida, pero el experimento revela que el mecanismo causal específico es </w:t>
      </w:r>
      <w:r>
        <w:rPr>
          <w:b/>
        </w:rPr>
        <w:t>reducir el número de ontologías recuperadas</w:t>
      </w:r>
      <w:r>
        <w:t>, no "limpiar" su contenido vía score threshold ni truncar el prompt resultante. Bajar top_k evita que el modelo se sature con prefijos potencialmente irrelevantes que luego no sabe declarar.</w:t>
      </w:r>
    </w:p>
    <w:p>
      <w:pPr>
        <w:pStyle w:val="ListBullet"/>
      </w:pPr>
      <w:r>
        <w:rPr>
          <w:b/>
        </w:rPr>
        <w:t>El gap respecto a gpt-4o no se cierra del todo</w:t>
      </w:r>
      <w:r>
        <w:t xml:space="preserve">. C1 (4.08) sigue por debajo de gpt-4o + RAG semántico (4.20 según §10.7.3). Pero la diferencia se reduce de 0.51 puntos (con configuración estándar) a 0.12 puntos (con C1). </w:t>
      </w:r>
      <w:r>
        <w:rPr>
          <w:b/>
        </w:rPr>
        <w:t>Aproximadamente el 76 % del gap se cierra con un único cambio de un parámetro</w:t>
      </w:r>
      <w:r>
        <w:t>, sin tocar el modelo ni el prompt.</w:t>
      </w:r>
    </w:p>
    <w:p>
      <w:pPr>
        <w:pStyle w:val="Heading4"/>
      </w:pPr>
      <w:r>
        <w:t>Recomendación operativa para futuros despliegues</w:t>
      </w:r>
    </w:p>
    <w:p>
      <w:r>
        <w:t>Para sistemas de generación de ontologías guiadas por RAG sobre modelos compactos (≤ 8 mil millones de parámetros), las configuraciones recomendadas son:</w:t>
      </w:r>
    </w:p>
    <w:p>
      <w:pPr>
        <w:pStyle w:val="Caption"/>
        <w:jc w:val="center"/>
        <w:spacing w:before="120" w:after="60"/>
      </w:pPr>
      <w:r>
        <w:rPr>
          <w:b/>
          <w:sz w:val="20"/>
          <w:i/>
        </w:rPr>
        <w:t xml:space="preserve">Tabla 23. </w:t>
      </w:r>
      <w:r>
        <w:rPr>
          <w:sz w:val="20"/>
          <w:i/>
        </w:rPr>
        <w:t>Recomendación operativa de top_k según el tamaño del modelo</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2835"/>
            <w:shd w:val="clear" w:color="auto" w:fill="1F4E79"/>
            <w:vAlign w:val="center"/>
          </w:tcPr>
          <w:p>
            <w:pPr>
              <w:jc w:val="center"/>
            </w:pPr>
            <w:r/>
            <w:r>
              <w:rPr>
                <w:b/>
                <w:color w:val="FFFFFF"/>
                <w:sz w:val="20"/>
              </w:rPr>
              <w:t>Tamaño del modelo</w:t>
            </w:r>
          </w:p>
        </w:tc>
        <w:tc>
          <w:tcPr>
            <w:tcW w:type="dxa" w:w="850"/>
            <w:shd w:val="clear" w:color="auto" w:fill="1F4E79"/>
            <w:vAlign w:val="center"/>
          </w:tcPr>
          <w:p>
            <w:pPr>
              <w:jc w:val="center"/>
            </w:pPr>
            <w:r/>
            <w:r>
              <w:rPr>
                <w:b/>
                <w:color w:val="FFFFFF"/>
                <w:sz w:val="20"/>
              </w:rPr>
              <w:t>top_k</w:t>
            </w:r>
          </w:p>
        </w:tc>
        <w:tc>
          <w:tcPr>
            <w:tcW w:type="dxa" w:w="1134"/>
            <w:shd w:val="clear" w:color="auto" w:fill="1F4E79"/>
            <w:vAlign w:val="center"/>
          </w:tcPr>
          <w:p>
            <w:pPr>
              <w:jc w:val="center"/>
            </w:pPr>
            <w:r/>
            <w:r>
              <w:rPr>
                <w:b/>
                <w:color w:val="FFFFFF"/>
                <w:sz w:val="20"/>
              </w:rPr>
              <w:t>score_thr</w:t>
            </w:r>
          </w:p>
        </w:tc>
        <w:tc>
          <w:tcPr>
            <w:tcW w:type="dxa" w:w="1134"/>
            <w:shd w:val="clear" w:color="auto" w:fill="1F4E79"/>
            <w:vAlign w:val="center"/>
          </w:tcPr>
          <w:p>
            <w:pPr>
              <w:jc w:val="center"/>
            </w:pPr>
            <w:r/>
            <w:r>
              <w:rPr>
                <w:b/>
                <w:color w:val="FFFFFF"/>
                <w:sz w:val="20"/>
              </w:rPr>
              <w:t>max_chars</w:t>
            </w:r>
          </w:p>
        </w:tc>
        <w:tc>
          <w:tcPr>
            <w:tcW w:type="dxa" w:w="2551"/>
            <w:shd w:val="clear" w:color="auto" w:fill="1F4E79"/>
            <w:vAlign w:val="center"/>
          </w:tcPr>
          <w:p>
            <w:pPr>
              <w:jc w:val="center"/>
            </w:pPr>
            <w:r/>
            <w:r>
              <w:rPr>
                <w:b/>
                <w:color w:val="FFFFFF"/>
                <w:sz w:val="20"/>
              </w:rPr>
              <w:t>Justificación</w:t>
            </w:r>
          </w:p>
        </w:tc>
      </w:tr>
      <w:tr>
        <w:tc>
          <w:tcPr>
            <w:tcW w:type="dxa" w:w="2835"/>
            <w:vAlign w:val="center"/>
          </w:tcPr>
          <w:p>
            <w:r/>
            <w:r>
              <w:rPr>
                <w:sz w:val="20"/>
              </w:rPr>
              <w:t>≤ 8 B (Llama 3.1 8B, Qwen 2.5 Coder 7B…)</w:t>
            </w:r>
          </w:p>
        </w:tc>
        <w:tc>
          <w:tcPr>
            <w:tcW w:type="dxa" w:w="850"/>
            <w:vAlign w:val="center"/>
          </w:tcPr>
          <w:p>
            <w:r>
              <w:rPr>
                <w:b/>
                <w:sz w:val="20"/>
              </w:rPr>
              <w:t>2</w:t>
            </w:r>
          </w:p>
        </w:tc>
        <w:tc>
          <w:tcPr>
            <w:tcW w:type="dxa" w:w="1134"/>
            <w:vAlign w:val="center"/>
          </w:tcPr>
          <w:p>
            <w:r/>
            <w:r>
              <w:rPr>
                <w:sz w:val="20"/>
              </w:rPr>
              <w:t>0.40</w:t>
            </w:r>
          </w:p>
        </w:tc>
        <w:tc>
          <w:tcPr>
            <w:tcW w:type="dxa" w:w="1134"/>
            <w:vAlign w:val="center"/>
          </w:tcPr>
          <w:p>
            <w:r/>
            <w:r>
              <w:rPr>
                <w:sz w:val="20"/>
              </w:rPr>
              <w:t>5000</w:t>
            </w:r>
          </w:p>
        </w:tc>
        <w:tc>
          <w:tcPr>
            <w:tcW w:type="dxa" w:w="2551"/>
            <w:vAlign w:val="center"/>
          </w:tcPr>
          <w:p>
            <w:r/>
            <w:r>
              <w:rPr>
                <w:sz w:val="20"/>
              </w:rPr>
              <w:t>Validado empíricamente en este TFM</w:t>
            </w:r>
          </w:p>
        </w:tc>
      </w:tr>
      <w:tr>
        <w:tc>
          <w:tcPr>
            <w:tcW w:type="dxa" w:w="2835"/>
            <w:shd w:val="clear" w:color="auto" w:fill="F2F6FA"/>
            <w:vAlign w:val="center"/>
          </w:tcPr>
          <w:p>
            <w:r/>
            <w:r>
              <w:rPr>
                <w:sz w:val="20"/>
              </w:rPr>
              <w:t>~ 30-70 B</w:t>
            </w:r>
          </w:p>
        </w:tc>
        <w:tc>
          <w:tcPr>
            <w:tcW w:type="dxa" w:w="850"/>
            <w:shd w:val="clear" w:color="auto" w:fill="F2F6FA"/>
            <w:vAlign w:val="center"/>
          </w:tcPr>
          <w:p>
            <w:r/>
            <w:r>
              <w:rPr>
                <w:sz w:val="20"/>
              </w:rPr>
              <w:t>3-5</w:t>
            </w:r>
          </w:p>
        </w:tc>
        <w:tc>
          <w:tcPr>
            <w:tcW w:type="dxa" w:w="1134"/>
            <w:shd w:val="clear" w:color="auto" w:fill="F2F6FA"/>
            <w:vAlign w:val="center"/>
          </w:tcPr>
          <w:p>
            <w:r/>
            <w:r>
              <w:rPr>
                <w:sz w:val="20"/>
              </w:rPr>
              <w:t>0.40</w:t>
            </w:r>
          </w:p>
        </w:tc>
        <w:tc>
          <w:tcPr>
            <w:tcW w:type="dxa" w:w="1134"/>
            <w:shd w:val="clear" w:color="auto" w:fill="F2F6FA"/>
            <w:vAlign w:val="center"/>
          </w:tcPr>
          <w:p>
            <w:r/>
            <w:r>
              <w:rPr>
                <w:sz w:val="20"/>
              </w:rPr>
              <w:t>5000-8000</w:t>
            </w:r>
          </w:p>
        </w:tc>
        <w:tc>
          <w:tcPr>
            <w:tcW w:type="dxa" w:w="2551"/>
            <w:shd w:val="clear" w:color="auto" w:fill="F2F6FA"/>
            <w:vAlign w:val="center"/>
          </w:tcPr>
          <w:p>
            <w:r/>
            <w:r>
              <w:rPr>
                <w:sz w:val="20"/>
              </w:rPr>
              <w:t>Hipótesis: ventana intermedia; queda como trabajo futuro</w:t>
            </w:r>
          </w:p>
        </w:tc>
      </w:tr>
      <w:tr>
        <w:tc>
          <w:tcPr>
            <w:tcW w:type="dxa" w:w="2835"/>
            <w:vAlign w:val="center"/>
          </w:tcPr>
          <w:p>
            <w:r/>
            <w:r>
              <w:rPr>
                <w:sz w:val="20"/>
              </w:rPr>
              <w:t>≥ 100 B (gpt-4o, Claude 3.5 Sonnet, Llama 3.1 70B)</w:t>
            </w:r>
          </w:p>
        </w:tc>
        <w:tc>
          <w:tcPr>
            <w:tcW w:type="dxa" w:w="850"/>
            <w:vAlign w:val="center"/>
          </w:tcPr>
          <w:p>
            <w:r/>
            <w:r>
              <w:rPr>
                <w:sz w:val="20"/>
              </w:rPr>
              <w:t>5</w:t>
            </w:r>
          </w:p>
        </w:tc>
        <w:tc>
          <w:tcPr>
            <w:tcW w:type="dxa" w:w="1134"/>
            <w:vAlign w:val="center"/>
          </w:tcPr>
          <w:p>
            <w:r/>
            <w:r>
              <w:rPr>
                <w:sz w:val="20"/>
              </w:rPr>
              <w:t>0.40</w:t>
            </w:r>
          </w:p>
        </w:tc>
        <w:tc>
          <w:tcPr>
            <w:tcW w:type="dxa" w:w="1134"/>
            <w:vAlign w:val="center"/>
          </w:tcPr>
          <w:p>
            <w:r/>
            <w:r>
              <w:rPr>
                <w:sz w:val="20"/>
              </w:rPr>
              <w:t>5000</w:t>
            </w:r>
          </w:p>
        </w:tc>
        <w:tc>
          <w:tcPr>
            <w:tcW w:type="dxa" w:w="2551"/>
            <w:vAlign w:val="center"/>
          </w:tcPr>
          <w:p>
            <w:r/>
            <w:r>
              <w:rPr>
                <w:sz w:val="20"/>
              </w:rPr>
              <w:t>Configuración por defecto del backend; aprovecha el contexto rico</w:t>
            </w:r>
          </w:p>
        </w:tc>
      </w:tr>
    </w:tbl>
    <w:p>
      <w:r>
        <w:t>Esta tabla constituye una contribución empírica del TFM: convierte la afirmación normativa de §10.7.6 en una guía operativa con valores concretos respaldados por 36 corridas evaluadas con OQuaRE.</w:t>
      </w:r>
    </w:p>
    <w:p>
      <w:pPr>
        <w:pStyle w:val="Heading1"/>
      </w:pPr>
      <w:r>
        <w:t>11. Herramientas y reproducibilidad</w:t>
      </w:r>
    </w:p>
    <w:p>
      <w:pPr>
        <w:pStyle w:val="Caption"/>
        <w:jc w:val="center"/>
        <w:spacing w:before="120" w:after="60"/>
      </w:pPr>
      <w:r>
        <w:rPr>
          <w:b/>
          <w:sz w:val="20"/>
          <w:i/>
        </w:rPr>
        <w:t xml:space="preserve">Tabla 24. </w:t>
      </w:r>
      <w:r>
        <w:rPr>
          <w:sz w:val="20"/>
          <w:i/>
        </w:rPr>
        <w:t>Pila de herramientas y dependencias del banco experimental</w:t>
      </w:r>
    </w:p>
    <w:tbl>
      <w:tblPr>
        <w:tblStyle w:val="TableGrid"/>
        <w:tblW w:type="auto" w:w="0"/>
        <w:tblLook w:firstColumn="1" w:firstRow="1" w:lastColumn="0" w:lastRow="0" w:noHBand="0" w:noVBand="1" w:val="04A0"/>
      </w:tblPr>
      <w:tblGrid>
        <w:gridCol w:w="4419"/>
        <w:gridCol w:w="4419"/>
      </w:tblGrid>
      <w:tr>
        <w:tc>
          <w:tcPr>
            <w:tcW w:type="dxa" w:w="2835"/>
            <w:shd w:val="clear" w:color="auto" w:fill="1F4E79"/>
            <w:vAlign w:val="center"/>
          </w:tcPr>
          <w:p>
            <w:pPr>
              <w:jc w:val="center"/>
            </w:pPr>
            <w:r/>
            <w:r>
              <w:rPr>
                <w:b/>
                <w:color w:val="FFFFFF"/>
                <w:sz w:val="20"/>
              </w:rPr>
              <w:t>Componente</w:t>
            </w:r>
          </w:p>
        </w:tc>
        <w:tc>
          <w:tcPr>
            <w:tcW w:type="dxa" w:w="5669"/>
            <w:shd w:val="clear" w:color="auto" w:fill="1F4E79"/>
            <w:vAlign w:val="center"/>
          </w:tcPr>
          <w:p>
            <w:pPr>
              <w:jc w:val="center"/>
            </w:pPr>
            <w:r/>
            <w:r>
              <w:rPr>
                <w:b/>
                <w:color w:val="FFFFFF"/>
                <w:sz w:val="20"/>
              </w:rPr>
              <w:t>Versión / referencia</w:t>
            </w:r>
          </w:p>
        </w:tc>
      </w:tr>
      <w:tr>
        <w:tc>
          <w:tcPr>
            <w:tcW w:type="dxa" w:w="2835"/>
            <w:vAlign w:val="center"/>
          </w:tcPr>
          <w:p>
            <w:r/>
            <w:r>
              <w:rPr>
                <w:sz w:val="20"/>
              </w:rPr>
              <w:t>Lenguaje</w:t>
            </w:r>
          </w:p>
        </w:tc>
        <w:tc>
          <w:tcPr>
            <w:tcW w:type="dxa" w:w="5669"/>
            <w:vAlign w:val="center"/>
          </w:tcPr>
          <w:p>
            <w:r/>
            <w:r>
              <w:rPr>
                <w:sz w:val="20"/>
              </w:rPr>
              <w:t>Python 3.12</w:t>
            </w:r>
          </w:p>
        </w:tc>
      </w:tr>
      <w:tr>
        <w:tc>
          <w:tcPr>
            <w:tcW w:type="dxa" w:w="2835"/>
            <w:shd w:val="clear" w:color="auto" w:fill="F2F6FA"/>
            <w:vAlign w:val="center"/>
          </w:tcPr>
          <w:p>
            <w:r/>
            <w:r>
              <w:rPr>
                <w:sz w:val="20"/>
              </w:rPr>
              <w:t>Cliente LLM</w:t>
            </w:r>
          </w:p>
        </w:tc>
        <w:tc>
          <w:tcPr>
            <w:tcW w:type="dxa" w:w="5669"/>
            <w:shd w:val="clear" w:color="auto" w:fill="F2F6FA"/>
            <w:vAlign w:val="center"/>
          </w:tcPr>
          <w:p>
            <w:r/>
            <w:r>
              <w:rPr>
                <w:sz w:val="20"/>
              </w:rPr>
              <w:t>openai ≥ 1.3</w:t>
            </w:r>
          </w:p>
        </w:tc>
      </w:tr>
      <w:tr>
        <w:tc>
          <w:tcPr>
            <w:tcW w:type="dxa" w:w="2835"/>
            <w:vAlign w:val="center"/>
          </w:tcPr>
          <w:p>
            <w:r/>
            <w:r>
              <w:rPr>
                <w:sz w:val="20"/>
              </w:rPr>
              <w:t>Validación RDF</w:t>
            </w:r>
          </w:p>
        </w:tc>
        <w:tc>
          <w:tcPr>
            <w:tcW w:type="dxa" w:w="5669"/>
            <w:vAlign w:val="center"/>
          </w:tcPr>
          <w:p>
            <w:r/>
            <w:r>
              <w:rPr>
                <w:sz w:val="20"/>
              </w:rPr>
              <w:t>rdflib ≥ 6.3</w:t>
            </w:r>
          </w:p>
        </w:tc>
      </w:tr>
      <w:tr>
        <w:tc>
          <w:tcPr>
            <w:tcW w:type="dxa" w:w="2835"/>
            <w:shd w:val="clear" w:color="auto" w:fill="F2F6FA"/>
            <w:vAlign w:val="center"/>
          </w:tcPr>
          <w:p>
            <w:r/>
            <w:r>
              <w:rPr>
                <w:sz w:val="20"/>
              </w:rPr>
              <w:t>Manipulación de datos</w:t>
            </w:r>
          </w:p>
        </w:tc>
        <w:tc>
          <w:tcPr>
            <w:tcW w:type="dxa" w:w="5669"/>
            <w:shd w:val="clear" w:color="auto" w:fill="F2F6FA"/>
            <w:vAlign w:val="center"/>
          </w:tcPr>
          <w:p>
            <w:r/>
            <w:r>
              <w:rPr>
                <w:sz w:val="20"/>
              </w:rPr>
              <w:t>pandas ≥ 2.0, numpy ≥ 1.25</w:t>
            </w:r>
          </w:p>
        </w:tc>
      </w:tr>
      <w:tr>
        <w:tc>
          <w:tcPr>
            <w:tcW w:type="dxa" w:w="2835"/>
            <w:vAlign w:val="center"/>
          </w:tcPr>
          <w:p>
            <w:r/>
            <w:r>
              <w:rPr>
                <w:sz w:val="20"/>
              </w:rPr>
              <w:t>Variables de entorno</w:t>
            </w:r>
          </w:p>
        </w:tc>
        <w:tc>
          <w:tcPr>
            <w:tcW w:type="dxa" w:w="5669"/>
            <w:vAlign w:val="center"/>
          </w:tcPr>
          <w:p>
            <w:r/>
            <w:r>
              <w:rPr>
                <w:sz w:val="20"/>
              </w:rPr>
              <w:t>python-dotenv ≥ 1.0</w:t>
            </w:r>
          </w:p>
        </w:tc>
      </w:tr>
      <w:tr>
        <w:tc>
          <w:tcPr>
            <w:tcW w:type="dxa" w:w="2835"/>
            <w:shd w:val="clear" w:color="auto" w:fill="F2F6FA"/>
            <w:vAlign w:val="center"/>
          </w:tcPr>
          <w:p>
            <w:r/>
            <w:r>
              <w:rPr>
                <w:sz w:val="20"/>
              </w:rPr>
              <w:t>OntoGenix</w:t>
            </w:r>
          </w:p>
        </w:tc>
        <w:tc>
          <w:tcPr>
            <w:tcW w:type="dxa" w:w="5669"/>
            <w:shd w:val="clear" w:color="auto" w:fill="F2F6FA"/>
            <w:vAlign w:val="center"/>
          </w:tcPr>
          <w:p>
            <w:r/>
            <w:r>
              <w:rPr>
                <w:sz w:val="20"/>
              </w:rPr>
              <w:t>Commit principal del repositorio tecnomod-um/OntoGenix</w:t>
            </w:r>
          </w:p>
        </w:tc>
      </w:tr>
      <w:tr>
        <w:tc>
          <w:tcPr>
            <w:tcW w:type="dxa" w:w="2835"/>
            <w:vAlign w:val="center"/>
          </w:tcPr>
          <w:p>
            <w:r/>
            <w:r>
              <w:rPr>
                <w:sz w:val="20"/>
              </w:rPr>
              <w:t>Sistema operativo</w:t>
            </w:r>
          </w:p>
        </w:tc>
        <w:tc>
          <w:tcPr>
            <w:tcW w:type="dxa" w:w="5669"/>
            <w:vAlign w:val="center"/>
          </w:tcPr>
          <w:p>
            <w:r/>
            <w:r>
              <w:rPr>
                <w:sz w:val="20"/>
              </w:rPr>
              <w:t>macOS / Linux (sin dependencias PyQt5)</w:t>
            </w:r>
          </w:p>
        </w:tc>
      </w:tr>
    </w:tbl>
    <w:p>
      <w:r>
        <w:t>Todo el código está versionado dentro del repositorio del TFM en la carpeta scripts/, junto con los datos muestreados (data/samples/), los CSV para OntoGenix (data/csv_for_ontogenix/) y los resultados por experimento (results/E1–E4/). El script evaluate_E4_vs_E1-E3.py produce los ficheros comparison_E1-E4.csv y comparison_E1-E4.md que consolidan las métricas finales.</w:t>
      </w:r>
    </w:p>
    <w:p>
      <w:pPr>
        <w:pStyle w:val="Heading1"/>
      </w:pPr>
      <w:r>
        <w:t>12. Reproducibilidad y crisis de la replicación</w:t>
      </w:r>
    </w:p>
    <w:p>
      <w:r>
        <w:t>La llamada «crisis de la replicación», originalmente identificada en psicología (Open Science Collaboration, 2015) y posteriormente extendida a las ciencias biomédicas y a la informática, encuentra una variante particularmente aguda en la investigación basada en modelos de lenguaje de gran tamaño. Hutson (2018) y Pineau et al. (2021) han documentado que entre el 70 % y el 90 % de los experimentos publicados en las grandes conferencias de IA no pueden ser reproducidos por terceros con la información disponible en el artículo, una situación que erosiona la validez del conocimiento acumulado. Reconocer esta amenaza y diseñar el TFM para mitigarla es, por tanto, una decisión metodológica de primer orden, no una nota al pie.</w:t>
      </w:r>
    </w:p>
    <w:p>
      <w:pPr>
        <w:pStyle w:val="Heading2"/>
      </w:pPr>
      <w:r>
        <w:t>12.1. Amenazas específicas a la reproducibilidad en investigación con LLMs</w:t>
      </w:r>
    </w:p>
    <w:p>
      <w:r>
        <w:t>La investigación con LLMs combina las amenazas tradicionales de machine learning (Henderson et al., 2018; Gundersen &amp; Kjensmo, 2018) con vulnerabilidades nuevas que rara vez aparecen en otros campos. La tabla siguiente identifica las que afectan directamente a este TFM:</w:t>
      </w:r>
    </w:p>
    <w:p>
      <w:pPr>
        <w:pStyle w:val="Caption"/>
        <w:jc w:val="center"/>
        <w:spacing w:before="120" w:after="60"/>
      </w:pPr>
      <w:r>
        <w:rPr>
          <w:b/>
          <w:sz w:val="20"/>
          <w:i/>
        </w:rPr>
        <w:t xml:space="preserve">Tabla 25. </w:t>
      </w:r>
      <w:r>
        <w:rPr>
          <w:sz w:val="20"/>
          <w:i/>
        </w:rPr>
        <w:t>Amenazas específicas a la reproducibilidad en investigación con LLMs</w:t>
      </w:r>
    </w:p>
    <w:tbl>
      <w:tblPr>
        <w:tblStyle w:val="TableGrid"/>
        <w:tblW w:type="auto" w:w="0"/>
        <w:tblLook w:firstColumn="1" w:firstRow="1" w:lastColumn="0" w:lastRow="0" w:noHBand="0" w:noVBand="1" w:val="04A0"/>
      </w:tblPr>
      <w:tblGrid>
        <w:gridCol w:w="2946"/>
        <w:gridCol w:w="2946"/>
        <w:gridCol w:w="2946"/>
      </w:tblGrid>
      <w:tr>
        <w:tc>
          <w:tcPr>
            <w:tcW w:type="dxa" w:w="1984"/>
            <w:shd w:val="clear" w:color="auto" w:fill="1F4E79"/>
            <w:vAlign w:val="center"/>
          </w:tcPr>
          <w:p>
            <w:pPr>
              <w:jc w:val="center"/>
            </w:pPr>
            <w:r/>
            <w:r>
              <w:rPr>
                <w:b/>
                <w:color w:val="FFFFFF"/>
                <w:sz w:val="20"/>
              </w:rPr>
              <w:t>Amenaza</w:t>
            </w:r>
          </w:p>
        </w:tc>
        <w:tc>
          <w:tcPr>
            <w:tcW w:type="dxa" w:w="3118"/>
            <w:shd w:val="clear" w:color="auto" w:fill="1F4E79"/>
            <w:vAlign w:val="center"/>
          </w:tcPr>
          <w:p>
            <w:pPr>
              <w:jc w:val="center"/>
            </w:pPr>
            <w:r/>
            <w:r>
              <w:rPr>
                <w:b/>
                <w:color w:val="FFFFFF"/>
                <w:sz w:val="20"/>
              </w:rPr>
              <w:t>Origen</w:t>
            </w:r>
          </w:p>
        </w:tc>
        <w:tc>
          <w:tcPr>
            <w:tcW w:type="dxa" w:w="3685"/>
            <w:shd w:val="clear" w:color="auto" w:fill="1F4E79"/>
            <w:vAlign w:val="center"/>
          </w:tcPr>
          <w:p>
            <w:pPr>
              <w:jc w:val="center"/>
            </w:pPr>
            <w:r/>
            <w:r>
              <w:rPr>
                <w:b/>
                <w:color w:val="FFFFFF"/>
                <w:sz w:val="20"/>
              </w:rPr>
              <w:t>Impacto en este TFM</w:t>
            </w:r>
          </w:p>
        </w:tc>
      </w:tr>
      <w:tr>
        <w:tc>
          <w:tcPr>
            <w:tcW w:type="dxa" w:w="1984"/>
            <w:vAlign w:val="center"/>
          </w:tcPr>
          <w:p>
            <w:r/>
            <w:r>
              <w:rPr>
                <w:sz w:val="20"/>
              </w:rPr>
              <w:t>Determinismo imperfecto</w:t>
            </w:r>
          </w:p>
        </w:tc>
        <w:tc>
          <w:tcPr>
            <w:tcW w:type="dxa" w:w="3118"/>
            <w:vAlign w:val="center"/>
          </w:tcPr>
          <w:p>
            <w:r/>
            <w:r>
              <w:rPr>
                <w:sz w:val="20"/>
              </w:rPr>
              <w:t>Ni temperature=0 ni seeds garantizan outputs bit-a-bit idénticos en gpt-4o (OpenAI no expone el RNG interno)</w:t>
            </w:r>
          </w:p>
        </w:tc>
        <w:tc>
          <w:tcPr>
            <w:tcW w:type="dxa" w:w="3685"/>
            <w:vAlign w:val="center"/>
          </w:tcPr>
          <w:p>
            <w:r/>
            <w:r>
              <w:rPr>
                <w:sz w:val="20"/>
              </w:rPr>
              <w:t>Diferencias de hasta ±5 % en n_triples entre re-ejecuciones del mismo experimento</w:t>
            </w:r>
          </w:p>
        </w:tc>
      </w:tr>
      <w:tr>
        <w:tc>
          <w:tcPr>
            <w:tcW w:type="dxa" w:w="1984"/>
            <w:shd w:val="clear" w:color="auto" w:fill="F2F6FA"/>
            <w:vAlign w:val="center"/>
          </w:tcPr>
          <w:p>
            <w:r/>
            <w:r>
              <w:rPr>
                <w:sz w:val="20"/>
              </w:rPr>
              <w:t>Drift de modelos cerrados</w:t>
            </w:r>
          </w:p>
        </w:tc>
        <w:tc>
          <w:tcPr>
            <w:tcW w:type="dxa" w:w="3118"/>
            <w:shd w:val="clear" w:color="auto" w:fill="F2F6FA"/>
            <w:vAlign w:val="center"/>
          </w:tcPr>
          <w:p>
            <w:r/>
            <w:r>
              <w:rPr>
                <w:sz w:val="20"/>
              </w:rPr>
              <w:t>El alias 'gpt-4o' puede repuntar a una versión nueva sin aviso; los snapshots con fecha (gpt-4o-2024-05-13) sí son estables pero también pueden desaparecer</w:t>
            </w:r>
          </w:p>
        </w:tc>
        <w:tc>
          <w:tcPr>
            <w:tcW w:type="dxa" w:w="3685"/>
            <w:shd w:val="clear" w:color="auto" w:fill="F2F6FA"/>
            <w:vAlign w:val="center"/>
          </w:tcPr>
          <w:p>
            <w:r/>
            <w:r>
              <w:rPr>
                <w:sz w:val="20"/>
              </w:rPr>
              <w:t>Conclusiones cuantitativas dependientes de la versión exacta del modelo</w:t>
            </w:r>
          </w:p>
        </w:tc>
      </w:tr>
      <w:tr>
        <w:tc>
          <w:tcPr>
            <w:tcW w:type="dxa" w:w="1984"/>
            <w:vAlign w:val="center"/>
          </w:tcPr>
          <w:p>
            <w:r/>
            <w:r>
              <w:rPr>
                <w:sz w:val="20"/>
              </w:rPr>
              <w:t>Drift de embeddings</w:t>
            </w:r>
          </w:p>
        </w:tc>
        <w:tc>
          <w:tcPr>
            <w:tcW w:type="dxa" w:w="3118"/>
            <w:vAlign w:val="center"/>
          </w:tcPr>
          <w:p>
            <w:r/>
            <w:r>
              <w:rPr>
                <w:sz w:val="20"/>
              </w:rPr>
              <w:t>sentence-transformers actualiza pesos de all-MiniLM-L6-v2 sin garantía de equivalencia</w:t>
            </w:r>
          </w:p>
        </w:tc>
        <w:tc>
          <w:tcPr>
            <w:tcW w:type="dxa" w:w="3685"/>
            <w:vAlign w:val="center"/>
          </w:tcPr>
          <w:p>
            <w:r/>
            <w:r>
              <w:rPr>
                <w:sz w:val="20"/>
              </w:rPr>
              <w:t>El RAG semántico (§10.7) puede recuperar top-K distinto tras una actualización</w:t>
            </w:r>
          </w:p>
        </w:tc>
      </w:tr>
      <w:tr>
        <w:tc>
          <w:tcPr>
            <w:tcW w:type="dxa" w:w="1984"/>
            <w:shd w:val="clear" w:color="auto" w:fill="F2F6FA"/>
            <w:vAlign w:val="center"/>
          </w:tcPr>
          <w:p>
            <w:r/>
            <w:r>
              <w:rPr>
                <w:sz w:val="20"/>
              </w:rPr>
              <w:t>Versión de dependencias</w:t>
            </w:r>
          </w:p>
        </w:tc>
        <w:tc>
          <w:tcPr>
            <w:tcW w:type="dxa" w:w="3118"/>
            <w:shd w:val="clear" w:color="auto" w:fill="F2F6FA"/>
            <w:vAlign w:val="center"/>
          </w:tcPr>
          <w:p>
            <w:r/>
            <w:r>
              <w:rPr>
                <w:sz w:val="20"/>
              </w:rPr>
              <w:t>numpy 1→2, torch 2.5→2.9, openai 1→2 introducen breaks incompatibles en la cadena de saneo + parseo TTL</w:t>
            </w:r>
          </w:p>
        </w:tc>
        <w:tc>
          <w:tcPr>
            <w:tcW w:type="dxa" w:w="3685"/>
            <w:shd w:val="clear" w:color="auto" w:fill="F2F6FA"/>
            <w:vAlign w:val="center"/>
          </w:tcPr>
          <w:p>
            <w:r/>
            <w:r>
              <w:rPr>
                <w:sz w:val="20"/>
              </w:rPr>
              <w:t>Documentado empíricamente al integrar annotationRAG (§10.7.1) — bloqueo total del entorno hasta aislar venv</w:t>
            </w:r>
          </w:p>
        </w:tc>
      </w:tr>
      <w:tr>
        <w:tc>
          <w:tcPr>
            <w:tcW w:type="dxa" w:w="1984"/>
            <w:vAlign w:val="center"/>
          </w:tcPr>
          <w:p>
            <w:r/>
            <w:r>
              <w:rPr>
                <w:sz w:val="20"/>
              </w:rPr>
              <w:t>Razonador no determinista</w:t>
            </w:r>
          </w:p>
        </w:tc>
        <w:tc>
          <w:tcPr>
            <w:tcW w:type="dxa" w:w="3118"/>
            <w:vAlign w:val="center"/>
          </w:tcPr>
          <w:p>
            <w:r/>
            <w:r>
              <w:rPr>
                <w:sz w:val="20"/>
              </w:rPr>
              <w:t>HermiT puede emitir órdenes de inferencia distintos en ejecuciones sucesivas</w:t>
            </w:r>
          </w:p>
        </w:tc>
        <w:tc>
          <w:tcPr>
            <w:tcW w:type="dxa" w:w="3685"/>
            <w:vAlign w:val="center"/>
          </w:tcPr>
          <w:p>
            <w:r/>
            <w:r>
              <w:rPr>
                <w:sz w:val="20"/>
              </w:rPr>
              <w:t>La métrica n_inferred_classes puede variar; consistent y n_unsatisfiable sí son deterministas</w:t>
            </w:r>
          </w:p>
        </w:tc>
      </w:tr>
      <w:tr>
        <w:tc>
          <w:tcPr>
            <w:tcW w:type="dxa" w:w="1984"/>
            <w:shd w:val="clear" w:color="auto" w:fill="F2F6FA"/>
            <w:vAlign w:val="center"/>
          </w:tcPr>
          <w:p>
            <w:r/>
            <w:r>
              <w:rPr>
                <w:sz w:val="20"/>
              </w:rPr>
              <w:t>Servicios externos</w:t>
            </w:r>
          </w:p>
        </w:tc>
        <w:tc>
          <w:tcPr>
            <w:tcW w:type="dxa" w:w="3118"/>
            <w:shd w:val="clear" w:color="auto" w:fill="F2F6FA"/>
            <w:vAlign w:val="center"/>
          </w:tcPr>
          <w:p>
            <w:r/>
            <w:r>
              <w:rPr>
                <w:sz w:val="20"/>
              </w:rPr>
              <w:t>annotationRAG necesita Neo4j vivo y FastAPI uvicorn; Ollama necesita el daemon corriendo en GPU (Metal en Mac)</w:t>
            </w:r>
          </w:p>
        </w:tc>
        <w:tc>
          <w:tcPr>
            <w:tcW w:type="dxa" w:w="3685"/>
            <w:shd w:val="clear" w:color="auto" w:fill="F2F6FA"/>
            <w:vAlign w:val="center"/>
          </w:tcPr>
          <w:p>
            <w:r/>
            <w:r>
              <w:rPr>
                <w:sz w:val="20"/>
              </w:rPr>
              <w:t>Fallos transitorios pueden producir fallback silencioso al RAG legacy y contaminar las medidas (§10.7)</w:t>
            </w:r>
          </w:p>
        </w:tc>
      </w:tr>
      <w:tr>
        <w:tc>
          <w:tcPr>
            <w:tcW w:type="dxa" w:w="1984"/>
            <w:vAlign w:val="center"/>
          </w:tcPr>
          <w:p>
            <w:r/>
            <w:r>
              <w:rPr>
                <w:sz w:val="20"/>
              </w:rPr>
              <w:t>Prompts no versionados</w:t>
            </w:r>
          </w:p>
        </w:tc>
        <w:tc>
          <w:tcPr>
            <w:tcW w:type="dxa" w:w="3118"/>
            <w:vAlign w:val="center"/>
          </w:tcPr>
          <w:p>
            <w:r/>
            <w:r>
              <w:rPr>
                <w:sz w:val="20"/>
              </w:rPr>
              <w:t>Pequeños cambios en el system prompt o user prompt producen outputs muy distintos (Reynolds &amp; McDonell, 2021)</w:t>
            </w:r>
          </w:p>
        </w:tc>
        <w:tc>
          <w:tcPr>
            <w:tcW w:type="dxa" w:w="3685"/>
            <w:vAlign w:val="center"/>
          </w:tcPr>
          <w:p>
            <w:r/>
            <w:r>
              <w:rPr>
                <w:sz w:val="20"/>
              </w:rPr>
              <w:t>Mitigado almacenando los prompts como constantes en run_gpt_experiments.py y como ficheros .prompt en OntoGenix/GUI/</w:t>
            </w:r>
          </w:p>
        </w:tc>
      </w:tr>
    </w:tbl>
    <w:p>
      <w:pPr>
        <w:pStyle w:val="Heading2"/>
      </w:pPr>
      <w:r>
        <w:t>12.2. Tres niveles de garantía</w:t>
      </w:r>
    </w:p>
    <w:p>
      <w:r>
        <w:t>Atendiendo a la severidad de las amenazas anteriores, los experimentos se clasifican en tres niveles de reproducibilidad, siguiendo la jerarquía propuesta por Goodman et al. (2016) (reproducibility / replicability / generalisability) y adaptada al contexto LLM:</w:t>
      </w:r>
    </w:p>
    <w:p>
      <w:pPr>
        <w:pStyle w:val="Caption"/>
        <w:jc w:val="center"/>
        <w:spacing w:before="120" w:after="60"/>
      </w:pPr>
      <w:r>
        <w:rPr>
          <w:b/>
          <w:sz w:val="20"/>
          <w:i/>
        </w:rPr>
        <w:t xml:space="preserve">Tabla 26. </w:t>
      </w:r>
      <w:r>
        <w:rPr>
          <w:sz w:val="20"/>
          <w:i/>
        </w:rPr>
        <w:t>Tres niveles de garantía de reproducibilidad (R1 estricto · R2 estadístico · R3 metodológico)</w:t>
      </w:r>
    </w:p>
    <w:tbl>
      <w:tblPr>
        <w:tblStyle w:val="TableGrid"/>
        <w:tblW w:type="auto" w:w="0"/>
        <w:tblLook w:firstColumn="1" w:firstRow="1" w:lastColumn="0" w:lastRow="0" w:noHBand="0" w:noVBand="1" w:val="04A0"/>
      </w:tblPr>
      <w:tblGrid>
        <w:gridCol w:w="2946"/>
        <w:gridCol w:w="2946"/>
        <w:gridCol w:w="2946"/>
      </w:tblGrid>
      <w:tr>
        <w:tc>
          <w:tcPr>
            <w:tcW w:type="dxa" w:w="1701"/>
            <w:shd w:val="clear" w:color="auto" w:fill="1F4E79"/>
            <w:vAlign w:val="center"/>
          </w:tcPr>
          <w:p>
            <w:pPr>
              <w:jc w:val="center"/>
            </w:pPr>
            <w:r/>
            <w:r>
              <w:rPr>
                <w:b/>
                <w:color w:val="FFFFFF"/>
                <w:sz w:val="20"/>
              </w:rPr>
              <w:t>Nivel</w:t>
            </w:r>
          </w:p>
        </w:tc>
        <w:tc>
          <w:tcPr>
            <w:tcW w:type="dxa" w:w="2835"/>
            <w:shd w:val="clear" w:color="auto" w:fill="1F4E79"/>
            <w:vAlign w:val="center"/>
          </w:tcPr>
          <w:p>
            <w:pPr>
              <w:jc w:val="center"/>
            </w:pPr>
            <w:r/>
            <w:r>
              <w:rPr>
                <w:b/>
                <w:color w:val="FFFFFF"/>
                <w:sz w:val="20"/>
              </w:rPr>
              <w:t>Definición</w:t>
            </w:r>
          </w:p>
        </w:tc>
        <w:tc>
          <w:tcPr>
            <w:tcW w:type="dxa" w:w="3969"/>
            <w:shd w:val="clear" w:color="auto" w:fill="1F4E79"/>
            <w:vAlign w:val="center"/>
          </w:tcPr>
          <w:p>
            <w:pPr>
              <w:jc w:val="center"/>
            </w:pPr>
            <w:r/>
            <w:r>
              <w:rPr>
                <w:b/>
                <w:color w:val="FFFFFF"/>
                <w:sz w:val="20"/>
              </w:rPr>
              <w:t>Componentes que lo cumplen</w:t>
            </w:r>
          </w:p>
        </w:tc>
      </w:tr>
      <w:tr>
        <w:tc>
          <w:tcPr>
            <w:tcW w:type="dxa" w:w="1701"/>
            <w:vAlign w:val="center"/>
          </w:tcPr>
          <w:p>
            <w:r>
              <w:rPr>
                <w:b/>
                <w:sz w:val="20"/>
              </w:rPr>
              <w:t>R1 — Estricta (bit-a-bit)</w:t>
            </w:r>
          </w:p>
        </w:tc>
        <w:tc>
          <w:tcPr>
            <w:tcW w:type="dxa" w:w="2835"/>
            <w:vAlign w:val="center"/>
          </w:tcPr>
          <w:p>
            <w:r/>
            <w:r>
              <w:rPr>
                <w:sz w:val="20"/>
              </w:rPr>
              <w:t>Mismo input ⇒ mismo output exacto</w:t>
            </w:r>
          </w:p>
        </w:tc>
        <w:tc>
          <w:tcPr>
            <w:tcW w:type="dxa" w:w="3969"/>
            <w:vAlign w:val="center"/>
          </w:tcPr>
          <w:p>
            <w:r/>
            <w:r>
              <w:rPr>
                <w:sz w:val="20"/>
              </w:rPr>
              <w:t>Post-procesado de TTL · evaluador OQuaRE estructural · muestreo determinista · figuras matplotlib</w:t>
            </w:r>
          </w:p>
        </w:tc>
      </w:tr>
      <w:tr>
        <w:tc>
          <w:tcPr>
            <w:tcW w:type="dxa" w:w="1701"/>
            <w:shd w:val="clear" w:color="auto" w:fill="F2F6FA"/>
            <w:vAlign w:val="center"/>
          </w:tcPr>
          <w:p>
            <w:r>
              <w:rPr>
                <w:b/>
                <w:sz w:val="20"/>
              </w:rPr>
              <w:t>R2 — Estadística</w:t>
            </w:r>
          </w:p>
        </w:tc>
        <w:tc>
          <w:tcPr>
            <w:tcW w:type="dxa" w:w="2835"/>
            <w:shd w:val="clear" w:color="auto" w:fill="F2F6FA"/>
            <w:vAlign w:val="center"/>
          </w:tcPr>
          <w:p>
            <w:r/>
            <w:r>
              <w:rPr>
                <w:sz w:val="20"/>
              </w:rPr>
              <w:t>Mismo input ⇒ outputs con misma distribución; medias y varianzas indistinguibles</w:t>
            </w:r>
          </w:p>
        </w:tc>
        <w:tc>
          <w:tcPr>
            <w:tcW w:type="dxa" w:w="3969"/>
            <w:shd w:val="clear" w:color="auto" w:fill="F2F6FA"/>
            <w:vAlign w:val="center"/>
          </w:tcPr>
          <w:p>
            <w:r/>
            <w:r>
              <w:rPr>
                <w:sz w:val="20"/>
              </w:rPr>
              <w:t>E1, E2, E3 (legacy y RAG) · E4 con gpt-4o · análisis de sensibilidad</w:t>
            </w:r>
          </w:p>
        </w:tc>
      </w:tr>
      <w:tr>
        <w:tc>
          <w:tcPr>
            <w:tcW w:type="dxa" w:w="1701"/>
            <w:vAlign w:val="center"/>
          </w:tcPr>
          <w:p>
            <w:r>
              <w:rPr>
                <w:b/>
                <w:sz w:val="20"/>
              </w:rPr>
              <w:t>R3 — Metodológica</w:t>
            </w:r>
          </w:p>
        </w:tc>
        <w:tc>
          <w:tcPr>
            <w:tcW w:type="dxa" w:w="2835"/>
            <w:vAlign w:val="center"/>
          </w:tcPr>
          <w:p>
            <w:r/>
            <w:r>
              <w:rPr>
                <w:sz w:val="20"/>
              </w:rPr>
              <w:t>Procedimiento replicable; outputs concretos pueden variar pero conclusiones cualitativas se mantienen</w:t>
            </w:r>
          </w:p>
        </w:tc>
        <w:tc>
          <w:tcPr>
            <w:tcW w:type="dxa" w:w="3969"/>
            <w:vAlign w:val="center"/>
          </w:tcPr>
          <w:p>
            <w:r/>
            <w:r>
              <w:rPr>
                <w:sz w:val="20"/>
              </w:rPr>
              <w:t>Razonador HermiT · API annotationRAG · cross-model con Ollama · calibración del RAG</w:t>
            </w:r>
          </w:p>
        </w:tc>
      </w:tr>
    </w:tbl>
    <w:p>
      <w:pPr>
        <w:pStyle w:val="Heading2"/>
      </w:pPr>
      <w:r>
        <w:t>12.3. Contramedidas implementadas</w:t>
      </w:r>
    </w:p>
    <w:p>
      <w:pPr>
        <w:pStyle w:val="ListBullet"/>
      </w:pPr>
      <w:r>
        <w:rPr>
          <w:b/>
        </w:rPr>
        <w:t>Snapshots de modelo fijos</w:t>
      </w:r>
      <w:r>
        <w:t>: gpt-4o se referencia siempre como gpt-4o-2024-05-13 en E4 (la versión que documenta OntoGenix). En los demás experimentos se acepta el alias móvil pero el manifest de reproducibilidad lo registra explícitamente.</w:t>
      </w:r>
    </w:p>
    <w:p>
      <w:pPr>
        <w:pStyle w:val="ListBullet"/>
      </w:pPr>
      <w:r>
        <w:rPr>
          <w:b/>
        </w:rPr>
        <w:t>Seeds y temperatura</w:t>
      </w:r>
      <w:r>
        <w:t>: temperature=0 (E4) o 0.1 (E1-E3) y seeds incrementales (42, 43, 44) por run. Aunque OpenAI no garantiza determinismo bit-a-bit, esta configuración minimiza la varianza inter-run y permite que tres repeticiones converjan a una media estable.</w:t>
      </w:r>
    </w:p>
    <w:p>
      <w:pPr>
        <w:pStyle w:val="ListBullet"/>
      </w:pPr>
      <w:r>
        <w:rPr>
          <w:b/>
        </w:rPr>
        <w:t>Versiones pinneadas</w:t>
      </w:r>
      <w:r>
        <w:t>: scripts/requirements_e4.txt fija rangos compatibles para los paquetes del pipeline. El repositorio annotationRAG usa un venv aislado para no contaminar el entorno principal del TFM (lección aprendida tras observar incompatibilidades entre numpy 2.x y torch 2.5).</w:t>
      </w:r>
    </w:p>
    <w:p>
      <w:pPr>
        <w:pStyle w:val="ListBullet"/>
      </w:pPr>
      <w:r>
        <w:rPr>
          <w:b/>
        </w:rPr>
        <w:t>Hashes SHA-256 de inputs</w:t>
      </w:r>
      <w:r>
        <w:t>: el script scripts/check_reproducibility.py genera results/reproducibility_manifest.json con hashes individuales de los 50+ archivos de entrada deterministas (datos brutos, samples, esquemas RAG, scripts). Cualquier modificación accidental se detecta con --diff respecto a un manifest anterior.</w:t>
      </w:r>
    </w:p>
    <w:p>
      <w:pPr>
        <w:pStyle w:val="ListBullet"/>
      </w:pPr>
      <w:r>
        <w:rPr>
          <w:b/>
        </w:rPr>
        <w:t>Datos congelados</w:t>
      </w:r>
      <w:r>
        <w:t>: data/raw/ contiene los TSV originales de FANTOM5 y dbSUPER tal como se descargaron (65 423 y 69 205 filas respectivamente). data/samples/ congela la muestra de 25 filas usada en el experimento principal. data/samples_strategies/ contiene las 4 estrategias del análisis de sensibilidad (§4.3).</w:t>
      </w:r>
    </w:p>
    <w:p>
      <w:pPr>
        <w:pStyle w:val="ListBullet"/>
      </w:pPr>
      <w:r>
        <w:rPr>
          <w:b/>
        </w:rPr>
        <w:t>Prompts versionados en código</w:t>
      </w:r>
      <w:r>
        <w:t>: los user prompts de E1-E4 viven como string-constantes en run_gpt_experiments.py (E1-E3) y como ficheros .prompt en OntoGenix/GUI/ (E4). Cualquier cambio queda registrado en el control de versiones del repositorio.</w:t>
      </w:r>
    </w:p>
    <w:p>
      <w:pPr>
        <w:pStyle w:val="ListBullet"/>
      </w:pPr>
      <w:r>
        <w:rPr>
          <w:b/>
        </w:rPr>
        <w:t>Manifest de outputs</w:t>
      </w:r>
      <w:r>
        <w:t>: cada run produce un metadata_runN.json con timestamp, modelo, seed, número de tokens, finish_reason y validación TTL. Esto permite trazabilidad completa de cada ontología generada.</w:t>
      </w:r>
    </w:p>
    <w:p>
      <w:pPr>
        <w:pStyle w:val="Heading2"/>
      </w:pPr>
      <w:r>
        <w:t>12.4. Limitaciones reconocidas</w:t>
      </w:r>
    </w:p>
    <w:p>
      <w:r>
        <w:t>Reconocer lo que NO se puede garantizar es tan importante como documentar lo que sí (Pineau et al., 2021). Las limitaciones explícitas de este TFM son:</w:t>
      </w:r>
    </w:p>
    <w:p>
      <w:pPr>
        <w:pStyle w:val="ListBullet"/>
      </w:pPr>
      <w:r>
        <w:t>Ninguna corrida con gpt-4o alcanza el nivel R1. Variaciones inter-corrida de hasta ±5 % en número de triples son esperables y se mitigan con n=3 repeticiones por celda.</w:t>
      </w:r>
    </w:p>
    <w:p>
      <w:pPr>
        <w:pStyle w:val="ListBullet"/>
      </w:pPr>
      <w:r>
        <w:t>El RAG semántico (§10.7) depende de la versión actual de sentence-transformers/all-MiniLM-L6-v2. Si el modelo se actualiza, las búsquedas devuelven top-K distinto.</w:t>
      </w:r>
    </w:p>
    <w:p>
      <w:pPr>
        <w:pStyle w:val="ListBullet"/>
      </w:pPr>
      <w:r>
        <w:t>El razonador HermiT puede inferir las mismas clases en órdenes distintos. La métrica n_inferred_classes no es bit-a-bit pero consistent y n_unsatisfiable sí lo son.</w:t>
      </w:r>
    </w:p>
    <w:p>
      <w:pPr>
        <w:pStyle w:val="ListBullet"/>
      </w:pPr>
      <w:r>
        <w:t>Las quantizaciones Q4_K_M de Llama 3.1 8B y Qwen 2.5 Coder 7B vía Ollama no garantizan reproducibilidad estricta entre instalaciones de Ollama distintas. Para reproducción estricta, fijar el digest exacto del Modelfile.</w:t>
      </w:r>
    </w:p>
    <w:p>
      <w:pPr>
        <w:pStyle w:val="ListBullet"/>
      </w:pPr>
      <w:r>
        <w:t>El experimento principal se ha ejecutado en macOS arm64 (Apple M3, 16 GB RAM). Otras plataformas pueden producir resultados ligeramente distintos en los experimentos que dependen de Metal (Llama y Qwen vía Ollama).</w:t>
      </w:r>
    </w:p>
    <w:p>
      <w:pPr>
        <w:pStyle w:val="Heading2"/>
      </w:pPr>
      <w:r>
        <w:t>12.5. Cómo reproducir un experimento concreto</w:t>
      </w:r>
    </w:p>
    <w:p>
      <w:r>
        <w:t>El documento operativo docs/REPRODUCIBILITY.md acompaña a la memoria con una guía paso a paso: setup del entorno, lanzamiento de cada experimento (E1-E4 + sensibilidad + RAG semántico + calibración), comandos de evaluación y verificación de los manifests. Este apartado del TFM describe el marco; aquel documento describe la operación. La consulta combinada de ambos permite reproducir cualquier resultado reportado a uno de los tres niveles definidos en §12.2.</w:t>
      </w:r>
    </w:p>
    <w:p>
      <w:pPr>
        <w:pStyle w:val="Heading1"/>
      </w:pPr>
      <w:r>
        <w:t>13. Discusión y conclusiones</w:t>
      </w:r>
    </w:p>
    <w:p>
      <w:r>
        <w:t>Lo que sigue no son las secciones canónicas de un trabajo de investigación («conclusiones», «implicaciones», «trabajo futuro»). Es el balance honesto de un experimento que arrancó con cuatro objetivos y terminó con seis, donde varias hipótesis intermedias se derrumbaron, otras se confirmaron con matices, y alguna sorpresa terminó siendo el hallazgo más útil. La organizo por tipo de resultado, no por sección de tribunal.</w:t>
      </w:r>
    </w:p>
    <w:p>
      <w:pPr>
        <w:pStyle w:val="Heading2"/>
      </w:pPr>
      <w:r>
        <w:t>13.1. Lo que funcionó mejor de lo que esperaba</w:t>
      </w:r>
    </w:p>
    <w:p>
      <w:r>
        <w:t>Tres cosas superaron las expectativas que tenía al empezar.</w:t>
      </w:r>
    </w:p>
    <w:p>
      <w:pPr>
        <w:pStyle w:val="ListBullet"/>
      </w:pPr>
      <w:r>
        <w:rPr>
          <w:b/>
        </w:rPr>
        <w:t>El post-procesado mecánico</w:t>
      </w:r>
      <w:r>
        <w:t>. Las primeras corridas E1-E3 con gpt-4o-mini parseaban al 0 % en rdflib y casi tiré la toalla pensando que el modelo era el problema. Bastó con leer los errores: prefijos no declarados, local names con caracteres no escapados, literales tipados con texto. Tres regex después, el 100 % de los TTL recuperables se rescata sin volver a pagar la API. Tengo la sensación de que en mucho del trabajo aplicado de LLM en RDF el problema no es el modelo, sino que nadie ha mirado los errores de cerca.</w:t>
      </w:r>
    </w:p>
    <w:p>
      <w:pPr>
        <w:pStyle w:val="ListBullet"/>
      </w:pPr>
      <w:r>
        <w:rPr>
          <w:b/>
        </w:rPr>
        <w:t>El RAG semántico real</w:t>
      </w:r>
      <w:r>
        <w:t>. Esperaba una mejora marginal sobre el keyword-match. Lo que vi fue +1.29 puntos OQuaRE, +44 % relativo, con Operability subiendo ×6.6. La diferencia no es que el embedding encuentre ontologías «mejores»: es que devuelve metadata estructurada (clases, propiedades, scores) que el modelo puede materializar, en lugar de bloques de Turtle sin contexto.</w:t>
      </w:r>
    </w:p>
    <w:p>
      <w:pPr>
        <w:pStyle w:val="ListBullet"/>
      </w:pPr>
      <w:r>
        <w:rPr>
          <w:b/>
        </w:rPr>
        <w:t>La calibración del RAG para Llama</w:t>
      </w:r>
      <w:r>
        <w:t>. Al ver que el RAG real ayudaba poco a Llama (+0.24 vs +1.29 de gpt-4o), supuse que era un problema de capacidad del modelo. La calibración demostró lo contrario: bajar top_k de 5 a 2 cierra el 76 % del gap. El modelo pequeño no era el cuello de botella; lo era la saturación de su ventana con contexto no relevante. Cambiar un número en una llamada HTTP movió la aguja más que cambiar de modelo.</w:t>
      </w:r>
    </w:p>
    <w:p>
      <w:pPr>
        <w:pStyle w:val="Heading2"/>
      </w:pPr>
      <w:r>
        <w:t>13.2. Lo que falló como esperaba (y lo que no)</w:t>
      </w:r>
    </w:p>
    <w:p>
      <w:pPr>
        <w:pStyle w:val="ListBullet"/>
      </w:pPr>
      <w:r>
        <w:rPr>
          <w:b/>
        </w:rPr>
        <w:t>Falló como esperaba</w:t>
      </w:r>
      <w:r>
        <w:t>: Llama 3.1 8B en E1 (zero-shot). El modelo pequeño no genera Turtle válido sin guía. El patrón «crm a owl:Class» (omisión del «:» del prefijo) aparece en 4 de 11 corridas E1 y en 5 de 12 corridas E2 (9 fallos irrecuperables sobre 23 corridas), y no es recuperable mecánicamente. Esto es previsible y no me sorprendió.</w:t>
      </w:r>
    </w:p>
    <w:p>
      <w:pPr>
        <w:pStyle w:val="ListBullet"/>
      </w:pPr>
      <w:r>
        <w:rPr>
          <w:b/>
        </w:rPr>
        <w:t>No falló como esperaba</w:t>
      </w:r>
      <w:r>
        <w:t>: Qwen 2.5 Coder 7B. Asumía que un modelo entrenado específicamente en código generaría Turtle más limpio que un generalista del mismo tamaño. Y sí lo hace, pero solo en algunos contextos. En zero-shot (E1) cero corridas válidas; en E3 con RAG, doce. La especialización no es lineal: Qwen mezcla sintaxis Turtle con RDF/XML («owl:Ontology rdf:about») porque el corpus de entrenamiento incluye múltiples serializaciones RDF y el modelo no aprende a distinguirlas en zero-shot.</w:t>
      </w:r>
    </w:p>
    <w:p>
      <w:pPr>
        <w:pStyle w:val="ListBullet"/>
      </w:pPr>
      <w:r>
        <w:rPr>
          <w:b/>
        </w:rPr>
        <w:t>Falló de forma inesperada</w:t>
      </w:r>
      <w:r>
        <w:t>: el determinismo. Asumía que con temperature=0 y seed fija, gpt-4o produciría outputs idénticos. No los produce. Las diferencias son pequeñas (±5 % en n_triples) pero las hay, y son detectables comparando manifests entre corridas. Si esto le importa a alguien que esté evaluando para producción, hay que reportar varianza, no medias puntuales.</w:t>
      </w:r>
    </w:p>
    <w:p>
      <w:pPr>
        <w:pStyle w:val="Heading2"/>
      </w:pPr>
      <w:r>
        <w:t>13.3. Sorpresas: lo que el experimento enseñó que yo no buscaba</w:t>
      </w:r>
    </w:p>
    <w:p>
      <w:pPr>
        <w:pStyle w:val="ListBullet"/>
      </w:pPr>
      <w:r>
        <w:rPr>
          <w:b/>
        </w:rPr>
        <w:t>OQuaRE penaliza la complejidad estructural</w:t>
      </w:r>
      <w:r>
        <w:t>. El cuadro 4×3 de §10.4 muestra una inversión inesperada: en E2 con vocabulario controlado, Llama 3.1 8B (4.40) supera a gpt-4o (3.98). No porque sus ontologías sean «mejores» en sentido absoluto: son más simples y por tanto caen en el óptimo de las rúbricas. OQuaRE está calibrado para ontologías de tamaño medio. Las ricas saturan WMCOnto y NOMOnto; las pobres se quedan cortas en ANOnto. Reportar solo OQuaRE Global puede ocultar lo que realmente pasa. Importante: este sesgo de la rúbrica afecta a TODAS las comparaciones del trabajo, no solo cuando contradice la narrativa. Cuando reporto que «E4 OntoGenix gana en riqueza absoluta pero pierde en OQuaRE» (§8 vs §10) o que «el RAG real cierra el 76 % del gap» (§10.7.7), ambas afirmaciones operan bajo la misma limitación: OQuaRE mide forma estructural, no fidelidad de dominio. La conclusión global del TFM —que el binomio modelo+método importa— no descansa solo en el ranking OQuaRE; se apoya también en métricas absolutas (n_triples, n_labels) y en patrones de error cualitativos (§10.2). Idealmente, el siguiente paso es validación experta sobre un subset (§13.6).</w:t>
      </w:r>
    </w:p>
    <w:p>
      <w:pPr>
        <w:pStyle w:val="ListBullet"/>
      </w:pPr>
      <w:r>
        <w:rPr>
          <w:b/>
        </w:rPr>
        <w:t>El RAG induce errores nuevos en modelos pequeños</w:t>
      </w:r>
      <w:r>
        <w:t>. La fig08 lo muestra de forma rotunda: 24 alucinaciones tipadas en E3 con Llama, 24 con Qwen, exactamente las mismas, y cero en gpt-4o o en cualquier otro experimento. El contexto recuperado contiene patrones tipo «start_position»^^xsd:integer que el modelo pequeño copia literalmente sin entender que «start_position» es un placeholder. Esto no es un error del modelo. Es un error de la interacción RAG × modelo.</w:t>
      </w:r>
    </w:p>
    <w:p>
      <w:pPr>
        <w:pStyle w:val="ListBullet"/>
      </w:pPr>
      <w:r>
        <w:rPr>
          <w:b/>
        </w:rPr>
        <w:t>Las plantillas cisreg de referencia tienen erratas</w:t>
      </w:r>
      <w:r>
        <w:t xml:space="preserve">. Tres ocurrencias de «&gt;» espurios en </w:t>
      </w:r>
      <w:r>
        <w:rPr>
          <w:rFonts w:ascii="Consolas" w:hAnsi="Consolas"/>
        </w:rPr>
        <w:t>crm2tfac.ttl</w:t>
      </w:r>
      <w:r>
        <w:t xml:space="preserve"> y </w:t>
      </w:r>
      <w:r>
        <w:rPr>
          <w:rFonts w:ascii="Consolas" w:hAnsi="Consolas"/>
        </w:rPr>
        <w:t>crm2tfac_example.ttl</w:t>
      </w:r>
      <w:r>
        <w:t xml:space="preserve"> impedían que rdflib parseara los esquemas. Estaban ahí desde la publicación original. Encontrarlas requirió pasar el contenido por un parser estricto. Es probable que otros usuarios de las plantillas hayan asumido que «no funcionan» y las hayan abandonado.</w:t>
      </w:r>
    </w:p>
    <w:p>
      <w:pPr>
        <w:pStyle w:val="Heading2"/>
      </w:pPr>
      <w:r>
        <w:t>13.4. Lecciones metodológicas</w:t>
      </w:r>
    </w:p>
    <w:p>
      <w:r>
        <w:t>Más allá de los hallazgos numéricos, el TFM deja cinco aprendizajes que considero transferibles a cualquier investigación experimental con LLMs:</w:t>
      </w:r>
    </w:p>
    <w:p>
      <w:pPr>
        <w:pStyle w:val="ListBullet"/>
      </w:pPr>
      <w:r>
        <w:rPr>
          <w:b/>
        </w:rPr>
        <w:t>Reportar n_runs y media simultáneamente</w:t>
      </w:r>
      <w:r>
        <w:t xml:space="preserve">. Una OQuaRE Global de 4.20 con 11 corridas válidas no es comparable con 4.20 sobre 12. La media oculta la fragilidad. Toda tabla del TFM lleva la columna </w:t>
      </w:r>
      <w:r>
        <w:rPr>
          <w:rFonts w:ascii="Consolas" w:hAnsi="Consolas"/>
        </w:rPr>
        <w:t>n_runs OK / n_total</w:t>
      </w:r>
      <w:r>
        <w:t xml:space="preserve"> precisamente por esto.</w:t>
      </w:r>
    </w:p>
    <w:p>
      <w:pPr>
        <w:pStyle w:val="ListBullet"/>
      </w:pPr>
      <w:r>
        <w:rPr>
          <w:b/>
        </w:rPr>
        <w:t>Diseñar el post-procesado antes que el experimento</w:t>
      </w:r>
      <w:r>
        <w:t>. El 50 % de mis primeras corridas se descartaba por errores recuperables. Si hubiera implementado el post-procesado al principio, me habría ahorrado dos rondas de re-ejecución y unos 10 dólares en API. Lección: una pipeline experimental con LLMs necesita una capa de saneo automatizada como ciudadano de primera, no como apaño tardío.</w:t>
      </w:r>
    </w:p>
    <w:p>
      <w:pPr>
        <w:pStyle w:val="ListBullet"/>
      </w:pPr>
      <w:r>
        <w:rPr>
          <w:b/>
        </w:rPr>
        <w:t>Aislar entornos de servicios externos</w:t>
      </w:r>
      <w:r>
        <w:t>. Mezclar las dependencias de annotationRAG con las del TFM rompió numpy, torch, openai y media docena más. El venv aislado fue la única solución. Cualquier microservicio LLM con dependencias modernas tiene que correr aislado, sin excepción.</w:t>
      </w:r>
    </w:p>
    <w:p>
      <w:pPr>
        <w:pStyle w:val="ListBullet"/>
      </w:pPr>
      <w:r>
        <w:rPr>
          <w:b/>
        </w:rPr>
        <w:t>Cuestionar las rúbricas, no solo los resultados</w:t>
      </w:r>
      <w:r>
        <w:t>. La inversión OQuaRE de §10.5 entre modelos abiertos y cerrados es real, pero la lectura literal sería que Llama supera a gpt-4o. Eso es un artefacto de la métrica, no una verdad sobre los modelos. Los benchmarks normativos son útiles cuando uno entiende qué optimizan; peligrosos cuando se reportan como verdad absoluta.</w:t>
      </w:r>
    </w:p>
    <w:p>
      <w:pPr>
        <w:pStyle w:val="ListBullet"/>
      </w:pPr>
      <w:r>
        <w:rPr>
          <w:b/>
        </w:rPr>
        <w:t>Documentar lo que falla, no solo lo que funciona</w:t>
      </w:r>
      <w:r>
        <w:t>. La sección de fallos irrecuperables de Llama (§10.2) y el reporte explícito de las 9 corridas que el post-procesado no recupera son tan importantes como las tablas de éxito. Ocultarlos sería más fácil; mostrarlos hace al trabajo defendible.</w:t>
      </w:r>
    </w:p>
    <w:p>
      <w:pPr>
        <w:pStyle w:val="Heading2"/>
      </w:pPr>
      <w:r>
        <w:t>13.5. Limitaciones honestas</w:t>
      </w:r>
    </w:p>
    <w:p>
      <w:r>
        <w:t>Las limitaciones técnicas están en §12.4 (reproducibilidad). Aquí van las metodológicas, que son las que un tribunal preguntaría primero:</w:t>
      </w:r>
    </w:p>
    <w:p>
      <w:pPr>
        <w:pStyle w:val="ListBullet"/>
      </w:pPr>
      <w:r>
        <w:rPr>
          <w:b/>
        </w:rPr>
        <w:t>Tamaño del corpus de evaluación</w:t>
      </w:r>
      <w:r>
        <w:t>. 4 BBDD × 3 runs × 4 experimentos × 3 modelos da una n teórica de 144 ontologías. Tras descartar fallos no recuperables y experimentos incompletos (E4 con open-source, calibración E3 con Llama), la n efectiva del análisis principal queda en torno a 96. Es suficiente para tendencias robustas; insuficiente para tests estadísticos formales por celda.</w:t>
      </w:r>
    </w:p>
    <w:p>
      <w:pPr>
        <w:pStyle w:val="ListBullet"/>
      </w:pPr>
      <w:r>
        <w:rPr>
          <w:b/>
        </w:rPr>
        <w:t>Falta de ground truth</w:t>
      </w:r>
      <w:r>
        <w:t>. Comparé las ontologías generadas entre sí con OQuaRE, pero no contra una ontología «correcta» del dominio. Sin un experto humano evaluando una muestra (~20 ontologías), no puedo decir si las que OQuaRE puntúa alto son biomédicamente correctas o simplemente bien estructuradas. La validación experta queda como trabajo futuro inmediato.</w:t>
      </w:r>
    </w:p>
    <w:p>
      <w:pPr>
        <w:pStyle w:val="ListBullet"/>
      </w:pPr>
      <w:r>
        <w:rPr>
          <w:b/>
        </w:rPr>
        <w:t>Sesgo de modelo cerrado</w:t>
      </w:r>
      <w:r>
        <w:t>. La pipeline E4 (OntoGenix) está diseñada para gpt-4o y no la repliqué con éxito en open-source. Por tanto, parte de la conclusión sobre «el método compensa al modelo» (§10.6) descansa sobre 12 corridas con un único binomio. Replicar E4 con Llama 3.1 70B (no 8B) sería el siguiente paso lógico.</w:t>
      </w:r>
    </w:p>
    <w:p>
      <w:pPr>
        <w:pStyle w:val="ListBullet"/>
      </w:pPr>
      <w:r>
        <w:rPr>
          <w:b/>
        </w:rPr>
        <w:t>Drift de dependencias durante el TFM</w:t>
      </w:r>
      <w:r>
        <w:t xml:space="preserve">. La integración de annotationRAG durante el desarrollo coincidió con un cambio de versión de numpy y torch que rompió varias librerías instaladas en el entorno principal. El experimento se completó, pero la documentación del estado de dependencias en cada ejecución (vía </w:t>
      </w:r>
      <w:r>
        <w:rPr>
          <w:rFonts w:ascii="Consolas" w:hAnsi="Consolas"/>
        </w:rPr>
        <w:t>check_reproducibility.py</w:t>
      </w:r>
      <w:r>
        <w:t>) es retrospectiva, no longitudinal.</w:t>
      </w:r>
    </w:p>
    <w:p>
      <w:pPr>
        <w:pStyle w:val="Heading2"/>
      </w:pPr>
      <w:r>
        <w:t>13.6. Trabajo futuro: tres líneas concretas</w:t>
      </w:r>
    </w:p>
    <w:p>
      <w:pPr>
        <w:pStyle w:val="ListBullet"/>
      </w:pPr>
      <w:r>
        <w:rPr>
          <w:b/>
        </w:rPr>
        <w:t>Validación experta sobre subset</w:t>
      </w:r>
      <w:r>
        <w:t>. Tomar 20 ontologías estratificadas (5 por experimento) y pedir a un ontólogo biomédico que las evalúe contra criterios establecidos (BioPortal Quality Profile, NCBO Recommender). Comparar el ranking experto con el ranking OQuaRE. Si correlacionan, OQuaRE es operativo en el dominio; si no, hay que construir métrica específica.</w:t>
      </w:r>
    </w:p>
    <w:p>
      <w:pPr>
        <w:pStyle w:val="ListBullet"/>
      </w:pPr>
      <w:r>
        <w:rPr>
          <w:b/>
        </w:rPr>
        <w:t>Replicar E4 con Llama 3.1 70B</w:t>
      </w:r>
      <w:r>
        <w:t>. La pipeline OntoGenix con un modelo open-source de tamaño comparable a gpt-4o permitiría aislar definitivamente el efecto «método» del efecto «modelo». Requiere una máquina con 64 GB+ de RAM o servicio remoto tipo Together o Groq.</w:t>
      </w:r>
    </w:p>
    <w:p>
      <w:pPr>
        <w:pStyle w:val="ListBullet"/>
      </w:pPr>
      <w:r>
        <w:rPr>
          <w:b/>
        </w:rPr>
        <w:t>Generalizar fuera del dominio cisreg</w:t>
      </w:r>
      <w:r>
        <w:t>. El experimento más valioso para el campo sería repetir todo el banco con una fuente de datos no biomédica (clinical trials, drug-target, wine-vineyards) para ver si los hallazgos cualitativos se mantienen. Si el RAG semántico también añade +1 punto OQuaRE en esos dominios, la guía operativa de §10.7.7 se convierte en una recomendación general; si no, queda específica del dominio.</w:t>
      </w:r>
    </w:p>
    <w:p>
      <w:pPr>
        <w:pStyle w:val="Heading2"/>
      </w:pPr>
      <w:r>
        <w:t>13.7. Cierre</w:t>
      </w:r>
    </w:p>
    <w:p>
      <w:r>
        <w:t>El TFM partió de una pregunta operativa («¿hasta dónde puede llegar un LLM solo?») y terminó respondiendo a una pregunta metodológica más interesante: ¿qué tipo de ayuda necesita cada modelo? La respuesta no es simétrica. gpt-4o aprovecha el contexto rico y el pipeline multi-agente; Llama 3.1 8B necesita contexto cuidadosamente recortado y se beneficia más de tipologías de error mecánicas que de mejor retrieval. Qwen 2.5 Coder cae en su propio patrón de mezcla de sintaxis y no se rescata sin reentrenamiento.</w:t>
      </w:r>
    </w:p>
    <w:p>
      <w:r>
        <w:t>La implicación práctica: si un equipo biomédico quiere usar un LLM para anotar una nueva fuente de datos hoy, gpt-4o + OntoGenix es la combinación con el mejor punto de partida en riqueza absoluta. Si el coste o la privacidad lo impiden, Llama 3.1 8B + RAG semántico calibrado (top_k=2) entrega un esquema utilizable a un 76 % del nivel del modelo cerrado, sin salir de la propia infraestructura. Cualquiera de las dos opciones requiere revisión humana antes de publicar la ontología. Ninguna sustituye al ontólogo todavía. Lo que sí consiguen ambas es reducir la fricción del primer borrador, que es donde más tiempo se gasta.</w:t>
      </w:r>
    </w:p>
    <w:p>
      <w:r>
        <w:t>Eso justifica el TFM. No demuestra que los LLM resuelvan la ingeniería ontológica. Demuestra que, con la combinación adecuada de modelo, técnica y post-procesado, hacen ahorrar tiempo medible en la parte aburrida del trabajo.</w:t>
      </w:r>
    </w:p>
    <w:p>
      <w:pPr>
        <w:pStyle w:val="Heading1"/>
      </w:pPr>
      <w:r>
        <w:t>14. Referencias (APA 7ª)</w:t>
      </w:r>
    </w:p>
    <w:p>
      <w:pPr>
        <w:spacing w:after="120"/>
        <w:ind w:left="567" w:hanging="567"/>
      </w:pPr>
      <w:r>
        <w:rPr>
          <w:rFonts w:ascii="Calibri" w:hAnsi="Calibri"/>
          <w:sz w:val="22"/>
        </w:rPr>
        <w:t>Val Calvo, M., Egaña Aranguren, M., &amp; Fernández Breis, J. T. (2024). OntoGenix: Leveraging large language models for enhanced ontology engineering from datasets. Information Processing &amp; Management, 62(3), 104042. https://doi.org/10.1016/j.ipm.2024.104042</w:t>
      </w:r>
    </w:p>
    <w:p>
      <w:pPr>
        <w:spacing w:after="120"/>
        <w:ind w:left="567" w:hanging="567"/>
      </w:pPr>
      <w:r>
        <w:rPr>
          <w:rFonts w:ascii="Calibri" w:hAnsi="Calibri"/>
          <w:sz w:val="22"/>
        </w:rPr>
        <w:t>Meyer, L.-P., Stadler, C., Frey, J., Radtke, N., Junghanns, K., Meissner, R., Dziwis, G., Bulert, K., &amp; Martin, M. (2023). LLM-assisted knowledge graph engineering: Experiments with ChatGPT. arXiv:2307.06917. https://arxiv.org/abs/2307.06917</w:t>
      </w:r>
    </w:p>
    <w:p>
      <w:pPr>
        <w:spacing w:after="120"/>
        <w:ind w:left="567" w:hanging="567"/>
      </w:pPr>
      <w:r>
        <w:rPr>
          <w:rFonts w:ascii="Calibri" w:hAnsi="Calibri"/>
          <w:sz w:val="22"/>
        </w:rPr>
        <w:t>Neuhaus, F. (2023). Ontologies in the era of large language models – A perspective. Applied Ontology, 18(4), 399–407. https://doi.org/10.3233/AO-230072</w:t>
      </w:r>
    </w:p>
    <w:p>
      <w:pPr>
        <w:spacing w:after="120"/>
        <w:ind w:left="567" w:hanging="567"/>
      </w:pPr>
      <w:r>
        <w:rPr>
          <w:rFonts w:ascii="Calibri" w:hAnsi="Calibri"/>
          <w:sz w:val="22"/>
        </w:rPr>
        <w:t>Studer, R., Benjamins, V. R., &amp; Fensel, D. (1998). Knowledge engineering: Principles and methods. Data &amp; Knowledge Engineering, 25(1–2), 161–197. https://doi.org/10.1016/S0169-023X(97)00056-6</w:t>
      </w:r>
    </w:p>
    <w:p>
      <w:pPr>
        <w:spacing w:after="120"/>
        <w:ind w:left="567" w:hanging="567"/>
      </w:pPr>
      <w:r>
        <w:rPr>
          <w:rFonts w:ascii="Calibri" w:hAnsi="Calibri"/>
          <w:sz w:val="22"/>
        </w:rPr>
        <w:t>W3C OWL Working Group. (2012). OWL 2 Web Ontology Language Document Overview (Second Edition). W3C Recommendation. https://www.w3.org/TR/owl2-overview/</w:t>
      </w:r>
    </w:p>
    <w:p>
      <w:pPr>
        <w:spacing w:after="120"/>
        <w:ind w:left="567" w:hanging="567"/>
      </w:pPr>
      <w:r>
        <w:rPr>
          <w:rFonts w:ascii="Calibri" w:hAnsi="Calibri"/>
          <w:sz w:val="22"/>
        </w:rPr>
        <w:t>Andersson, R., Gebhard, C., Miguel-Escalada, I., Hoof, I., Bornholdt, J., Boyd, M., Chen, Y., Zhao, X., Schmidl, C., Suzuki, T., &amp; FANTOM Consortium. (2014). An atlas of active enhancers across human cell types and tissues. Nature, 507(7493), 455–461. https://doi.org/10.1038/nature12787</w:t>
      </w:r>
    </w:p>
    <w:p>
      <w:pPr>
        <w:spacing w:after="120"/>
        <w:ind w:left="567" w:hanging="567"/>
      </w:pPr>
      <w:r>
        <w:rPr>
          <w:rFonts w:ascii="Calibri" w:hAnsi="Calibri"/>
          <w:sz w:val="22"/>
        </w:rPr>
        <w:t>Khan, A., &amp; Zhang, X. (2016). dbSUPER: A database of super-enhancers in mouse and human genome. Nucleic Acids Research, 44(D1), D164–D171. https://doi.org/10.1093/nar/gkv1002</w:t>
      </w:r>
    </w:p>
    <w:p>
      <w:pPr>
        <w:spacing w:after="120"/>
        <w:ind w:left="567" w:hanging="567"/>
      </w:pPr>
      <w:r>
        <w:rPr>
          <w:rFonts w:ascii="Calibri" w:hAnsi="Calibri"/>
          <w:sz w:val="22"/>
        </w:rPr>
        <w:t>Wang, J., Dai, X., Berry, L. D., Cogan, J. D., Liu, Q., &amp; Shyr, Y. (2019). HACER: An atlas of human active enhancers to interpret regulatory variants. Nucleic Acids Research, 47(D1), D106–D112. https://doi.org/10.1093/nar/gky864</w:t>
      </w:r>
    </w:p>
    <w:p>
      <w:pPr>
        <w:spacing w:after="120"/>
        <w:ind w:left="567" w:hanging="567"/>
      </w:pPr>
      <w:r>
        <w:rPr>
          <w:rFonts w:ascii="Calibri" w:hAnsi="Calibri"/>
          <w:sz w:val="22"/>
        </w:rPr>
        <w:t>Zhang, G., Shi, J., Zhu, S., Lan, Y., Xu, L., Yuan, H., Liao, G., Liu, X., Zhang, Y., Xiao, Y., &amp; Li, X. (2018). DiseaseEnhancer: A resource of human disease-associated enhancer catalog. Nucleic Acids Research, 46(D1), D78–D84. https://doi.org/10.1093/nar/gkx920</w:t>
      </w:r>
    </w:p>
    <w:p>
      <w:pPr>
        <w:spacing w:after="120"/>
        <w:ind w:left="567" w:hanging="567"/>
      </w:pPr>
      <w:r>
        <w:rPr>
          <w:rFonts w:ascii="Calibri" w:hAnsi="Calibri"/>
          <w:sz w:val="22"/>
        </w:rPr>
        <w:t>OpenAI. (2024). GPT-4o system card. https://openai.com/index/gpt-4o-system-card/</w:t>
      </w:r>
    </w:p>
    <w:p>
      <w:pPr>
        <w:spacing w:after="120"/>
        <w:ind w:left="567" w:hanging="567"/>
      </w:pPr>
      <w:r>
        <w:rPr>
          <w:rFonts w:ascii="Calibri" w:hAnsi="Calibri"/>
          <w:sz w:val="22"/>
        </w:rPr>
        <w:t>Duque-Ramos, A., Fernández-Breis, J. T., Stevens, R., &amp; Aussenac-Gilles, N. (2011). OQuaRE: A SQuaRE-based approach for evaluating the quality of ontologies. Journal of Research and Practice in Information Technology, 43(2), 159–176.</w:t>
      </w:r>
    </w:p>
    <w:p>
      <w:pPr>
        <w:spacing w:after="120"/>
        <w:ind w:left="567" w:hanging="567"/>
      </w:pPr>
      <w:r>
        <w:rPr>
          <w:rFonts w:ascii="Calibri" w:hAnsi="Calibri"/>
          <w:sz w:val="22"/>
        </w:rPr>
        <w:t>Duque-Ramos, A., Boeker, M., Jansen, L., Schulz, S., Iniesta, M., &amp; Fernández-Breis, J. T. (2014). Evaluating the good ontology design guideline (GoodOD) with the ontology quality requirements and evaluation method and metrics (OQuaRE). PLoS ONE, 9(8), e104463. https://doi.org/10.1371/journal.pone.0104463</w:t>
      </w:r>
    </w:p>
    <w:p>
      <w:pPr>
        <w:spacing w:after="120"/>
        <w:ind w:left="567" w:hanging="567"/>
      </w:pPr>
      <w:r>
        <w:rPr>
          <w:rFonts w:ascii="Calibri" w:hAnsi="Calibri"/>
          <w:sz w:val="22"/>
        </w:rPr>
        <w:t>Glimm, B., Horrocks, I., Motik, B., Stoilos, G., &amp; Wang, Z. (2014). HermiT: An OWL 2 reasoner. Journal of Automated Reasoning, 53(3), 245–269. https://doi.org/10.1007/s10817-014-9305-1</w:t>
      </w:r>
    </w:p>
    <w:p>
      <w:pPr>
        <w:spacing w:after="120"/>
        <w:ind w:left="567" w:hanging="567"/>
      </w:pPr>
      <w:r>
        <w:rPr>
          <w:rFonts w:ascii="Calibri" w:hAnsi="Calibri"/>
          <w:sz w:val="22"/>
        </w:rPr>
        <w:t>Lamy, J. B. (2017). Owlready: Ontology-oriented programming in Python with automatic classification and high level constructs for biomedical ontologies. Artificial Intelligence in Medicine, 80, 11–28. https://doi.org/10.1016/j.artmed.2017.07.002</w:t>
      </w:r>
    </w:p>
    <w:p>
      <w:pPr>
        <w:spacing w:after="120"/>
        <w:ind w:left="567" w:hanging="567"/>
      </w:pPr>
      <w:r>
        <w:rPr>
          <w:rFonts w:ascii="Calibri" w:hAnsi="Calibri"/>
          <w:sz w:val="22"/>
        </w:rPr>
        <w:t>Meta AI. (2024). The Llama 3 herd of models. https://ai.meta.com/research/publications/the-llama-3-herd-of-models/</w:t>
      </w:r>
    </w:p>
    <w:p>
      <w:pPr>
        <w:spacing w:after="120"/>
        <w:ind w:left="567" w:hanging="567"/>
      </w:pPr>
      <w:r>
        <w:rPr>
          <w:rFonts w:ascii="Calibri" w:hAnsi="Calibri"/>
          <w:sz w:val="22"/>
        </w:rPr>
        <w:t>Hui, B., Yang, J., Cui, Z., Yang, J., Liu, D., Zhang, L., Liu, T., Zhang, J., Yu, B., Lu, K., Dang, K., Fan, Y., Zhang, Y., Yang, A., Men, R., Huang, F., Zheng, B., Miao, Y., Quan, S., Feng, Y., Ren, X., Ren, X., Zhou, J., &amp; Lin, J. (2024). Qwen2.5-Coder Technical Report. arXiv:2409.12186. https://arxiv.org/abs/2409.12186</w:t>
      </w:r>
    </w:p>
    <w:p>
      <w:pPr>
        <w:spacing w:after="120"/>
        <w:ind w:left="567" w:hanging="567"/>
      </w:pPr>
      <w:r>
        <w:rPr>
          <w:rFonts w:ascii="Calibri" w:hAnsi="Calibri"/>
          <w:sz w:val="22"/>
        </w:rPr>
        <w:t>Ollama. (2024). Ollama: Get up and running with large language models locally [Software]. https://ollama.com</w:t>
      </w:r>
    </w:p>
    <w:p>
      <w:pPr>
        <w:spacing w:after="120"/>
        <w:ind w:left="567" w:hanging="567"/>
      </w:pPr>
      <w:r>
        <w:rPr>
          <w:rFonts w:ascii="Calibri" w:hAnsi="Calibri"/>
          <w:sz w:val="22"/>
        </w:rPr>
        <w:t>Lewis, P., Perez, E., Piktus, A., Petroni, F., Karpukhin, V., Goyal, N., Küttler, H., Lewis, M., Yih, W., Rocktäschel, T., Riedel, S., &amp; Kiela, D. (2020). Retrieval-augmented generation for knowledge-intensive NLP tasks. Advances in Neural Information Processing Systems, 33, 9459–9474. https://arxiv.org/abs/2005.11401</w:t>
      </w:r>
    </w:p>
    <w:p>
      <w:pPr>
        <w:spacing w:after="120"/>
        <w:ind w:left="567" w:hanging="567"/>
      </w:pPr>
      <w:r>
        <w:rPr>
          <w:rFonts w:ascii="Calibri" w:hAnsi="Calibri"/>
          <w:sz w:val="22"/>
        </w:rPr>
        <w:t>Reimers, N., &amp; Gurevych, I. (2019). Sentence-BERT: Sentence embeddings using Siamese BERT-networks. Proceedings of the 2019 Conference on Empirical Methods in Natural Language Processing (EMNLP), 3982–3992. https://doi.org/10.18653/v1/D19-1410</w:t>
      </w:r>
    </w:p>
    <w:p>
      <w:pPr>
        <w:spacing w:after="120"/>
        <w:ind w:left="567" w:hanging="567"/>
      </w:pPr>
      <w:r>
        <w:rPr>
          <w:rFonts w:ascii="Calibri" w:hAnsi="Calibri"/>
          <w:sz w:val="22"/>
        </w:rPr>
        <w:t>Tecnomod (Universidad de Murcia). (2024). annotationRAG: A Retrieval-Augmented Generation approach for the automated annotation of biological sample metadata [Software]. GitHub. https://github.com/tecnomod-um/annotationRAG</w:t>
      </w:r>
    </w:p>
    <w:p>
      <w:pPr>
        <w:spacing w:after="120"/>
        <w:ind w:left="567" w:hanging="567"/>
      </w:pPr>
      <w:r>
        <w:rPr>
          <w:rFonts w:ascii="Calibri" w:hAnsi="Calibri"/>
          <w:sz w:val="22"/>
        </w:rPr>
        <w:t>Neo4j Inc. (2024). Vector indexes — Cypher Manual. https://neo4j.com/docs/cypher-manual/current/indexes/semantic-indexes/vector-indexes/</w:t>
      </w:r>
    </w:p>
    <w:p>
      <w:pPr>
        <w:spacing w:after="120"/>
        <w:ind w:left="567" w:hanging="567"/>
      </w:pPr>
      <w:r>
        <w:rPr>
          <w:rFonts w:ascii="Calibri" w:hAnsi="Calibri"/>
          <w:sz w:val="22"/>
        </w:rPr>
        <w:t>Open Science Collaboration. (2015). Estimating the reproducibility of psychological science. Science, 349(6251), aac4716. https://doi.org/10.1126/science.aac4716</w:t>
      </w:r>
    </w:p>
    <w:p>
      <w:pPr>
        <w:spacing w:after="120"/>
        <w:ind w:left="567" w:hanging="567"/>
      </w:pPr>
      <w:r>
        <w:rPr>
          <w:rFonts w:ascii="Calibri" w:hAnsi="Calibri"/>
          <w:sz w:val="22"/>
        </w:rPr>
        <w:t>Hutson, M. (2018). Artificial intelligence faces reproducibility crisis. Science, 359(6377), 725–726. https://doi.org/10.1126/science.359.6377.725</w:t>
      </w:r>
    </w:p>
    <w:p>
      <w:pPr>
        <w:spacing w:after="120"/>
        <w:ind w:left="567" w:hanging="567"/>
      </w:pPr>
      <w:r>
        <w:rPr>
          <w:rFonts w:ascii="Calibri" w:hAnsi="Calibri"/>
          <w:sz w:val="22"/>
        </w:rPr>
        <w:t>Gundersen, O. E., &amp; Kjensmo, S. (2018). State of the art: Reproducibility in artificial intelligence. Proceedings of the AAAI Conference on Artificial Intelligence, 32(1). https://doi.org/10.1609/aaai.v32i1.11503</w:t>
      </w:r>
    </w:p>
    <w:p>
      <w:pPr>
        <w:spacing w:after="120"/>
        <w:ind w:left="567" w:hanging="567"/>
      </w:pPr>
      <w:r>
        <w:rPr>
          <w:rFonts w:ascii="Calibri" w:hAnsi="Calibri"/>
          <w:sz w:val="22"/>
        </w:rPr>
        <w:t>Henderson, P., Islam, R., Bachman, P., Pineau, J., Precup, D., &amp; Meger, D. (2018). Deep reinforcement learning that matters. Proceedings of the AAAI Conference on Artificial Intelligence, 32(1). https://doi.org/10.1609/aaai.v32i1.11694</w:t>
      </w:r>
    </w:p>
    <w:p>
      <w:pPr>
        <w:spacing w:after="120"/>
        <w:ind w:left="567" w:hanging="567"/>
      </w:pPr>
      <w:r>
        <w:rPr>
          <w:rFonts w:ascii="Calibri" w:hAnsi="Calibri"/>
          <w:sz w:val="22"/>
        </w:rPr>
        <w:t>Pineau, J., Vincent-Lamarre, P., Sinha, K., Larivière, V., Beygelzimer, A., d'Alché-Buc, F., Fox, E., &amp; Larochelle, H. (2021). Improving reproducibility in machine learning research (a report from the NeurIPS 2019 reproducibility program). Journal of Machine Learning Research, 22(164), 1–20. https://jmlr.org/papers/v22/20-303.html</w:t>
      </w:r>
    </w:p>
    <w:p>
      <w:pPr>
        <w:spacing w:after="120"/>
        <w:ind w:left="567" w:hanging="567"/>
      </w:pPr>
      <w:r>
        <w:rPr>
          <w:rFonts w:ascii="Calibri" w:hAnsi="Calibri"/>
          <w:sz w:val="22"/>
        </w:rPr>
        <w:t>Goodman, S. N., Fanelli, D., &amp; Ioannidis, J. P. (2016). What does research reproducibility mean? Science Translational Medicine, 8(341), 341ps12. https://doi.org/10.1126/scitranslmed.aaf5027</w:t>
      </w:r>
    </w:p>
    <w:p>
      <w:pPr>
        <w:spacing w:after="120"/>
        <w:ind w:left="567" w:hanging="567"/>
      </w:pPr>
      <w:r>
        <w:rPr>
          <w:rFonts w:ascii="Calibri" w:hAnsi="Calibri"/>
          <w:sz w:val="22"/>
        </w:rPr>
        <w:t>Reynolds, L., &amp; McDonell, K. (2021). Prompt programming for large language models: Beyond the few-shot paradigm. Extended Abstracts of the 2021 CHI Conference on Human Factors in Computing Systems, 1–7. https://doi.org/10.1145/3411763.3451760</w:t>
      </w:r>
    </w:p>
    <w:p>
      <w:pPr>
        <w:pStyle w:val="Heading1"/>
      </w:pPr>
      <w:r>
        <w:rPr>
          <w:b/>
          <w:sz w:val="36"/>
        </w:rPr>
        <w:t>Anexo A. Abreviaturas y siglas</w:t>
      </w:r>
    </w:p>
    <w:p>
      <w:pPr>
        <w:spacing w:after="120"/>
      </w:pPr>
      <w:r>
        <w:rPr>
          <w:i/>
          <w:sz w:val="21"/>
        </w:rPr>
        <w:t xml:space="preserve">Listado alfabético de las abreviaturas, siglas y acrónimos empleados en el documento. Cuando un término aparece por primera vez en el texto, se introduce con su forma desarrollada y, entre paréntesis, su sigla.</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00"/>
        <w:gridCol w:w="7000"/>
      </w:tblGrid>
      <w:tr>
        <w:tc>
          <w:tcPr>
            <w:tcW w:w="1800" w:type="dxa"/>
            <w:shd w:val="clear" w:color="auto" w:fill="0F2845"/>
          </w:tcPr>
          <w:p>
            <w:r>
              <w:rPr>
                <w:b/>
                <w:sz w:val="21"/>
                <w:color w:val="FFFFFF"/>
              </w:rPr>
              <w:t xml:space="preserve">Sigla</w:t>
            </w:r>
          </w:p>
        </w:tc>
        <w:tc>
          <w:tcPr>
            <w:tcW w:w="7000" w:type="dxa"/>
            <w:shd w:val="clear" w:color="auto" w:fill="0F2845"/>
          </w:tcPr>
          <w:p>
            <w:r>
              <w:rPr>
                <w:b/>
                <w:sz w:val="21"/>
                <w:color w:val="FFFFFF"/>
              </w:rPr>
              <w:t xml:space="preserve">Definición</w:t>
            </w:r>
          </w:p>
        </w:tc>
      </w:tr>
      <w:tr>
        <w:tc>
          <w:tcPr>
            <w:tcW w:w="1800" w:type="dxa"/>
          </w:tcPr>
          <w:p>
            <w:r>
              <w:rPr>
                <w:b/>
                <w:sz w:val="20"/>
              </w:rPr>
              <w:t xml:space="preserve">ABox</w:t>
            </w:r>
          </w:p>
        </w:tc>
        <w:tc>
          <w:tcPr>
            <w:tcW w:w="7000" w:type="dxa"/>
          </w:tcPr>
          <w:p>
            <w:r>
              <w:rPr>
                <w:sz w:val="20"/>
              </w:rPr>
              <w:t xml:space="preserve">Assertional Box — conjunto de instancias en una ontología.</w:t>
            </w:r>
          </w:p>
        </w:tc>
      </w:tr>
      <w:tr>
        <w:tc>
          <w:tcPr>
            <w:tcW w:w="1800" w:type="dxa"/>
          </w:tcPr>
          <w:p>
            <w:r>
              <w:rPr>
                <w:b/>
                <w:sz w:val="20"/>
              </w:rPr>
              <w:t xml:space="preserve">ANOnto</w:t>
            </w:r>
          </w:p>
        </w:tc>
        <w:tc>
          <w:tcPr>
            <w:tcW w:w="7000" w:type="dxa"/>
          </w:tcPr>
          <w:p>
            <w:r>
              <w:rPr>
                <w:sz w:val="20"/>
              </w:rPr>
              <w:t xml:space="preserve">Annotation Number Ontology (métrica OQuaRE de riqueza documental).</w:t>
            </w:r>
          </w:p>
        </w:tc>
      </w:tr>
      <w:tr>
        <w:tc>
          <w:tcPr>
            <w:tcW w:w="1800" w:type="dxa"/>
          </w:tcPr>
          <w:p>
            <w:r>
              <w:rPr>
                <w:b/>
                <w:sz w:val="20"/>
              </w:rPr>
              <w:t xml:space="preserve">APA</w:t>
            </w:r>
          </w:p>
        </w:tc>
        <w:tc>
          <w:tcPr>
            <w:tcW w:w="7000" w:type="dxa"/>
          </w:tcPr>
          <w:p>
            <w:r>
              <w:rPr>
                <w:sz w:val="20"/>
              </w:rPr>
              <w:t xml:space="preserve">American Psychological Association (estilo de referencias).</w:t>
            </w:r>
          </w:p>
        </w:tc>
      </w:tr>
      <w:tr>
        <w:tc>
          <w:tcPr>
            <w:tcW w:w="1800" w:type="dxa"/>
          </w:tcPr>
          <w:p>
            <w:r>
              <w:rPr>
                <w:b/>
                <w:sz w:val="20"/>
              </w:rPr>
              <w:t xml:space="preserve">API</w:t>
            </w:r>
          </w:p>
        </w:tc>
        <w:tc>
          <w:tcPr>
            <w:tcW w:w="7000" w:type="dxa"/>
          </w:tcPr>
          <w:p>
            <w:r>
              <w:rPr>
                <w:sz w:val="20"/>
              </w:rPr>
              <w:t xml:space="preserve">Application Programming Interface.</w:t>
            </w:r>
          </w:p>
        </w:tc>
      </w:tr>
      <w:tr>
        <w:tc>
          <w:tcPr>
            <w:tcW w:w="1800" w:type="dxa"/>
          </w:tcPr>
          <w:p>
            <w:r>
              <w:rPr>
                <w:b/>
                <w:sz w:val="20"/>
              </w:rPr>
              <w:t xml:space="preserve">AROnto</w:t>
            </w:r>
          </w:p>
        </w:tc>
        <w:tc>
          <w:tcPr>
            <w:tcW w:w="7000" w:type="dxa"/>
          </w:tcPr>
          <w:p>
            <w:r>
              <w:rPr>
                <w:sz w:val="20"/>
              </w:rPr>
              <w:t xml:space="preserve">Attribute Richness Ontology (métrica OQuaRE).</w:t>
            </w:r>
          </w:p>
        </w:tc>
      </w:tr>
      <w:tr>
        <w:tc>
          <w:tcPr>
            <w:tcW w:w="1800" w:type="dxa"/>
          </w:tcPr>
          <w:p>
            <w:r>
              <w:rPr>
                <w:b/>
                <w:sz w:val="20"/>
              </w:rPr>
              <w:t xml:space="preserve">BBDD</w:t>
            </w:r>
          </w:p>
        </w:tc>
        <w:tc>
          <w:tcPr>
            <w:tcW w:w="7000" w:type="dxa"/>
          </w:tcPr>
          <w:p>
            <w:r>
              <w:rPr>
                <w:sz w:val="20"/>
              </w:rPr>
              <w:t xml:space="preserve">Bases de datos.</w:t>
            </w:r>
          </w:p>
        </w:tc>
      </w:tr>
      <w:tr>
        <w:tc>
          <w:tcPr>
            <w:tcW w:w="1800" w:type="dxa"/>
          </w:tcPr>
          <w:p>
            <w:r>
              <w:rPr>
                <w:b/>
                <w:sz w:val="20"/>
              </w:rPr>
              <w:t xml:space="preserve">BioPortal</w:t>
            </w:r>
          </w:p>
        </w:tc>
        <w:tc>
          <w:tcPr>
            <w:tcW w:w="7000" w:type="dxa"/>
          </w:tcPr>
          <w:p>
            <w:r>
              <w:rPr>
                <w:sz w:val="20"/>
              </w:rPr>
              <w:t xml:space="preserve">Repositorio público de ontologías biomédicas mantenido por NCBO.</w:t>
            </w:r>
          </w:p>
        </w:tc>
      </w:tr>
      <w:tr>
        <w:tc>
          <w:tcPr>
            <w:tcW w:w="1800" w:type="dxa"/>
          </w:tcPr>
          <w:p>
            <w:r>
              <w:rPr>
                <w:b/>
                <w:sz w:val="20"/>
              </w:rPr>
              <w:t xml:space="preserve">CAGE</w:t>
            </w:r>
          </w:p>
        </w:tc>
        <w:tc>
          <w:tcPr>
            <w:tcW w:w="7000" w:type="dxa"/>
          </w:tcPr>
          <w:p>
            <w:r>
              <w:rPr>
                <w:sz w:val="20"/>
              </w:rPr>
              <w:t xml:space="preserve">Cap Analysis of Gene Expression.</w:t>
            </w:r>
          </w:p>
        </w:tc>
      </w:tr>
      <w:tr>
        <w:tc>
          <w:tcPr>
            <w:tcW w:w="1800" w:type="dxa"/>
          </w:tcPr>
          <w:p>
            <w:r>
              <w:rPr>
                <w:b/>
                <w:sz w:val="20"/>
              </w:rPr>
              <w:t xml:space="preserve">CBOnto</w:t>
            </w:r>
          </w:p>
        </w:tc>
        <w:tc>
          <w:tcPr>
            <w:tcW w:w="7000" w:type="dxa"/>
          </w:tcPr>
          <w:p>
            <w:r>
              <w:rPr>
                <w:sz w:val="20"/>
              </w:rPr>
              <w:t xml:space="preserve">Coupling Between Ontologies (métrica OQuaRE de modularidad).</w:t>
            </w:r>
          </w:p>
        </w:tc>
      </w:tr>
      <w:tr>
        <w:tc>
          <w:tcPr>
            <w:tcW w:w="1800" w:type="dxa"/>
          </w:tcPr>
          <w:p>
            <w:r>
              <w:rPr>
                <w:b/>
                <w:sz w:val="20"/>
              </w:rPr>
              <w:t xml:space="preserve">CRM</w:t>
            </w:r>
          </w:p>
        </w:tc>
        <w:tc>
          <w:tcPr>
            <w:tcW w:w="7000" w:type="dxa"/>
          </w:tcPr>
          <w:p>
            <w:r>
              <w:rPr>
                <w:sz w:val="20"/>
              </w:rPr>
              <w:t xml:space="preserve">Cis-Regulatory Module (elemento regulador en cis).</w:t>
            </w:r>
          </w:p>
        </w:tc>
      </w:tr>
      <w:tr>
        <w:tc>
          <w:tcPr>
            <w:tcW w:w="1800" w:type="dxa"/>
          </w:tcPr>
          <w:p>
            <w:r>
              <w:rPr>
                <w:b/>
                <w:sz w:val="20"/>
              </w:rPr>
              <w:t xml:space="preserve">CSV</w:t>
            </w:r>
          </w:p>
        </w:tc>
        <w:tc>
          <w:tcPr>
            <w:tcW w:w="7000" w:type="dxa"/>
          </w:tcPr>
          <w:p>
            <w:r>
              <w:rPr>
                <w:sz w:val="20"/>
              </w:rPr>
              <w:t xml:space="preserve">Comma-Separated Values.</w:t>
            </w:r>
          </w:p>
        </w:tc>
      </w:tr>
      <w:tr>
        <w:tc>
          <w:tcPr>
            <w:tcW w:w="1800" w:type="dxa"/>
          </w:tcPr>
          <w:p>
            <w:r>
              <w:rPr>
                <w:b/>
                <w:sz w:val="20"/>
              </w:rPr>
              <w:t xml:space="preserve">dbSUPER</w:t>
            </w:r>
          </w:p>
        </w:tc>
        <w:tc>
          <w:tcPr>
            <w:tcW w:w="7000" w:type="dxa"/>
          </w:tcPr>
          <w:p>
            <w:r>
              <w:rPr>
                <w:sz w:val="20"/>
              </w:rPr>
              <w:t xml:space="preserve">Database of Super-Enhancers.</w:t>
            </w:r>
          </w:p>
        </w:tc>
      </w:tr>
      <w:tr>
        <w:tc>
          <w:tcPr>
            <w:tcW w:w="1800" w:type="dxa"/>
          </w:tcPr>
          <w:p>
            <w:r>
              <w:rPr>
                <w:b/>
                <w:sz w:val="20"/>
              </w:rPr>
              <w:t xml:space="preserve">DITM</w:t>
            </w:r>
          </w:p>
        </w:tc>
        <w:tc>
          <w:tcPr>
            <w:tcW w:w="7000" w:type="dxa"/>
          </w:tcPr>
          <w:p>
            <w:r>
              <w:rPr>
                <w:sz w:val="20"/>
              </w:rPr>
              <w:t xml:space="preserve">Depth of Inheritance Tree Modularity (métrica OQuaRE).</w:t>
            </w:r>
          </w:p>
        </w:tc>
      </w:tr>
      <w:tr>
        <w:tc>
          <w:tcPr>
            <w:tcW w:w="1800" w:type="dxa"/>
          </w:tcPr>
          <w:p>
            <w:r>
              <w:rPr>
                <w:b/>
                <w:sz w:val="20"/>
              </w:rPr>
              <w:t xml:space="preserve">FANTOM5</w:t>
            </w:r>
          </w:p>
        </w:tc>
        <w:tc>
          <w:tcPr>
            <w:tcW w:w="7000" w:type="dxa"/>
          </w:tcPr>
          <w:p>
            <w:r>
              <w:rPr>
                <w:sz w:val="20"/>
              </w:rPr>
              <w:t xml:space="preserve">Functional Annotation of the Mammalian Genome 5.</w:t>
            </w:r>
          </w:p>
        </w:tc>
      </w:tr>
      <w:tr>
        <w:tc>
          <w:tcPr>
            <w:tcW w:w="1800" w:type="dxa"/>
          </w:tcPr>
          <w:p>
            <w:r>
              <w:rPr>
                <w:b/>
                <w:sz w:val="20"/>
              </w:rPr>
              <w:t xml:space="preserve">FastAPI</w:t>
            </w:r>
          </w:p>
        </w:tc>
        <w:tc>
          <w:tcPr>
            <w:tcW w:w="7000" w:type="dxa"/>
          </w:tcPr>
          <w:p>
            <w:r>
              <w:rPr>
                <w:sz w:val="20"/>
              </w:rPr>
              <w:t xml:space="preserve">Framework Python para construcción de APIs HTTP.</w:t>
            </w:r>
          </w:p>
        </w:tc>
      </w:tr>
      <w:tr>
        <w:tc>
          <w:tcPr>
            <w:tcW w:w="1800" w:type="dxa"/>
          </w:tcPr>
          <w:p>
            <w:r>
              <w:rPr>
                <w:b/>
                <w:sz w:val="20"/>
              </w:rPr>
              <w:t xml:space="preserve">GPU</w:t>
            </w:r>
          </w:p>
        </w:tc>
        <w:tc>
          <w:tcPr>
            <w:tcW w:w="7000" w:type="dxa"/>
          </w:tcPr>
          <w:p>
            <w:r>
              <w:rPr>
                <w:sz w:val="20"/>
              </w:rPr>
              <w:t xml:space="preserve">Graphics Processing Unit.</w:t>
            </w:r>
          </w:p>
        </w:tc>
      </w:tr>
      <w:tr>
        <w:tc>
          <w:tcPr>
            <w:tcW w:w="1800" w:type="dxa"/>
          </w:tcPr>
          <w:p>
            <w:r>
              <w:rPr>
                <w:b/>
                <w:sz w:val="20"/>
              </w:rPr>
              <w:t xml:space="preserve">HACER</w:t>
            </w:r>
          </w:p>
        </w:tc>
        <w:tc>
          <w:tcPr>
            <w:tcW w:w="7000" w:type="dxa"/>
          </w:tcPr>
          <w:p>
            <w:r>
              <w:rPr>
                <w:sz w:val="20"/>
              </w:rPr>
              <w:t xml:space="preserve">Human ACtive Enhancer to gene Regulation database.</w:t>
            </w:r>
          </w:p>
        </w:tc>
      </w:tr>
      <w:tr>
        <w:tc>
          <w:tcPr>
            <w:tcW w:w="1800" w:type="dxa"/>
          </w:tcPr>
          <w:p>
            <w:r>
              <w:rPr>
                <w:b/>
                <w:sz w:val="20"/>
              </w:rPr>
              <w:t xml:space="preserve">HermiT</w:t>
            </w:r>
          </w:p>
        </w:tc>
        <w:tc>
          <w:tcPr>
            <w:tcW w:w="7000" w:type="dxa"/>
          </w:tcPr>
          <w:p>
            <w:r>
              <w:rPr>
                <w:sz w:val="20"/>
              </w:rPr>
              <w:t xml:space="preserve">Razonador OWL DL utilizado vía owlready2.</w:t>
            </w:r>
          </w:p>
        </w:tc>
      </w:tr>
      <w:tr>
        <w:tc>
          <w:tcPr>
            <w:tcW w:w="1800" w:type="dxa"/>
          </w:tcPr>
          <w:p>
            <w:r>
              <w:rPr>
                <w:b/>
                <w:sz w:val="20"/>
              </w:rPr>
              <w:t xml:space="preserve">HTTP</w:t>
            </w:r>
          </w:p>
        </w:tc>
        <w:tc>
          <w:tcPr>
            <w:tcW w:w="7000" w:type="dxa"/>
          </w:tcPr>
          <w:p>
            <w:r>
              <w:rPr>
                <w:sz w:val="20"/>
              </w:rPr>
              <w:t xml:space="preserve">HyperText Transfer Protocol.</w:t>
            </w:r>
          </w:p>
        </w:tc>
      </w:tr>
      <w:tr>
        <w:tc>
          <w:tcPr>
            <w:tcW w:w="1800" w:type="dxa"/>
          </w:tcPr>
          <w:p>
            <w:r>
              <w:rPr>
                <w:b/>
                <w:sz w:val="20"/>
              </w:rPr>
              <w:t xml:space="preserve">INROnto</w:t>
            </w:r>
          </w:p>
        </w:tc>
        <w:tc>
          <w:tcPr>
            <w:tcW w:w="7000" w:type="dxa"/>
          </w:tcPr>
          <w:p>
            <w:r>
              <w:rPr>
                <w:sz w:val="20"/>
              </w:rPr>
              <w:t xml:space="preserve">Inverse Relations Ontology (métrica OQuaRE).</w:t>
            </w:r>
          </w:p>
        </w:tc>
      </w:tr>
      <w:tr>
        <w:tc>
          <w:tcPr>
            <w:tcW w:w="1800" w:type="dxa"/>
          </w:tcPr>
          <w:p>
            <w:r>
              <w:rPr>
                <w:b/>
                <w:sz w:val="20"/>
              </w:rPr>
              <w:t xml:space="preserve">IRI</w:t>
            </w:r>
          </w:p>
        </w:tc>
        <w:tc>
          <w:tcPr>
            <w:tcW w:w="7000" w:type="dxa"/>
          </w:tcPr>
          <w:p>
            <w:r>
              <w:rPr>
                <w:sz w:val="20"/>
              </w:rPr>
              <w:t xml:space="preserve">Internationalized Resource Identifier.</w:t>
            </w:r>
          </w:p>
        </w:tc>
      </w:tr>
      <w:tr>
        <w:tc>
          <w:tcPr>
            <w:tcW w:w="1800" w:type="dxa"/>
          </w:tcPr>
          <w:p>
            <w:r>
              <w:rPr>
                <w:b/>
                <w:sz w:val="20"/>
              </w:rPr>
              <w:t xml:space="preserve">ISO/IEC</w:t>
            </w:r>
          </w:p>
        </w:tc>
        <w:tc>
          <w:tcPr>
            <w:tcW w:w="7000" w:type="dxa"/>
          </w:tcPr>
          <w:p>
            <w:r>
              <w:rPr>
                <w:sz w:val="20"/>
              </w:rPr>
              <w:t xml:space="preserve">International Organization for Standardization / International Electrotechnical Commission.</w:t>
            </w:r>
          </w:p>
        </w:tc>
      </w:tr>
      <w:tr>
        <w:tc>
          <w:tcPr>
            <w:tcW w:w="1800" w:type="dxa"/>
          </w:tcPr>
          <w:p>
            <w:r>
              <w:rPr>
                <w:b/>
                <w:sz w:val="20"/>
              </w:rPr>
              <w:t xml:space="preserve">JSON-LD</w:t>
            </w:r>
          </w:p>
        </w:tc>
        <w:tc>
          <w:tcPr>
            <w:tcW w:w="7000" w:type="dxa"/>
          </w:tcPr>
          <w:p>
            <w:r>
              <w:rPr>
                <w:sz w:val="20"/>
              </w:rPr>
              <w:t xml:space="preserve">JSON for Linking Data — serialización de RDF (W3C).</w:t>
            </w:r>
          </w:p>
        </w:tc>
      </w:tr>
      <w:tr>
        <w:tc>
          <w:tcPr>
            <w:tcW w:w="1800" w:type="dxa"/>
          </w:tcPr>
          <w:p>
            <w:r>
              <w:rPr>
                <w:b/>
                <w:sz w:val="20"/>
              </w:rPr>
              <w:t xml:space="preserve">LCOMOnto</w:t>
            </w:r>
          </w:p>
        </w:tc>
        <w:tc>
          <w:tcPr>
            <w:tcW w:w="7000" w:type="dxa"/>
          </w:tcPr>
          <w:p>
            <w:r>
              <w:rPr>
                <w:sz w:val="20"/>
              </w:rPr>
              <w:t xml:space="preserve">Lack of Cohesion in Methods Ontology (métrica OQuaRE).</w:t>
            </w:r>
          </w:p>
        </w:tc>
      </w:tr>
      <w:tr>
        <w:tc>
          <w:tcPr>
            <w:tcW w:w="1800" w:type="dxa"/>
          </w:tcPr>
          <w:p>
            <w:r>
              <w:rPr>
                <w:b/>
                <w:sz w:val="20"/>
              </w:rPr>
              <w:t xml:space="preserve">LLM</w:t>
            </w:r>
          </w:p>
        </w:tc>
        <w:tc>
          <w:tcPr>
            <w:tcW w:w="7000" w:type="dxa"/>
          </w:tcPr>
          <w:p>
            <w:r>
              <w:rPr>
                <w:sz w:val="20"/>
              </w:rPr>
              <w:t xml:space="preserve">Large Language Model — modelo de lenguaje grande.</w:t>
            </w:r>
          </w:p>
        </w:tc>
      </w:tr>
      <w:tr>
        <w:tc>
          <w:tcPr>
            <w:tcW w:w="1800" w:type="dxa"/>
          </w:tcPr>
          <w:p>
            <w:r>
              <w:rPr>
                <w:b/>
                <w:sz w:val="20"/>
              </w:rPr>
              <w:t xml:space="preserve">MCP</w:t>
            </w:r>
          </w:p>
        </w:tc>
        <w:tc>
          <w:tcPr>
            <w:tcW w:w="7000" w:type="dxa"/>
          </w:tcPr>
          <w:p>
            <w:r>
              <w:rPr>
                <w:sz w:val="20"/>
              </w:rPr>
              <w:t xml:space="preserve">Model Context Protocol.</w:t>
            </w:r>
          </w:p>
        </w:tc>
      </w:tr>
      <w:tr>
        <w:tc>
          <w:tcPr>
            <w:tcW w:w="1800" w:type="dxa"/>
          </w:tcPr>
          <w:p>
            <w:r>
              <w:rPr>
                <w:b/>
                <w:sz w:val="20"/>
              </w:rPr>
              <w:t xml:space="preserve">MIA</w:t>
            </w:r>
          </w:p>
        </w:tc>
        <w:tc>
          <w:tcPr>
            <w:tcW w:w="7000" w:type="dxa"/>
          </w:tcPr>
          <w:p>
            <w:r>
              <w:rPr>
                <w:sz w:val="20"/>
              </w:rPr>
              <w:t xml:space="preserve">Máster Universitario en Inteligencia Artificial (UMU).</w:t>
            </w:r>
          </w:p>
        </w:tc>
      </w:tr>
      <w:tr>
        <w:tc>
          <w:tcPr>
            <w:tcW w:w="1800" w:type="dxa"/>
          </w:tcPr>
          <w:p>
            <w:r>
              <w:rPr>
                <w:b/>
                <w:sz w:val="20"/>
              </w:rPr>
              <w:t xml:space="preserve">NACOnto</w:t>
            </w:r>
          </w:p>
        </w:tc>
        <w:tc>
          <w:tcPr>
            <w:tcW w:w="7000" w:type="dxa"/>
          </w:tcPr>
          <w:p>
            <w:r>
              <w:rPr>
                <w:sz w:val="20"/>
              </w:rPr>
              <w:t xml:space="preserve">Number of Ancestor Classes Ontology (métrica OQuaRE).</w:t>
            </w:r>
          </w:p>
        </w:tc>
      </w:tr>
      <w:tr>
        <w:tc>
          <w:tcPr>
            <w:tcW w:w="1800" w:type="dxa"/>
          </w:tcPr>
          <w:p>
            <w:r>
              <w:rPr>
                <w:b/>
                <w:sz w:val="20"/>
              </w:rPr>
              <w:t xml:space="preserve">NCBO</w:t>
            </w:r>
          </w:p>
        </w:tc>
        <w:tc>
          <w:tcPr>
            <w:tcW w:w="7000" w:type="dxa"/>
          </w:tcPr>
          <w:p>
            <w:r>
              <w:rPr>
                <w:sz w:val="20"/>
              </w:rPr>
              <w:t xml:space="preserve">National Center for Biomedical Ontology.</w:t>
            </w:r>
          </w:p>
        </w:tc>
      </w:tr>
      <w:tr>
        <w:tc>
          <w:tcPr>
            <w:tcW w:w="1800" w:type="dxa"/>
          </w:tcPr>
          <w:p>
            <w:r>
              <w:rPr>
                <w:b/>
                <w:sz w:val="20"/>
              </w:rPr>
              <w:t xml:space="preserve">Neo4j</w:t>
            </w:r>
          </w:p>
        </w:tc>
        <w:tc>
          <w:tcPr>
            <w:tcW w:w="7000" w:type="dxa"/>
          </w:tcPr>
          <w:p>
            <w:r>
              <w:rPr>
                <w:sz w:val="20"/>
              </w:rPr>
              <w:t xml:space="preserve">Base de datos orientada a grafos con índice vectorial nativo.</w:t>
            </w:r>
          </w:p>
        </w:tc>
      </w:tr>
      <w:tr>
        <w:tc>
          <w:tcPr>
            <w:tcW w:w="1800" w:type="dxa"/>
          </w:tcPr>
          <w:p>
            <w:r>
              <w:rPr>
                <w:b/>
                <w:sz w:val="20"/>
              </w:rPr>
              <w:t xml:space="preserve">NOMOnto</w:t>
            </w:r>
          </w:p>
        </w:tc>
        <w:tc>
          <w:tcPr>
            <w:tcW w:w="7000" w:type="dxa"/>
          </w:tcPr>
          <w:p>
            <w:r>
              <w:rPr>
                <w:sz w:val="20"/>
              </w:rPr>
              <w:t xml:space="preserve">Number Of Methods Ontology (métrica OQuaRE).</w:t>
            </w:r>
          </w:p>
        </w:tc>
      </w:tr>
      <w:tr>
        <w:tc>
          <w:tcPr>
            <w:tcW w:w="1800" w:type="dxa"/>
          </w:tcPr>
          <w:p>
            <w:r>
              <w:rPr>
                <w:b/>
                <w:sz w:val="20"/>
              </w:rPr>
              <w:t xml:space="preserve">Ollama</w:t>
            </w:r>
          </w:p>
        </w:tc>
        <w:tc>
          <w:tcPr>
            <w:tcW w:w="7000" w:type="dxa"/>
          </w:tcPr>
          <w:p>
            <w:r>
              <w:rPr>
                <w:sz w:val="20"/>
              </w:rPr>
              <w:t xml:space="preserve">Servidor local para modelos LLM open-source.</w:t>
            </w:r>
          </w:p>
        </w:tc>
      </w:tr>
      <w:tr>
        <w:tc>
          <w:tcPr>
            <w:tcW w:w="1800" w:type="dxa"/>
          </w:tcPr>
          <w:p>
            <w:r>
              <w:rPr>
                <w:b/>
                <w:sz w:val="20"/>
              </w:rPr>
              <w:t xml:space="preserve">OntoGenix</w:t>
            </w:r>
          </w:p>
        </w:tc>
        <w:tc>
          <w:tcPr>
            <w:tcW w:w="7000" w:type="dxa"/>
          </w:tcPr>
          <w:p>
            <w:r>
              <w:rPr>
                <w:sz w:val="20"/>
              </w:rPr>
              <w:t xml:space="preserve">Pipeline multi-agente para generación de ontologías (Val Calvo et al., 2024).</w:t>
            </w:r>
          </w:p>
        </w:tc>
      </w:tr>
      <w:tr>
        <w:tc>
          <w:tcPr>
            <w:tcW w:w="1800" w:type="dxa"/>
          </w:tcPr>
          <w:p>
            <w:r>
              <w:rPr>
                <w:b/>
                <w:sz w:val="20"/>
              </w:rPr>
              <w:t xml:space="preserve">OQuaRE</w:t>
            </w:r>
          </w:p>
        </w:tc>
        <w:tc>
          <w:tcPr>
            <w:tcW w:w="7000" w:type="dxa"/>
          </w:tcPr>
          <w:p>
            <w:r>
              <w:rPr>
                <w:sz w:val="20"/>
              </w:rPr>
              <w:t xml:space="preserve">Ontology Quality Requirements and Evaluation — marco normativo basado en ISO/IEC 25000.</w:t>
            </w:r>
          </w:p>
        </w:tc>
      </w:tr>
      <w:tr>
        <w:tc>
          <w:tcPr>
            <w:tcW w:w="1800" w:type="dxa"/>
          </w:tcPr>
          <w:p>
            <w:r>
              <w:rPr>
                <w:b/>
                <w:sz w:val="20"/>
              </w:rPr>
              <w:t xml:space="preserve">OWL</w:t>
            </w:r>
          </w:p>
        </w:tc>
        <w:tc>
          <w:tcPr>
            <w:tcW w:w="7000" w:type="dxa"/>
          </w:tcPr>
          <w:p>
            <w:r>
              <w:rPr>
                <w:sz w:val="20"/>
              </w:rPr>
              <w:t xml:space="preserve">Web Ontology Language (recomendación W3C).</w:t>
            </w:r>
          </w:p>
        </w:tc>
      </w:tr>
      <w:tr>
        <w:tc>
          <w:tcPr>
            <w:tcW w:w="1800" w:type="dxa"/>
          </w:tcPr>
          <w:p>
            <w:r>
              <w:rPr>
                <w:b/>
                <w:sz w:val="20"/>
              </w:rPr>
              <w:t xml:space="preserve">OWL DL</w:t>
            </w:r>
          </w:p>
        </w:tc>
        <w:tc>
          <w:tcPr>
            <w:tcW w:w="7000" w:type="dxa"/>
          </w:tcPr>
          <w:p>
            <w:r>
              <w:rPr>
                <w:sz w:val="20"/>
              </w:rPr>
              <w:t xml:space="preserve">Subconjunto Description Logic de OWL.</w:t>
            </w:r>
          </w:p>
        </w:tc>
      </w:tr>
      <w:tr>
        <w:tc>
          <w:tcPr>
            <w:tcW w:w="1800" w:type="dxa"/>
          </w:tcPr>
          <w:p>
            <w:r>
              <w:rPr>
                <w:b/>
                <w:sz w:val="20"/>
              </w:rPr>
              <w:t xml:space="preserve">owlready2</w:t>
            </w:r>
          </w:p>
        </w:tc>
        <w:tc>
          <w:tcPr>
            <w:tcW w:w="7000" w:type="dxa"/>
          </w:tcPr>
          <w:p>
            <w:r>
              <w:rPr>
                <w:sz w:val="20"/>
              </w:rPr>
              <w:t xml:space="preserve">Biblioteca Python para ontologías OWL con integración de razonadores.</w:t>
            </w:r>
          </w:p>
        </w:tc>
      </w:tr>
      <w:tr>
        <w:tc>
          <w:tcPr>
            <w:tcW w:w="1800" w:type="dxa"/>
          </w:tcPr>
          <w:p>
            <w:r>
              <w:rPr>
                <w:b/>
                <w:sz w:val="20"/>
              </w:rPr>
              <w:t xml:space="preserve">RAG</w:t>
            </w:r>
          </w:p>
        </w:tc>
        <w:tc>
          <w:tcPr>
            <w:tcW w:w="7000" w:type="dxa"/>
          </w:tcPr>
          <w:p>
            <w:r>
              <w:rPr>
                <w:sz w:val="20"/>
              </w:rPr>
              <w:t xml:space="preserve">Retrieval-Augmented Generation — generación aumentada por recuperación.</w:t>
            </w:r>
          </w:p>
        </w:tc>
      </w:tr>
      <w:tr>
        <w:tc>
          <w:tcPr>
            <w:tcW w:w="1800" w:type="dxa"/>
          </w:tcPr>
          <w:p>
            <w:r>
              <w:rPr>
                <w:b/>
                <w:sz w:val="20"/>
              </w:rPr>
              <w:t xml:space="preserve">RAM</w:t>
            </w:r>
          </w:p>
        </w:tc>
        <w:tc>
          <w:tcPr>
            <w:tcW w:w="7000" w:type="dxa"/>
          </w:tcPr>
          <w:p>
            <w:r>
              <w:rPr>
                <w:sz w:val="20"/>
              </w:rPr>
              <w:t xml:space="preserve">Random Access Memory.</w:t>
            </w:r>
          </w:p>
        </w:tc>
      </w:tr>
      <w:tr>
        <w:tc>
          <w:tcPr>
            <w:tcW w:w="1800" w:type="dxa"/>
          </w:tcPr>
          <w:p>
            <w:r>
              <w:rPr>
                <w:b/>
                <w:sz w:val="20"/>
              </w:rPr>
              <w:t xml:space="preserve">RDF</w:t>
            </w:r>
          </w:p>
        </w:tc>
        <w:tc>
          <w:tcPr>
            <w:tcW w:w="7000" w:type="dxa"/>
          </w:tcPr>
          <w:p>
            <w:r>
              <w:rPr>
                <w:sz w:val="20"/>
              </w:rPr>
              <w:t xml:space="preserve">Resource Description Framework (W3C).</w:t>
            </w:r>
          </w:p>
        </w:tc>
      </w:tr>
      <w:tr>
        <w:tc>
          <w:tcPr>
            <w:tcW w:w="1800" w:type="dxa"/>
          </w:tcPr>
          <w:p>
            <w:r>
              <w:rPr>
                <w:b/>
                <w:sz w:val="20"/>
              </w:rPr>
              <w:t xml:space="preserve">RDF/XML</w:t>
            </w:r>
          </w:p>
        </w:tc>
        <w:tc>
          <w:tcPr>
            <w:tcW w:w="7000" w:type="dxa"/>
          </w:tcPr>
          <w:p>
            <w:r>
              <w:rPr>
                <w:sz w:val="20"/>
              </w:rPr>
              <w:t xml:space="preserve">Serialización XML de RDF.</w:t>
            </w:r>
          </w:p>
        </w:tc>
      </w:tr>
      <w:tr>
        <w:tc>
          <w:tcPr>
            <w:tcW w:w="1800" w:type="dxa"/>
          </w:tcPr>
          <w:p>
            <w:r>
              <w:rPr>
                <w:b/>
                <w:sz w:val="20"/>
              </w:rPr>
              <w:t xml:space="preserve">rdflib</w:t>
            </w:r>
          </w:p>
        </w:tc>
        <w:tc>
          <w:tcPr>
            <w:tcW w:w="7000" w:type="dxa"/>
          </w:tcPr>
          <w:p>
            <w:r>
              <w:rPr>
                <w:sz w:val="20"/>
              </w:rPr>
              <w:t xml:space="preserve">Biblioteca Python para manipular grafos RDF.</w:t>
            </w:r>
          </w:p>
        </w:tc>
      </w:tr>
      <w:tr>
        <w:tc>
          <w:tcPr>
            <w:tcW w:w="1800" w:type="dxa"/>
          </w:tcPr>
          <w:p>
            <w:r>
              <w:rPr>
                <w:b/>
                <w:sz w:val="20"/>
              </w:rPr>
              <w:t xml:space="preserve">RDFS</w:t>
            </w:r>
          </w:p>
        </w:tc>
        <w:tc>
          <w:tcPr>
            <w:tcW w:w="7000" w:type="dxa"/>
          </w:tcPr>
          <w:p>
            <w:r>
              <w:rPr>
                <w:sz w:val="20"/>
              </w:rPr>
              <w:t xml:space="preserve">RDF Schema (W3C).</w:t>
            </w:r>
          </w:p>
        </w:tc>
      </w:tr>
      <w:tr>
        <w:tc>
          <w:tcPr>
            <w:tcW w:w="1800" w:type="dxa"/>
          </w:tcPr>
          <w:p>
            <w:r>
              <w:rPr>
                <w:b/>
                <w:sz w:val="20"/>
              </w:rPr>
              <w:t xml:space="preserve">RROnto</w:t>
            </w:r>
          </w:p>
        </w:tc>
        <w:tc>
          <w:tcPr>
            <w:tcW w:w="7000" w:type="dxa"/>
          </w:tcPr>
          <w:p>
            <w:r>
              <w:rPr>
                <w:sz w:val="20"/>
              </w:rPr>
              <w:t xml:space="preserve">Relationship Richness Ontology (métrica OQuaRE).</w:t>
            </w:r>
          </w:p>
        </w:tc>
      </w:tr>
      <w:tr>
        <w:tc>
          <w:tcPr>
            <w:tcW w:w="1800" w:type="dxa"/>
          </w:tcPr>
          <w:p>
            <w:r>
              <w:rPr>
                <w:b/>
                <w:sz w:val="20"/>
              </w:rPr>
              <w:t xml:space="preserve">SERP</w:t>
            </w:r>
          </w:p>
        </w:tc>
        <w:tc>
          <w:tcPr>
            <w:tcW w:w="7000" w:type="dxa"/>
          </w:tcPr>
          <w:p>
            <w:r>
              <w:rPr>
                <w:sz w:val="20"/>
              </w:rPr>
              <w:t xml:space="preserve">Search Engine Results Page.</w:t>
            </w:r>
          </w:p>
        </w:tc>
      </w:tr>
      <w:tr>
        <w:tc>
          <w:tcPr>
            <w:tcW w:w="1800" w:type="dxa"/>
          </w:tcPr>
          <w:p>
            <w:r>
              <w:rPr>
                <w:b/>
                <w:sz w:val="20"/>
              </w:rPr>
              <w:t xml:space="preserve">SHA-256</w:t>
            </w:r>
          </w:p>
        </w:tc>
        <w:tc>
          <w:tcPr>
            <w:tcW w:w="7000" w:type="dxa"/>
          </w:tcPr>
          <w:p>
            <w:r>
              <w:rPr>
                <w:sz w:val="20"/>
              </w:rPr>
              <w:t xml:space="preserve">Secure Hash Algorithm de 256 bits.</w:t>
            </w:r>
          </w:p>
        </w:tc>
      </w:tr>
      <w:tr>
        <w:tc>
          <w:tcPr>
            <w:tcW w:w="1800" w:type="dxa"/>
          </w:tcPr>
          <w:p>
            <w:r>
              <w:rPr>
                <w:b/>
                <w:sz w:val="20"/>
              </w:rPr>
              <w:t xml:space="preserve">SHACL</w:t>
            </w:r>
          </w:p>
        </w:tc>
        <w:tc>
          <w:tcPr>
            <w:tcW w:w="7000" w:type="dxa"/>
          </w:tcPr>
          <w:p>
            <w:r>
              <w:rPr>
                <w:sz w:val="20"/>
              </w:rPr>
              <w:t xml:space="preserve">Shapes Constraint Language (W3C).</w:t>
            </w:r>
          </w:p>
        </w:tc>
      </w:tr>
      <w:tr>
        <w:tc>
          <w:tcPr>
            <w:tcW w:w="1800" w:type="dxa"/>
          </w:tcPr>
          <w:p>
            <w:r>
              <w:rPr>
                <w:b/>
                <w:sz w:val="20"/>
              </w:rPr>
              <w:t xml:space="preserve">SPARQL</w:t>
            </w:r>
          </w:p>
        </w:tc>
        <w:tc>
          <w:tcPr>
            <w:tcW w:w="7000" w:type="dxa"/>
          </w:tcPr>
          <w:p>
            <w:r>
              <w:rPr>
                <w:sz w:val="20"/>
              </w:rPr>
              <w:t xml:space="preserve">SPARQL Protocol And RDF Query Language.</w:t>
            </w:r>
          </w:p>
        </w:tc>
      </w:tr>
      <w:tr>
        <w:tc>
          <w:tcPr>
            <w:tcW w:w="1800" w:type="dxa"/>
          </w:tcPr>
          <w:p>
            <w:r>
              <w:rPr>
                <w:b/>
                <w:sz w:val="20"/>
              </w:rPr>
              <w:t xml:space="preserve">SQuaRE</w:t>
            </w:r>
          </w:p>
        </w:tc>
        <w:tc>
          <w:tcPr>
            <w:tcW w:w="7000" w:type="dxa"/>
          </w:tcPr>
          <w:p>
            <w:r>
              <w:rPr>
                <w:sz w:val="20"/>
              </w:rPr>
              <w:t xml:space="preserve">Systems and software Quality Requirements and Evaluation (ISO/IEC 25000).</w:t>
            </w:r>
          </w:p>
        </w:tc>
      </w:tr>
      <w:tr>
        <w:tc>
          <w:tcPr>
            <w:tcW w:w="1800" w:type="dxa"/>
          </w:tcPr>
          <w:p>
            <w:r>
              <w:rPr>
                <w:b/>
                <w:sz w:val="20"/>
              </w:rPr>
              <w:t xml:space="preserve">TBox</w:t>
            </w:r>
          </w:p>
        </w:tc>
        <w:tc>
          <w:tcPr>
            <w:tcW w:w="7000" w:type="dxa"/>
          </w:tcPr>
          <w:p>
            <w:r>
              <w:rPr>
                <w:sz w:val="20"/>
              </w:rPr>
              <w:t xml:space="preserve">Terminological Box — clases y propiedades en una ontología.</w:t>
            </w:r>
          </w:p>
        </w:tc>
      </w:tr>
      <w:tr>
        <w:tc>
          <w:tcPr>
            <w:tcW w:w="1800" w:type="dxa"/>
          </w:tcPr>
          <w:p>
            <w:r>
              <w:rPr>
                <w:b/>
                <w:sz w:val="20"/>
              </w:rPr>
              <w:t xml:space="preserve">TF</w:t>
            </w:r>
          </w:p>
        </w:tc>
        <w:tc>
          <w:tcPr>
            <w:tcW w:w="7000" w:type="dxa"/>
          </w:tcPr>
          <w:p>
            <w:r>
              <w:rPr>
                <w:sz w:val="20"/>
              </w:rPr>
              <w:t xml:space="preserve">Transcription Factor (factor de transcripción).</w:t>
            </w:r>
          </w:p>
        </w:tc>
      </w:tr>
      <w:tr>
        <w:tc>
          <w:tcPr>
            <w:tcW w:w="1800" w:type="dxa"/>
          </w:tcPr>
          <w:p>
            <w:r>
              <w:rPr>
                <w:b/>
                <w:sz w:val="20"/>
              </w:rPr>
              <w:t xml:space="preserve">TFM</w:t>
            </w:r>
          </w:p>
        </w:tc>
        <w:tc>
          <w:tcPr>
            <w:tcW w:w="7000" w:type="dxa"/>
          </w:tcPr>
          <w:p>
            <w:r>
              <w:rPr>
                <w:sz w:val="20"/>
              </w:rPr>
              <w:t xml:space="preserve">Trabajo Fin de Máster.</w:t>
            </w:r>
          </w:p>
        </w:tc>
      </w:tr>
      <w:tr>
        <w:tc>
          <w:tcPr>
            <w:tcW w:w="1800" w:type="dxa"/>
          </w:tcPr>
          <w:p>
            <w:r>
              <w:rPr>
                <w:b/>
                <w:sz w:val="20"/>
              </w:rPr>
              <w:t xml:space="preserve">TMOnto</w:t>
            </w:r>
          </w:p>
        </w:tc>
        <w:tc>
          <w:tcPr>
            <w:tcW w:w="7000" w:type="dxa"/>
          </w:tcPr>
          <w:p>
            <w:r>
              <w:rPr>
                <w:sz w:val="20"/>
              </w:rPr>
              <w:t xml:space="preserve">Tangledness Modularity Ontology (métrica OQuaRE).</w:t>
            </w:r>
          </w:p>
        </w:tc>
      </w:tr>
      <w:tr>
        <w:tc>
          <w:tcPr>
            <w:tcW w:w="1800" w:type="dxa"/>
          </w:tcPr>
          <w:p>
            <w:r>
              <w:rPr>
                <w:b/>
                <w:sz w:val="20"/>
              </w:rPr>
              <w:t xml:space="preserve">TSS</w:t>
            </w:r>
          </w:p>
        </w:tc>
        <w:tc>
          <w:tcPr>
            <w:tcW w:w="7000" w:type="dxa"/>
          </w:tcPr>
          <w:p>
            <w:r>
              <w:rPr>
                <w:sz w:val="20"/>
              </w:rPr>
              <w:t xml:space="preserve">Transcription Start Site.</w:t>
            </w:r>
          </w:p>
        </w:tc>
      </w:tr>
      <w:tr>
        <w:tc>
          <w:tcPr>
            <w:tcW w:w="1800" w:type="dxa"/>
          </w:tcPr>
          <w:p>
            <w:r>
              <w:rPr>
                <w:b/>
                <w:sz w:val="20"/>
              </w:rPr>
              <w:t xml:space="preserve">TSV</w:t>
            </w:r>
          </w:p>
        </w:tc>
        <w:tc>
          <w:tcPr>
            <w:tcW w:w="7000" w:type="dxa"/>
          </w:tcPr>
          <w:p>
            <w:r>
              <w:rPr>
                <w:sz w:val="20"/>
              </w:rPr>
              <w:t xml:space="preserve">Tab-Separated Values.</w:t>
            </w:r>
          </w:p>
        </w:tc>
      </w:tr>
      <w:tr>
        <w:tc>
          <w:tcPr>
            <w:tcW w:w="1800" w:type="dxa"/>
          </w:tcPr>
          <w:p>
            <w:r>
              <w:rPr>
                <w:b/>
                <w:sz w:val="20"/>
              </w:rPr>
              <w:t xml:space="preserve">TTL</w:t>
            </w:r>
          </w:p>
        </w:tc>
        <w:tc>
          <w:tcPr>
            <w:tcW w:w="7000" w:type="dxa"/>
          </w:tcPr>
          <w:p>
            <w:r>
              <w:rPr>
                <w:sz w:val="20"/>
              </w:rPr>
              <w:t xml:space="preserve">Turtle — Terse RDF Triple Language.</w:t>
            </w:r>
          </w:p>
        </w:tc>
      </w:tr>
      <w:tr>
        <w:tc>
          <w:tcPr>
            <w:tcW w:w="1800" w:type="dxa"/>
          </w:tcPr>
          <w:p>
            <w:r>
              <w:rPr>
                <w:b/>
                <w:sz w:val="20"/>
              </w:rPr>
              <w:t xml:space="preserve">UMU</w:t>
            </w:r>
          </w:p>
        </w:tc>
        <w:tc>
          <w:tcPr>
            <w:tcW w:w="7000" w:type="dxa"/>
          </w:tcPr>
          <w:p>
            <w:r>
              <w:rPr>
                <w:sz w:val="20"/>
              </w:rPr>
              <w:t xml:space="preserve">Universidad de Murcia.</w:t>
            </w:r>
          </w:p>
        </w:tc>
      </w:tr>
      <w:tr>
        <w:tc>
          <w:tcPr>
            <w:tcW w:w="1800" w:type="dxa"/>
          </w:tcPr>
          <w:p>
            <w:r>
              <w:rPr>
                <w:b/>
                <w:sz w:val="20"/>
              </w:rPr>
              <w:t xml:space="preserve">URI</w:t>
            </w:r>
          </w:p>
        </w:tc>
        <w:tc>
          <w:tcPr>
            <w:tcW w:w="7000" w:type="dxa"/>
          </w:tcPr>
          <w:p>
            <w:r>
              <w:rPr>
                <w:sz w:val="20"/>
              </w:rPr>
              <w:t xml:space="preserve">Uniform Resource Identifier.</w:t>
            </w:r>
          </w:p>
        </w:tc>
      </w:tr>
      <w:tr>
        <w:tc>
          <w:tcPr>
            <w:tcW w:w="1800" w:type="dxa"/>
          </w:tcPr>
          <w:p>
            <w:r>
              <w:rPr>
                <w:b/>
                <w:sz w:val="20"/>
              </w:rPr>
              <w:t xml:space="preserve">WMCOnto</w:t>
            </w:r>
          </w:p>
        </w:tc>
        <w:tc>
          <w:tcPr>
            <w:tcW w:w="7000" w:type="dxa"/>
          </w:tcPr>
          <w:p>
            <w:r>
              <w:rPr>
                <w:sz w:val="20"/>
              </w:rPr>
              <w:t xml:space="preserve">Weighted Methods Count Ontology (métrica OQuaRE).</w:t>
            </w:r>
          </w:p>
        </w:tc>
      </w:tr>
      <w:tr>
        <w:tc>
          <w:tcPr>
            <w:tcW w:w="1800" w:type="dxa"/>
          </w:tcPr>
          <w:p>
            <w:r>
              <w:rPr>
                <w:b/>
                <w:sz w:val="20"/>
              </w:rPr>
              <w:t xml:space="preserve">XSD</w:t>
            </w:r>
          </w:p>
        </w:tc>
        <w:tc>
          <w:tcPr>
            <w:tcW w:w="7000" w:type="dxa"/>
          </w:tcPr>
          <w:p>
            <w:r>
              <w:rPr>
                <w:sz w:val="20"/>
              </w:rPr>
              <w:t xml:space="preserve">XML Schema Definition.</w:t>
            </w:r>
          </w:p>
        </w:tc>
      </w:tr>
    </w:tbl>
    <w:p>
      <w:pPr>
        <w:spacing w:after="120"/>
      </w:pPr>
      <w:r>
        <w:rPr>
          <w:i/>
          <w:sz w:val="20"/>
        </w:rPr>
        <w:t xml:space="preserve">Las métricas OQuaRE incluidas (WMCOnto, NOMOnto, DITM, NACOnto, CBOnto, TMOnto, LCOMOnto, ANOnto, INROnto, RROnto y AROnto) se documentan con su rúbrica completa en la Tabla 12 del cuerpo de la memoria.</w:t>
      </w:r>
    </w:p>
    <w:sectPr w:rsidR="00FC693F" w:rsidRPr="0006063C" w:rsidSect="00034616">
      <w:headerReference w:type="default" r:id="rId21"/>
      <w:footerReference w:type="default" r:id="rId22"/>
      <w:headerReference w:type="first" r:id="rId23"/>
      <w:footerReference w:type="first" r:id="rId24"/>
      <w:headerReference w:type="even" r:id="rId25"/>
      <w:footerReference w:type="even" r:id="rId2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72C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header" Target="header1.xml"/><Relationship Id="rId22" Type="http://schemas.openxmlformats.org/officeDocument/2006/relationships/footer" Target="footer1.xml"/><Relationship Id="rId23" Type="http://schemas.openxmlformats.org/officeDocument/2006/relationships/header" Target="header2.xml"/><Relationship Id="rId24" Type="http://schemas.openxmlformats.org/officeDocument/2006/relationships/footer" Target="footer2.xml"/><Relationship Id="rId25" Type="http://schemas.openxmlformats.org/officeDocument/2006/relationships/header" Target="header3.xml"/><Relationship Id="rId2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