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AB626" w14:textId="77777777" w:rsidR="00A75F18" w:rsidRDefault="00A75F18">
      <w:pPr>
        <w:spacing w:after="1200"/>
      </w:pPr>
    </w:p>
    <w:p w14:paraId="2FDA80BC" w14:textId="77777777" w:rsidR="00A75F18" w:rsidRDefault="00137170">
      <w:pPr>
        <w:spacing w:after="200"/>
        <w:jc w:val="center"/>
      </w:pPr>
      <w:r>
        <w:rPr>
          <w:b/>
          <w:bCs/>
          <w:color w:val="1D4ED8"/>
          <w:sz w:val="44"/>
          <w:szCs w:val="44"/>
        </w:rPr>
        <w:t>RAPPORT D'ANALYSE STATISTIQUE</w:t>
      </w:r>
    </w:p>
    <w:p w14:paraId="6C897739" w14:textId="77777777" w:rsidR="00A75F18" w:rsidRDefault="00137170">
      <w:pPr>
        <w:spacing w:after="800"/>
        <w:jc w:val="center"/>
      </w:pPr>
      <w:r>
        <w:rPr>
          <w:color w:val="666666"/>
          <w:sz w:val="28"/>
          <w:szCs w:val="28"/>
        </w:rPr>
        <w:t>Étude comparative Placebo vs Traitements A, B et C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</w:tblGrid>
      <w:tr w:rsidR="00A75F18" w14:paraId="0831B9E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FB81F" w14:textId="77777777" w:rsidR="00A75F18" w:rsidRDefault="00137170">
            <w:r>
              <w:rPr>
                <w:b/>
                <w:bCs/>
              </w:rPr>
              <w:t>Type d'étude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76531" w14:textId="77777777" w:rsidR="00A75F18" w:rsidRDefault="00137170">
            <w:r>
              <w:t>Essai clinique, 4 bras (Placebo, A, B, C)</w:t>
            </w:r>
          </w:p>
        </w:tc>
      </w:tr>
      <w:tr w:rsidR="00A75F18" w14:paraId="73385A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4C59A" w14:textId="77777777" w:rsidR="00A75F18" w:rsidRDefault="00137170">
            <w:r>
              <w:rPr>
                <w:b/>
                <w:bCs/>
              </w:rPr>
              <w:t>Population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D8F1F" w14:textId="77777777" w:rsidR="00A75F18" w:rsidRDefault="00137170">
            <w:r>
              <w:t>180 patients, 3 centres</w:t>
            </w:r>
          </w:p>
        </w:tc>
      </w:tr>
      <w:tr w:rsidR="00A75F18" w14:paraId="673F66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789B9" w14:textId="77777777" w:rsidR="00A75F18" w:rsidRDefault="00137170">
            <w:r>
              <w:rPr>
                <w:b/>
                <w:bCs/>
              </w:rPr>
              <w:t>Critère principal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B739E" w14:textId="77777777" w:rsidR="00A75F18" w:rsidRDefault="00137170">
            <w:r>
              <w:t>Variation du biomarqueur entre J0 et J28</w:t>
            </w:r>
          </w:p>
        </w:tc>
      </w:tr>
      <w:tr w:rsidR="00A75F18" w14:paraId="51199C4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9C210" w14:textId="77777777" w:rsidR="00A75F18" w:rsidRDefault="00137170">
            <w:r>
              <w:rPr>
                <w:b/>
                <w:bCs/>
              </w:rPr>
              <w:t>Analyste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69E74" w14:textId="77777777" w:rsidR="00A75F18" w:rsidRDefault="00137170">
            <w:r>
              <w:t>Safa Berraies</w:t>
            </w:r>
          </w:p>
        </w:tc>
      </w:tr>
      <w:tr w:rsidR="00A75F18" w14:paraId="3D72AE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D75AF" w14:textId="77777777" w:rsidR="00A75F18" w:rsidRDefault="00137170">
            <w:r>
              <w:rPr>
                <w:b/>
                <w:bCs/>
              </w:rPr>
              <w:t>Date du rapport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89A41" w14:textId="77777777" w:rsidR="00A75F18" w:rsidRDefault="00137170">
            <w:r>
              <w:t>19 septembre 2026</w:t>
            </w:r>
          </w:p>
        </w:tc>
      </w:tr>
      <w:tr w:rsidR="00A75F18" w14:paraId="0C2DBE2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D9992" w14:textId="77777777" w:rsidR="00A75F18" w:rsidRDefault="00137170">
            <w:r>
              <w:rPr>
                <w:b/>
                <w:bCs/>
              </w:rPr>
              <w:t>Statut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9617D" w14:textId="77777777" w:rsidR="00A75F18" w:rsidRDefault="00137170">
            <w:r>
              <w:t>Confidentiel — usage interne</w:t>
            </w:r>
          </w:p>
        </w:tc>
      </w:tr>
    </w:tbl>
    <w:p w14:paraId="51E55595" w14:textId="77777777" w:rsidR="00A75F18" w:rsidRDefault="00137170">
      <w:r>
        <w:br w:type="page"/>
      </w:r>
    </w:p>
    <w:p w14:paraId="6611066D" w14:textId="77777777" w:rsidR="00A75F18" w:rsidRDefault="00137170">
      <w:pPr>
        <w:pStyle w:val="Titre1"/>
        <w:spacing w:before="360" w:after="160"/>
      </w:pPr>
      <w:r>
        <w:lastRenderedPageBreak/>
        <w:t>1. Résumé exécutif</w:t>
      </w:r>
    </w:p>
    <w:p w14:paraId="36306082" w14:textId="77777777" w:rsidR="00A75F18" w:rsidRDefault="00137170">
      <w:pPr>
        <w:spacing w:after="140"/>
      </w:pPr>
      <w:r>
        <w:t>Cette étude a comparé, chez 180 patients répartis sur 3 centres, l'effet d'un placebo et de trois traitements actifs (A, B, C) sur un biomarqueur mesuré avant traitement (J0) et après 28 jours (J28). Les trois traitements réduisent significativement le bio</w:t>
      </w:r>
      <w:r>
        <w:t>marqueur par rapport au placebo, avec un effet croissant de A à C, et un profil de tolérance qui se dégrade dans le même ordre.</w:t>
      </w:r>
    </w:p>
    <w:p w14:paraId="78F33E0E" w14:textId="77777777" w:rsidR="00A75F18" w:rsidRDefault="00137170">
      <w:pPr>
        <w:pStyle w:val="Titre3"/>
        <w:spacing w:before="180" w:after="90"/>
      </w:pPr>
      <w:r>
        <w:t>Points clés</w:t>
      </w:r>
    </w:p>
    <w:p w14:paraId="26A08F55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rPr>
          <w:b/>
          <w:bCs/>
        </w:rPr>
        <w:t xml:space="preserve">Efficacité globale : </w:t>
      </w:r>
      <w:r>
        <w:t>le biomarqueur diminue significativement après traitement, tous groupes confondus (p &lt; 0,001).</w:t>
      </w:r>
    </w:p>
    <w:p w14:paraId="78A7673F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rPr>
          <w:b/>
          <w:bCs/>
        </w:rPr>
        <w:t xml:space="preserve">Effet dose-réponse : </w:t>
      </w:r>
      <w:r>
        <w:t>le Traitement C obtient la meilleure réponse (89,4 % de répondeurs) et la plus forte baisse du biomarqueur, suivi de B (78,3 %) puis A (54,8 %), contre 40,0 % sous Placebo.</w:t>
      </w:r>
    </w:p>
    <w:p w14:paraId="4930E501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rPr>
          <w:b/>
          <w:bCs/>
        </w:rPr>
        <w:t xml:space="preserve">Significativité : </w:t>
      </w:r>
      <w:r>
        <w:t>la différence entre traitements est statisti</w:t>
      </w:r>
      <w:r>
        <w:t>quement significative (p &lt; 0,001) ; seule la différence Placebo vs Traitement A reste à la limite de la significativité après correction pour comparaisons multiples.</w:t>
      </w:r>
    </w:p>
    <w:p w14:paraId="73CE40C9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rPr>
          <w:b/>
          <w:bCs/>
        </w:rPr>
        <w:t xml:space="preserve">Tolérance : </w:t>
      </w:r>
      <w:r>
        <w:t>les effets indésirables augmentent avec la puissance du traitement, de 7,1 % (</w:t>
      </w:r>
      <w:r>
        <w:t>A) à 34,1 % (C), et sont associés à une dose plus élevée.</w:t>
      </w:r>
    </w:p>
    <w:p w14:paraId="4A984EAA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rPr>
          <w:b/>
          <w:bCs/>
        </w:rPr>
        <w:t xml:space="preserve">Comparabilité des groupes : </w:t>
      </w:r>
      <w:r>
        <w:t>aucune différence significative d'âge, de sexe, de répartition par centre ou de biomarqueur de départ entre les 4 groupes — la comparaison entre traitements n'est donc pas biaisée par un déséquilibre initial.</w:t>
      </w:r>
    </w:p>
    <w:p w14:paraId="500E9C1C" w14:textId="77777777" w:rsidR="00A75F18" w:rsidRDefault="00137170">
      <w:pPr>
        <w:pStyle w:val="Titre1"/>
        <w:spacing w:before="360" w:after="160"/>
      </w:pPr>
      <w:r>
        <w:t>2. Contexte et objectifs</w:t>
      </w:r>
    </w:p>
    <w:p w14:paraId="5B87BB88" w14:textId="77777777" w:rsidR="00A75F18" w:rsidRDefault="00137170">
      <w:pPr>
        <w:spacing w:after="140"/>
      </w:pPr>
      <w:r>
        <w:t>L'objectif de cette an</w:t>
      </w:r>
      <w:r>
        <w:t>alyse est d'évaluer l'efficacité et la tolérance de trois traitements expérimentaux (A, B, C) par rapport à un placebo, sur la base d'un biomarqueur mesuré à l'inclusion (J0) et après 28 jours de traitement (J28). L'analyse vise à répondre à trois question</w:t>
      </w:r>
      <w:r>
        <w:t>s :</w:t>
      </w:r>
    </w:p>
    <w:p w14:paraId="013236B0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t>Le traitement fait-il baisser le biomarqueur de façon statistiquement significative ?</w:t>
      </w:r>
    </w:p>
    <w:p w14:paraId="7E68AF16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t>Existe-t-il une différence d'efficacité entre les trois traitements ?</w:t>
      </w:r>
    </w:p>
    <w:p w14:paraId="1111E531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t>Le profil de tolérance (effets indésirables) est-il acceptable au regard du bénéfice observé ?</w:t>
      </w:r>
    </w:p>
    <w:p w14:paraId="7692541A" w14:textId="77777777" w:rsidR="00A75F18" w:rsidRDefault="00137170">
      <w:pPr>
        <w:pStyle w:val="Titre1"/>
        <w:spacing w:before="360" w:after="160"/>
      </w:pPr>
      <w:r>
        <w:t>3</w:t>
      </w:r>
      <w:r>
        <w:t>. Méthodologie</w:t>
      </w:r>
    </w:p>
    <w:p w14:paraId="66B15856" w14:textId="77777777" w:rsidR="00A75F18" w:rsidRDefault="00137170">
      <w:pPr>
        <w:pStyle w:val="Titre2"/>
        <w:spacing w:before="260" w:after="120"/>
      </w:pPr>
      <w:r>
        <w:t>3.1 Population et données</w:t>
      </w:r>
    </w:p>
    <w:p w14:paraId="3C96D4DA" w14:textId="77777777" w:rsidR="00A75F18" w:rsidRDefault="00137170">
      <w:pPr>
        <w:spacing w:after="140"/>
      </w:pPr>
      <w:r>
        <w:t>Les données proviennent d'un export brut de base clinique (3 centres : CHU Nice, CHU Marseille, CH Lyon Sud), nettoyé préalablement (harmonisation des formats de dates, des unités, des catégories, suppression des do</w:t>
      </w:r>
      <w:r>
        <w:t>ublons et des lignes vides). Après nettoyage, la base comporte 180 patients.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1800"/>
      </w:tblGrid>
      <w:tr w:rsidR="00A75F18" w14:paraId="59BE57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08179" w14:textId="77777777" w:rsidR="00A75F18" w:rsidRDefault="0013717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800" w:type="dxa"/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39D01" w14:textId="77777777" w:rsidR="00A75F18" w:rsidRDefault="00137170">
            <w:r>
              <w:rPr>
                <w:b/>
                <w:bCs/>
                <w:color w:val="FFFFFF"/>
              </w:rPr>
              <w:t>Effectif manquant</w:t>
            </w:r>
          </w:p>
        </w:tc>
        <w:tc>
          <w:tcPr>
            <w:tcW w:w="1800" w:type="dxa"/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B02FB" w14:textId="77777777" w:rsidR="00A75F18" w:rsidRDefault="00137170">
            <w:r>
              <w:rPr>
                <w:b/>
                <w:bCs/>
                <w:color w:val="FFFFFF"/>
              </w:rPr>
              <w:t>% manquant</w:t>
            </w:r>
          </w:p>
        </w:tc>
      </w:tr>
      <w:tr w:rsidR="00A75F18" w14:paraId="00EC70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9A1FD" w14:textId="77777777" w:rsidR="00A75F18" w:rsidRDefault="00137170">
            <w:r>
              <w:t>Âge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8520F" w14:textId="77777777" w:rsidR="00A75F18" w:rsidRDefault="00137170">
            <w:pPr>
              <w:jc w:val="center"/>
            </w:pPr>
            <w:r>
              <w:t>1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0D9B4" w14:textId="77777777" w:rsidR="00A75F18" w:rsidRDefault="00137170">
            <w:pPr>
              <w:jc w:val="center"/>
            </w:pPr>
            <w:r>
              <w:t>0,6 %</w:t>
            </w:r>
          </w:p>
        </w:tc>
      </w:tr>
      <w:tr w:rsidR="00A75F18" w14:paraId="633C80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5B1F9" w14:textId="77777777" w:rsidR="00A75F18" w:rsidRDefault="00137170">
            <w:r>
              <w:t>Dose administrée</w:t>
            </w:r>
          </w:p>
        </w:tc>
        <w:tc>
          <w:tcPr>
            <w:tcW w:w="18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96218" w14:textId="77777777" w:rsidR="00A75F18" w:rsidRDefault="00137170">
            <w:pPr>
              <w:jc w:val="center"/>
            </w:pPr>
            <w:r>
              <w:t>4</w:t>
            </w:r>
          </w:p>
        </w:tc>
        <w:tc>
          <w:tcPr>
            <w:tcW w:w="18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50063" w14:textId="77777777" w:rsidR="00A75F18" w:rsidRDefault="00137170">
            <w:pPr>
              <w:jc w:val="center"/>
            </w:pPr>
            <w:r>
              <w:t>2,2 %</w:t>
            </w:r>
          </w:p>
        </w:tc>
      </w:tr>
      <w:tr w:rsidR="00A75F18" w14:paraId="772A8C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134DB" w14:textId="77777777" w:rsidR="00A75F18" w:rsidRDefault="00137170">
            <w:r>
              <w:t>Biomarqueur J28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57E63" w14:textId="77777777" w:rsidR="00A75F18" w:rsidRDefault="00137170">
            <w:pPr>
              <w:jc w:val="center"/>
            </w:pPr>
            <w:r>
              <w:t>3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E8B16" w14:textId="77777777" w:rsidR="00A75F18" w:rsidRDefault="00137170">
            <w:pPr>
              <w:jc w:val="center"/>
            </w:pPr>
            <w:r>
              <w:t>1,7 %</w:t>
            </w:r>
          </w:p>
        </w:tc>
      </w:tr>
      <w:tr w:rsidR="00A75F18" w14:paraId="2E2EF0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79A91" w14:textId="77777777" w:rsidR="00A75F18" w:rsidRDefault="00137170">
            <w:r>
              <w:t>Effet indésirable</w:t>
            </w:r>
          </w:p>
        </w:tc>
        <w:tc>
          <w:tcPr>
            <w:tcW w:w="18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17249" w14:textId="77777777" w:rsidR="00A75F18" w:rsidRDefault="00137170">
            <w:pPr>
              <w:jc w:val="center"/>
            </w:pPr>
            <w:r>
              <w:t>7</w:t>
            </w:r>
          </w:p>
        </w:tc>
        <w:tc>
          <w:tcPr>
            <w:tcW w:w="18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A2A8B" w14:textId="77777777" w:rsidR="00A75F18" w:rsidRDefault="00137170">
            <w:pPr>
              <w:jc w:val="center"/>
            </w:pPr>
            <w:r>
              <w:t>3,9 %</w:t>
            </w:r>
          </w:p>
        </w:tc>
      </w:tr>
    </w:tbl>
    <w:p w14:paraId="59BB656E" w14:textId="77777777" w:rsidR="00A75F18" w:rsidRDefault="00A75F18">
      <w:pPr>
        <w:spacing w:after="120"/>
      </w:pPr>
    </w:p>
    <w:p w14:paraId="052F16D7" w14:textId="77777777" w:rsidR="00A75F18" w:rsidRDefault="00137170">
      <w:pPr>
        <w:spacing w:after="140"/>
      </w:pPr>
      <w:r>
        <w:rPr>
          <w:i/>
          <w:iCs/>
          <w:color w:val="666666"/>
        </w:rPr>
        <w:t>Les valeurs manquantes ont été conservées comme telles (non imputées) ; les analyses concernées excluent les patients pour lesquels la variable d'intérêt est manquante.</w:t>
      </w:r>
    </w:p>
    <w:p w14:paraId="7A8BDC77" w14:textId="77777777" w:rsidR="00A75F18" w:rsidRDefault="00137170">
      <w:pPr>
        <w:pStyle w:val="Titre2"/>
        <w:spacing w:before="260" w:after="120"/>
      </w:pPr>
      <w:r>
        <w:t>3.2 Méthodes statistiques</w:t>
      </w:r>
    </w:p>
    <w:p w14:paraId="6295C16E" w14:textId="77777777" w:rsidR="00A75F18" w:rsidRDefault="00137170">
      <w:pPr>
        <w:spacing w:after="140"/>
      </w:pPr>
      <w:r>
        <w:t>Le seuil de significativité retenu est p &lt; 0,05. Le choix des</w:t>
      </w:r>
      <w:r>
        <w:t xml:space="preserve"> tests a suivi la logique suivante :</w:t>
      </w:r>
    </w:p>
    <w:p w14:paraId="262A9113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rPr>
          <w:b/>
          <w:bCs/>
        </w:rPr>
        <w:t xml:space="preserve">Normalité → </w:t>
      </w:r>
      <w:r>
        <w:t>test de Shapiro-Wilk, systématiquement vérifié avant le choix d'un test paramétrique.</w:t>
      </w:r>
    </w:p>
    <w:p w14:paraId="4A0C3FE6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rPr>
          <w:b/>
          <w:bCs/>
        </w:rPr>
        <w:lastRenderedPageBreak/>
        <w:t xml:space="preserve">Comparaison de 4 groupes indépendants (variable continue) → </w:t>
      </w:r>
      <w:r>
        <w:t>ANOVA (normalité et homogénéité des variances vérifiées par l</w:t>
      </w:r>
      <w:r>
        <w:t>e test de Levene), confirmée par un test de Kruskal-Wallis en analyse de sensibilité.</w:t>
      </w:r>
    </w:p>
    <w:p w14:paraId="52FC24A8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rPr>
          <w:b/>
          <w:bCs/>
        </w:rPr>
        <w:t xml:space="preserve">Comparaisons deux à deux (post-hoc) → </w:t>
      </w:r>
      <w:r>
        <w:t>tests de Mann-Whitney avec correction de Bonferroni pour comparaisons multiples (6 comparaisons).</w:t>
      </w:r>
    </w:p>
    <w:p w14:paraId="2E173386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rPr>
          <w:b/>
          <w:bCs/>
        </w:rPr>
        <w:t xml:space="preserve">Comparaison avant / après sur les </w:t>
      </w:r>
      <w:r>
        <w:rPr>
          <w:b/>
          <w:bCs/>
        </w:rPr>
        <w:t xml:space="preserve">mêmes patients → </w:t>
      </w:r>
      <w:r>
        <w:t>t-test apparié.</w:t>
      </w:r>
    </w:p>
    <w:p w14:paraId="4B206423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rPr>
          <w:b/>
          <w:bCs/>
        </w:rPr>
        <w:t xml:space="preserve">Association entre deux variables catégorielles → </w:t>
      </w:r>
      <w:r>
        <w:t>test du Chi² d'indépendance.</w:t>
      </w:r>
    </w:p>
    <w:p w14:paraId="34AE5EFE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rPr>
          <w:b/>
          <w:bCs/>
        </w:rPr>
        <w:t xml:space="preserve">Comparaison de 2 groupes indépendants (dose selon présence d'effet indésirable) → </w:t>
      </w:r>
      <w:r>
        <w:t>test de Mann-Whitney.</w:t>
      </w:r>
    </w:p>
    <w:p w14:paraId="207F0CAB" w14:textId="77777777" w:rsidR="00A75F18" w:rsidRDefault="00137170">
      <w:pPr>
        <w:pStyle w:val="Titre1"/>
        <w:spacing w:before="360" w:after="160"/>
      </w:pPr>
      <w:r>
        <w:t>4. Résultats</w:t>
      </w:r>
    </w:p>
    <w:p w14:paraId="4515C028" w14:textId="77777777" w:rsidR="00A75F18" w:rsidRDefault="00137170">
      <w:pPr>
        <w:pStyle w:val="Titre2"/>
        <w:spacing w:before="260" w:after="120"/>
      </w:pPr>
      <w:r>
        <w:t>4.1 Caractéristiques de la p</w:t>
      </w:r>
      <w:r>
        <w:t>opulation et comparabilité des groupes</w:t>
      </w:r>
    </w:p>
    <w:p w14:paraId="6E7995AC" w14:textId="77777777" w:rsidR="00A75F18" w:rsidRDefault="00137170">
      <w:pPr>
        <w:spacing w:after="140"/>
      </w:pPr>
      <w:r>
        <w:t>La répartition des patients est la suivante :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1800"/>
      </w:tblGrid>
      <w:tr w:rsidR="00A75F18" w14:paraId="4F3677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FCAD7" w14:textId="77777777" w:rsidR="00A75F18" w:rsidRDefault="00137170">
            <w:r>
              <w:rPr>
                <w:b/>
                <w:bCs/>
                <w:color w:val="FFFFFF"/>
              </w:rPr>
              <w:t>Groupe</w:t>
            </w:r>
          </w:p>
        </w:tc>
        <w:tc>
          <w:tcPr>
            <w:tcW w:w="1800" w:type="dxa"/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56E8C" w14:textId="77777777" w:rsidR="00A75F18" w:rsidRDefault="00137170">
            <w:r>
              <w:rPr>
                <w:b/>
                <w:bCs/>
                <w:color w:val="FFFFFF"/>
              </w:rPr>
              <w:t>Effectif</w:t>
            </w:r>
          </w:p>
        </w:tc>
        <w:tc>
          <w:tcPr>
            <w:tcW w:w="1800" w:type="dxa"/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EE5E7" w14:textId="77777777" w:rsidR="00A75F18" w:rsidRDefault="00137170">
            <w:r>
              <w:rPr>
                <w:b/>
                <w:bCs/>
                <w:color w:val="FFFFFF"/>
              </w:rPr>
              <w:t>% de l'échantillon</w:t>
            </w:r>
          </w:p>
        </w:tc>
      </w:tr>
      <w:tr w:rsidR="00A75F18" w14:paraId="0436CF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D00B9" w14:textId="77777777" w:rsidR="00A75F18" w:rsidRDefault="00137170">
            <w:r>
              <w:t>Placebo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1C2B3" w14:textId="77777777" w:rsidR="00A75F18" w:rsidRDefault="00137170">
            <w:pPr>
              <w:jc w:val="center"/>
            </w:pPr>
            <w:r>
              <w:t>45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732DB" w14:textId="77777777" w:rsidR="00A75F18" w:rsidRDefault="00137170">
            <w:pPr>
              <w:jc w:val="center"/>
            </w:pPr>
            <w:r>
              <w:t>25,0 %</w:t>
            </w:r>
          </w:p>
        </w:tc>
      </w:tr>
      <w:tr w:rsidR="00A75F18" w14:paraId="1253C9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825AF" w14:textId="77777777" w:rsidR="00A75F18" w:rsidRDefault="00137170">
            <w:r>
              <w:t>Traitement A</w:t>
            </w:r>
          </w:p>
        </w:tc>
        <w:tc>
          <w:tcPr>
            <w:tcW w:w="18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A8E61" w14:textId="77777777" w:rsidR="00A75F18" w:rsidRDefault="00137170">
            <w:pPr>
              <w:jc w:val="center"/>
            </w:pPr>
            <w:r>
              <w:t>42</w:t>
            </w:r>
          </w:p>
        </w:tc>
        <w:tc>
          <w:tcPr>
            <w:tcW w:w="18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4F6FA" w14:textId="77777777" w:rsidR="00A75F18" w:rsidRDefault="00137170">
            <w:pPr>
              <w:jc w:val="center"/>
            </w:pPr>
            <w:r>
              <w:t>23,3 %</w:t>
            </w:r>
          </w:p>
        </w:tc>
      </w:tr>
      <w:tr w:rsidR="00A75F18" w14:paraId="15B28B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84CCA" w14:textId="77777777" w:rsidR="00A75F18" w:rsidRDefault="00137170">
            <w:r>
              <w:t>Traitement B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6B30E" w14:textId="77777777" w:rsidR="00A75F18" w:rsidRDefault="00137170">
            <w:pPr>
              <w:jc w:val="center"/>
            </w:pPr>
            <w:r>
              <w:t>46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FF979" w14:textId="77777777" w:rsidR="00A75F18" w:rsidRDefault="00137170">
            <w:pPr>
              <w:jc w:val="center"/>
            </w:pPr>
            <w:r>
              <w:t>25,6 %</w:t>
            </w:r>
          </w:p>
        </w:tc>
      </w:tr>
      <w:tr w:rsidR="00A75F18" w14:paraId="00368F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0459C" w14:textId="77777777" w:rsidR="00A75F18" w:rsidRDefault="00137170">
            <w:r>
              <w:t>Traitement C</w:t>
            </w:r>
          </w:p>
        </w:tc>
        <w:tc>
          <w:tcPr>
            <w:tcW w:w="18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B6404" w14:textId="77777777" w:rsidR="00A75F18" w:rsidRDefault="00137170">
            <w:pPr>
              <w:jc w:val="center"/>
            </w:pPr>
            <w:r>
              <w:t>47</w:t>
            </w:r>
          </w:p>
        </w:tc>
        <w:tc>
          <w:tcPr>
            <w:tcW w:w="18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8A81F" w14:textId="77777777" w:rsidR="00A75F18" w:rsidRDefault="00137170">
            <w:pPr>
              <w:jc w:val="center"/>
            </w:pPr>
            <w:r>
              <w:t>26,1 %</w:t>
            </w:r>
          </w:p>
        </w:tc>
      </w:tr>
    </w:tbl>
    <w:p w14:paraId="4834533F" w14:textId="77777777" w:rsidR="00A75F18" w:rsidRDefault="00A75F18">
      <w:pPr>
        <w:spacing w:after="120"/>
      </w:pPr>
    </w:p>
    <w:p w14:paraId="1A6A63B8" w14:textId="77777777" w:rsidR="00A75F18" w:rsidRDefault="00137170">
      <w:pPr>
        <w:spacing w:after="140"/>
      </w:pPr>
      <w:r>
        <w:t>Répartition par centre : CHU Nice (81), CHU Marseille (69), CH Lyon Sud (30). Répartition par sexe : 96 femmes, 84 hommes.</w:t>
      </w:r>
    </w:p>
    <w:p w14:paraId="7E8044CF" w14:textId="77777777" w:rsidR="00A75F18" w:rsidRDefault="00137170">
      <w:pPr>
        <w:spacing w:after="140"/>
      </w:pPr>
      <w:r>
        <w:t>Avant de comparer les traitements entre eux, il est indispensable de vérifier que les 4 groupes étaient comparables à l'inclusion. Au</w:t>
      </w:r>
      <w:r>
        <w:t>cune différence significative n'a été observée :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400"/>
        <w:gridCol w:w="1600"/>
      </w:tblGrid>
      <w:tr w:rsidR="00A75F18" w14:paraId="7563B4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CB788" w14:textId="77777777" w:rsidR="00A75F18" w:rsidRDefault="00137170">
            <w:r>
              <w:rPr>
                <w:b/>
                <w:bCs/>
                <w:color w:val="FFFFFF"/>
              </w:rPr>
              <w:t>Comparaison à l'inclusion</w:t>
            </w:r>
          </w:p>
        </w:tc>
        <w:tc>
          <w:tcPr>
            <w:tcW w:w="1800" w:type="dxa"/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99979" w14:textId="77777777" w:rsidR="00A75F18" w:rsidRDefault="00137170">
            <w:r>
              <w:rPr>
                <w:b/>
                <w:bCs/>
                <w:color w:val="FFFFFF"/>
              </w:rPr>
              <w:t>Test</w:t>
            </w:r>
          </w:p>
        </w:tc>
        <w:tc>
          <w:tcPr>
            <w:tcW w:w="1400" w:type="dxa"/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19239" w14:textId="77777777" w:rsidR="00A75F18" w:rsidRDefault="00137170">
            <w:r>
              <w:rPr>
                <w:b/>
                <w:bCs/>
                <w:color w:val="FFFFFF"/>
              </w:rPr>
              <w:t>Résultat</w:t>
            </w:r>
          </w:p>
        </w:tc>
        <w:tc>
          <w:tcPr>
            <w:tcW w:w="1600" w:type="dxa"/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35152" w14:textId="77777777" w:rsidR="00A75F18" w:rsidRDefault="00137170">
            <w:r>
              <w:rPr>
                <w:b/>
                <w:bCs/>
                <w:color w:val="FFFFFF"/>
              </w:rPr>
              <w:t>Conclusion</w:t>
            </w:r>
          </w:p>
        </w:tc>
      </w:tr>
      <w:tr w:rsidR="00A75F18" w14:paraId="043BE7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26371" w14:textId="77777777" w:rsidR="00A75F18" w:rsidRDefault="00137170">
            <w:r>
              <w:t>Âge selon le groupe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D9554" w14:textId="77777777" w:rsidR="00A75F18" w:rsidRDefault="00137170">
            <w:pPr>
              <w:jc w:val="center"/>
            </w:pPr>
            <w:r>
              <w:t>Kruskal-Wallis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6A8F4" w14:textId="77777777" w:rsidR="00A75F18" w:rsidRDefault="00137170">
            <w:pPr>
              <w:jc w:val="center"/>
            </w:pPr>
            <w:r>
              <w:t>p = 0,358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C9924" w14:textId="77777777" w:rsidR="00A75F18" w:rsidRDefault="00137170">
            <w:pPr>
              <w:jc w:val="center"/>
            </w:pPr>
            <w:r>
              <w:t>Comparable</w:t>
            </w:r>
          </w:p>
        </w:tc>
      </w:tr>
      <w:tr w:rsidR="00A75F18" w14:paraId="5B6A24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1AE2F" w14:textId="77777777" w:rsidR="00A75F18" w:rsidRDefault="00137170">
            <w:r>
              <w:t>Sexe selon le groupe</w:t>
            </w:r>
          </w:p>
        </w:tc>
        <w:tc>
          <w:tcPr>
            <w:tcW w:w="18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3F85F" w14:textId="77777777" w:rsidR="00A75F18" w:rsidRDefault="00137170">
            <w:pPr>
              <w:jc w:val="center"/>
            </w:pPr>
            <w:r>
              <w:t>Chi²</w:t>
            </w:r>
          </w:p>
        </w:tc>
        <w:tc>
          <w:tcPr>
            <w:tcW w:w="14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C304D" w14:textId="77777777" w:rsidR="00A75F18" w:rsidRDefault="00137170">
            <w:pPr>
              <w:jc w:val="center"/>
            </w:pPr>
            <w:r>
              <w:t>p = 0,813</w:t>
            </w:r>
          </w:p>
        </w:tc>
        <w:tc>
          <w:tcPr>
            <w:tcW w:w="16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5C100" w14:textId="77777777" w:rsidR="00A75F18" w:rsidRDefault="00137170">
            <w:pPr>
              <w:jc w:val="center"/>
            </w:pPr>
            <w:r>
              <w:t>Comparable</w:t>
            </w:r>
          </w:p>
        </w:tc>
      </w:tr>
      <w:tr w:rsidR="00A75F18" w14:paraId="47F628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E98B5" w14:textId="77777777" w:rsidR="00A75F18" w:rsidRDefault="00137170">
            <w:r>
              <w:t>Centre selon le groupe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51BA3" w14:textId="77777777" w:rsidR="00A75F18" w:rsidRDefault="00137170">
            <w:pPr>
              <w:jc w:val="center"/>
            </w:pPr>
            <w:r>
              <w:t>Chi²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22BC9" w14:textId="77777777" w:rsidR="00A75F18" w:rsidRDefault="00137170">
            <w:pPr>
              <w:jc w:val="center"/>
            </w:pPr>
            <w:r>
              <w:t>p = 0,586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68341" w14:textId="77777777" w:rsidR="00A75F18" w:rsidRDefault="00137170">
            <w:pPr>
              <w:jc w:val="center"/>
            </w:pPr>
            <w:r>
              <w:t>Comparable</w:t>
            </w:r>
          </w:p>
        </w:tc>
      </w:tr>
      <w:tr w:rsidR="00A75F18" w14:paraId="0BAC32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F74AD" w14:textId="77777777" w:rsidR="00A75F18" w:rsidRDefault="00137170">
            <w:r>
              <w:t>Biomarqueur J0 selon le groupe</w:t>
            </w:r>
          </w:p>
        </w:tc>
        <w:tc>
          <w:tcPr>
            <w:tcW w:w="18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DBEB23" w14:textId="77777777" w:rsidR="00A75F18" w:rsidRDefault="00137170">
            <w:pPr>
              <w:jc w:val="center"/>
            </w:pPr>
            <w:r>
              <w:t>Kruskal-Wallis</w:t>
            </w:r>
          </w:p>
        </w:tc>
        <w:tc>
          <w:tcPr>
            <w:tcW w:w="14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872D6" w14:textId="77777777" w:rsidR="00A75F18" w:rsidRDefault="00137170">
            <w:pPr>
              <w:jc w:val="center"/>
            </w:pPr>
            <w:r>
              <w:t>p = 0,826</w:t>
            </w:r>
          </w:p>
        </w:tc>
        <w:tc>
          <w:tcPr>
            <w:tcW w:w="16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A3C68" w14:textId="77777777" w:rsidR="00A75F18" w:rsidRDefault="00137170">
            <w:pPr>
              <w:jc w:val="center"/>
            </w:pPr>
            <w:r>
              <w:t>Comparable</w:t>
            </w:r>
          </w:p>
        </w:tc>
      </w:tr>
    </w:tbl>
    <w:p w14:paraId="6810C499" w14:textId="77777777" w:rsidR="00A75F18" w:rsidRDefault="00A75F18">
      <w:pPr>
        <w:spacing w:after="120"/>
      </w:pPr>
    </w:p>
    <w:p w14:paraId="66530B61" w14:textId="77777777" w:rsidR="00A75F18" w:rsidRDefault="00137170">
      <w:pPr>
        <w:spacing w:after="140"/>
      </w:pPr>
      <w:r>
        <w:rPr>
          <w:i/>
          <w:iCs/>
          <w:color w:val="666666"/>
        </w:rPr>
        <w:t>Cette absence de différence à l'inclusion permet d'attribuer les différences observées après traitement à l'effet des traitements plutôt qu'à un déséquilibre de départ entre les groupes.</w:t>
      </w:r>
    </w:p>
    <w:p w14:paraId="1AE8745D" w14:textId="77777777" w:rsidR="00A75F18" w:rsidRDefault="00137170">
      <w:pPr>
        <w:pStyle w:val="Titre2"/>
        <w:spacing w:before="260" w:after="120"/>
      </w:pPr>
      <w:r>
        <w:t>4.2 Efficacité — évolution du biomarqueur</w:t>
      </w:r>
    </w:p>
    <w:p w14:paraId="62C4CB61" w14:textId="77777777" w:rsidR="00A75F18" w:rsidRDefault="00137170">
      <w:pPr>
        <w:pStyle w:val="Titre3"/>
        <w:spacing w:before="180" w:after="90"/>
      </w:pPr>
      <w:r>
        <w:t>Évolution globale (tous gro</w:t>
      </w:r>
      <w:r>
        <w:t>upes confondus)</w:t>
      </w:r>
    </w:p>
    <w:p w14:paraId="32BB3FE6" w14:textId="77777777" w:rsidR="00A75F18" w:rsidRDefault="00137170">
      <w:pPr>
        <w:spacing w:after="140"/>
      </w:pPr>
      <w:r>
        <w:t>Le biomarqueur diminue significativement entre J0 et J28 sur l'ensemble de la population (test t apparié, données de différence normalement distribuées, Shapiro-Wilk p = 0,632) :</w:t>
      </w:r>
    </w:p>
    <w:p w14:paraId="548F3777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t>Biomarqueur moyen à J0 : 100,7</w:t>
      </w:r>
    </w:p>
    <w:p w14:paraId="154FB310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t>Biomarqueur moyen à J28 : 87,1</w:t>
      </w:r>
    </w:p>
    <w:p w14:paraId="2D9536B1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t>Variation moyenne : −13,6 (t = 18,23 ; p &lt; 0,001)</w:t>
      </w:r>
    </w:p>
    <w:p w14:paraId="506001E3" w14:textId="77777777" w:rsidR="00A75F18" w:rsidRDefault="00137170">
      <w:pPr>
        <w:pStyle w:val="Titre3"/>
        <w:spacing w:before="180" w:after="90"/>
      </w:pPr>
      <w:r>
        <w:t>Évolution selon le traitement reçu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600"/>
        <w:gridCol w:w="1400"/>
        <w:gridCol w:w="800"/>
      </w:tblGrid>
      <w:tr w:rsidR="00A75F18" w14:paraId="4671A1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53649" w14:textId="77777777" w:rsidR="00A75F18" w:rsidRDefault="00137170">
            <w:r>
              <w:rPr>
                <w:b/>
                <w:bCs/>
                <w:color w:val="FFFFFF"/>
              </w:rPr>
              <w:lastRenderedPageBreak/>
              <w:t>Groupe</w:t>
            </w:r>
          </w:p>
        </w:tc>
        <w:tc>
          <w:tcPr>
            <w:tcW w:w="2000" w:type="dxa"/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059AD" w14:textId="77777777" w:rsidR="00A75F18" w:rsidRDefault="00137170">
            <w:r>
              <w:rPr>
                <w:b/>
                <w:bCs/>
                <w:color w:val="FFFFFF"/>
              </w:rPr>
              <w:t>Variation moyenne</w:t>
            </w:r>
          </w:p>
        </w:tc>
        <w:tc>
          <w:tcPr>
            <w:tcW w:w="1600" w:type="dxa"/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CFC71" w14:textId="77777777" w:rsidR="00A75F18" w:rsidRDefault="00137170">
            <w:r>
              <w:rPr>
                <w:b/>
                <w:bCs/>
                <w:color w:val="FFFFFF"/>
              </w:rPr>
              <w:t>Écart-type</w:t>
            </w:r>
          </w:p>
        </w:tc>
        <w:tc>
          <w:tcPr>
            <w:tcW w:w="1400" w:type="dxa"/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D5689" w14:textId="77777777" w:rsidR="00A75F18" w:rsidRDefault="00137170">
            <w:r>
              <w:rPr>
                <w:b/>
                <w:bCs/>
                <w:color w:val="FFFFFF"/>
              </w:rPr>
              <w:t>Médiane</w:t>
            </w:r>
          </w:p>
        </w:tc>
        <w:tc>
          <w:tcPr>
            <w:tcW w:w="800" w:type="dxa"/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DBDA8" w14:textId="77777777" w:rsidR="00A75F18" w:rsidRDefault="00137170">
            <w:r>
              <w:rPr>
                <w:b/>
                <w:bCs/>
                <w:color w:val="FFFFFF"/>
              </w:rPr>
              <w:t>n</w:t>
            </w:r>
          </w:p>
        </w:tc>
      </w:tr>
      <w:tr w:rsidR="00A75F18" w14:paraId="2F2027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CE884" w14:textId="77777777" w:rsidR="00A75F18" w:rsidRDefault="00137170">
            <w:r>
              <w:t>Placebo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0DAF4" w14:textId="77777777" w:rsidR="00A75F18" w:rsidRDefault="00137170">
            <w:pPr>
              <w:jc w:val="center"/>
            </w:pPr>
            <w:r>
              <w:t>−5,10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CBC05" w14:textId="77777777" w:rsidR="00A75F18" w:rsidRDefault="00137170">
            <w:pPr>
              <w:jc w:val="center"/>
            </w:pPr>
            <w:r>
              <w:t>6,63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615E9" w14:textId="77777777" w:rsidR="00A75F18" w:rsidRDefault="00137170">
            <w:pPr>
              <w:jc w:val="center"/>
            </w:pPr>
            <w:r>
              <w:t>−4,50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35C7D" w14:textId="77777777" w:rsidR="00A75F18" w:rsidRDefault="00137170">
            <w:pPr>
              <w:jc w:val="center"/>
            </w:pPr>
            <w:r>
              <w:t>43</w:t>
            </w:r>
          </w:p>
        </w:tc>
      </w:tr>
      <w:tr w:rsidR="00A75F18" w14:paraId="46B4DC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E2480" w14:textId="77777777" w:rsidR="00A75F18" w:rsidRDefault="00137170">
            <w:r>
              <w:t>Traitement A</w:t>
            </w:r>
          </w:p>
        </w:tc>
        <w:tc>
          <w:tcPr>
            <w:tcW w:w="20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B3E6F" w14:textId="77777777" w:rsidR="00A75F18" w:rsidRDefault="00137170">
            <w:pPr>
              <w:jc w:val="center"/>
            </w:pPr>
            <w:r>
              <w:t>−9,33</w:t>
            </w:r>
          </w:p>
        </w:tc>
        <w:tc>
          <w:tcPr>
            <w:tcW w:w="16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6EC96" w14:textId="77777777" w:rsidR="00A75F18" w:rsidRDefault="00137170">
            <w:pPr>
              <w:jc w:val="center"/>
            </w:pPr>
            <w:r>
              <w:t>7,79</w:t>
            </w:r>
          </w:p>
        </w:tc>
        <w:tc>
          <w:tcPr>
            <w:tcW w:w="14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EFC2C" w14:textId="77777777" w:rsidR="00A75F18" w:rsidRDefault="00137170">
            <w:pPr>
              <w:jc w:val="center"/>
            </w:pPr>
            <w:r>
              <w:t>−10,05</w:t>
            </w:r>
          </w:p>
        </w:tc>
        <w:tc>
          <w:tcPr>
            <w:tcW w:w="8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D2156" w14:textId="77777777" w:rsidR="00A75F18" w:rsidRDefault="00137170">
            <w:pPr>
              <w:jc w:val="center"/>
            </w:pPr>
            <w:r>
              <w:t>42</w:t>
            </w:r>
          </w:p>
        </w:tc>
      </w:tr>
      <w:tr w:rsidR="00A75F18" w14:paraId="1F4B4A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9AEB8" w14:textId="77777777" w:rsidR="00A75F18" w:rsidRDefault="00137170">
            <w:r>
              <w:t>Traitement B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088D6" w14:textId="77777777" w:rsidR="00A75F18" w:rsidRDefault="00137170">
            <w:pPr>
              <w:jc w:val="center"/>
            </w:pPr>
            <w:r>
              <w:t>−16,10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E31DE" w14:textId="77777777" w:rsidR="00A75F18" w:rsidRDefault="00137170">
            <w:pPr>
              <w:jc w:val="center"/>
            </w:pPr>
            <w:r>
              <w:t>7,13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BC700" w14:textId="77777777" w:rsidR="00A75F18" w:rsidRDefault="00137170">
            <w:pPr>
              <w:jc w:val="center"/>
            </w:pPr>
            <w:r>
              <w:t>−15,85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E0B10" w14:textId="77777777" w:rsidR="00A75F18" w:rsidRDefault="00137170">
            <w:pPr>
              <w:jc w:val="center"/>
            </w:pPr>
            <w:r>
              <w:t>46</w:t>
            </w:r>
          </w:p>
        </w:tc>
      </w:tr>
      <w:tr w:rsidR="00A75F18" w14:paraId="1433B4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CEA72" w14:textId="77777777" w:rsidR="00A75F18" w:rsidRDefault="00137170">
            <w:r>
              <w:t>Traitement C</w:t>
            </w:r>
          </w:p>
        </w:tc>
        <w:tc>
          <w:tcPr>
            <w:tcW w:w="20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AE5CA" w14:textId="77777777" w:rsidR="00A75F18" w:rsidRDefault="00137170">
            <w:pPr>
              <w:jc w:val="center"/>
            </w:pPr>
            <w:r>
              <w:t>−22,80</w:t>
            </w:r>
          </w:p>
        </w:tc>
        <w:tc>
          <w:tcPr>
            <w:tcW w:w="16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E5013" w14:textId="77777777" w:rsidR="00A75F18" w:rsidRDefault="00137170">
            <w:pPr>
              <w:jc w:val="center"/>
            </w:pPr>
            <w:r>
              <w:t>7,55</w:t>
            </w:r>
          </w:p>
        </w:tc>
        <w:tc>
          <w:tcPr>
            <w:tcW w:w="14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2ACA3" w14:textId="77777777" w:rsidR="00A75F18" w:rsidRDefault="00137170">
            <w:pPr>
              <w:jc w:val="center"/>
            </w:pPr>
            <w:r>
              <w:t>−21,95</w:t>
            </w:r>
          </w:p>
        </w:tc>
        <w:tc>
          <w:tcPr>
            <w:tcW w:w="8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5CAD8" w14:textId="77777777" w:rsidR="00A75F18" w:rsidRDefault="00137170">
            <w:pPr>
              <w:jc w:val="center"/>
            </w:pPr>
            <w:r>
              <w:t>46</w:t>
            </w:r>
          </w:p>
        </w:tc>
      </w:tr>
    </w:tbl>
    <w:p w14:paraId="1E990DA6" w14:textId="5B812759" w:rsidR="00A75F18" w:rsidRDefault="00A75F18">
      <w:pPr>
        <w:spacing w:after="120"/>
      </w:pPr>
    </w:p>
    <w:p w14:paraId="70AD4FB3" w14:textId="1E06CE89" w:rsidR="00A75F18" w:rsidRDefault="001420DA" w:rsidP="001420DA">
      <w:pPr>
        <w:spacing w:after="120"/>
        <w:jc w:val="center"/>
      </w:pPr>
      <w:r>
        <w:rPr>
          <w:noProof/>
        </w:rPr>
        <w:drawing>
          <wp:inline distT="0" distB="0" distL="0" distR="0" wp14:anchorId="56DD2ECB" wp14:editId="2781A81F">
            <wp:extent cx="4618437" cy="3645546"/>
            <wp:effectExtent l="0" t="0" r="444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864" cy="369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8149" w14:textId="77777777" w:rsidR="00A75F18" w:rsidRDefault="00137170"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>Figure 1 — Distribution de la variation du biomarqueur (J28 − J0) par groupe de traitement</w:t>
      </w:r>
    </w:p>
    <w:p w14:paraId="3D879FB7" w14:textId="77777777" w:rsidR="00A75F18" w:rsidRDefault="00137170">
      <w:pPr>
        <w:spacing w:after="140"/>
      </w:pPr>
      <w:r>
        <w:t>La différence entre les 4 groupes est hautement significative (ANOVA, conditions de normalité et d'homogénéité des variances respectées : F = 50,49 ; p &lt; 0,001 ; confirmé par Kruskal-Wallis, p &lt; 0,001).</w:t>
      </w:r>
    </w:p>
    <w:p w14:paraId="1707134A" w14:textId="77777777" w:rsidR="00A75F18" w:rsidRDefault="00137170">
      <w:pPr>
        <w:pStyle w:val="Titre3"/>
        <w:spacing w:before="180" w:after="90"/>
      </w:pPr>
      <w:r>
        <w:t>Comparaisons deux à deux (post-hoc, Bonferroni)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00"/>
        <w:gridCol w:w="2400"/>
      </w:tblGrid>
      <w:tr w:rsidR="00A75F18" w14:paraId="36A2C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BAF44" w14:textId="77777777" w:rsidR="00A75F18" w:rsidRDefault="00137170">
            <w:r>
              <w:rPr>
                <w:b/>
                <w:bCs/>
                <w:color w:val="FFFFFF"/>
              </w:rPr>
              <w:t>Compa</w:t>
            </w:r>
            <w:r>
              <w:rPr>
                <w:b/>
                <w:bCs/>
                <w:color w:val="FFFFFF"/>
              </w:rPr>
              <w:t>raison</w:t>
            </w:r>
          </w:p>
        </w:tc>
        <w:tc>
          <w:tcPr>
            <w:tcW w:w="1400" w:type="dxa"/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F6BB6" w14:textId="77777777" w:rsidR="00A75F18" w:rsidRDefault="00137170">
            <w:r>
              <w:rPr>
                <w:b/>
                <w:bCs/>
                <w:color w:val="FFFFFF"/>
              </w:rPr>
              <w:t>p ajusté</w:t>
            </w:r>
          </w:p>
        </w:tc>
        <w:tc>
          <w:tcPr>
            <w:tcW w:w="2400" w:type="dxa"/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4252C" w14:textId="77777777" w:rsidR="00A75F18" w:rsidRDefault="00137170">
            <w:r>
              <w:rPr>
                <w:b/>
                <w:bCs/>
                <w:color w:val="FFFFFF"/>
              </w:rPr>
              <w:t>Significatif ?</w:t>
            </w:r>
          </w:p>
        </w:tc>
      </w:tr>
      <w:tr w:rsidR="00A75F18" w14:paraId="33BB0B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77059" w14:textId="77777777" w:rsidR="00A75F18" w:rsidRDefault="00137170">
            <w:r>
              <w:t>Placebo vs Traitement A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DCFB0" w14:textId="77777777" w:rsidR="00A75F18" w:rsidRDefault="00137170">
            <w:pPr>
              <w:jc w:val="center"/>
            </w:pPr>
            <w:r>
              <w:t>0,056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5661C" w14:textId="77777777" w:rsidR="00A75F18" w:rsidRDefault="00137170">
            <w:pPr>
              <w:jc w:val="center"/>
            </w:pPr>
            <w:r>
              <w:t>À la limite (non significatif après correction)</w:t>
            </w:r>
          </w:p>
        </w:tc>
      </w:tr>
      <w:tr w:rsidR="00A75F18" w14:paraId="27888A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40FDA" w14:textId="77777777" w:rsidR="00A75F18" w:rsidRDefault="00137170">
            <w:r>
              <w:t>Placebo vs Traitement B</w:t>
            </w:r>
          </w:p>
        </w:tc>
        <w:tc>
          <w:tcPr>
            <w:tcW w:w="14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0F170" w14:textId="77777777" w:rsidR="00A75F18" w:rsidRDefault="00137170">
            <w:pPr>
              <w:jc w:val="center"/>
            </w:pPr>
            <w:r>
              <w:t>&lt; 0,001</w:t>
            </w:r>
          </w:p>
        </w:tc>
        <w:tc>
          <w:tcPr>
            <w:tcW w:w="24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B4E53" w14:textId="77777777" w:rsidR="00A75F18" w:rsidRDefault="00137170">
            <w:pPr>
              <w:jc w:val="center"/>
            </w:pPr>
            <w:r>
              <w:t>Oui</w:t>
            </w:r>
          </w:p>
        </w:tc>
      </w:tr>
      <w:tr w:rsidR="00A75F18" w14:paraId="538F32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E49AD" w14:textId="77777777" w:rsidR="00A75F18" w:rsidRDefault="00137170">
            <w:r>
              <w:t>Placebo vs Traitement C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D385B" w14:textId="77777777" w:rsidR="00A75F18" w:rsidRDefault="00137170">
            <w:pPr>
              <w:jc w:val="center"/>
            </w:pPr>
            <w:r>
              <w:t>&lt; 0,001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7D1F9" w14:textId="77777777" w:rsidR="00A75F18" w:rsidRDefault="00137170">
            <w:pPr>
              <w:jc w:val="center"/>
            </w:pPr>
            <w:r>
              <w:t>Oui</w:t>
            </w:r>
          </w:p>
        </w:tc>
      </w:tr>
      <w:tr w:rsidR="00A75F18" w14:paraId="6F8114C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861CD" w14:textId="77777777" w:rsidR="00A75F18" w:rsidRDefault="00137170">
            <w:r>
              <w:t>Traitement A vs Traitement B</w:t>
            </w:r>
          </w:p>
        </w:tc>
        <w:tc>
          <w:tcPr>
            <w:tcW w:w="14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CBC0F" w14:textId="77777777" w:rsidR="00A75F18" w:rsidRDefault="00137170">
            <w:pPr>
              <w:jc w:val="center"/>
            </w:pPr>
            <w:r>
              <w:t>&lt; 0,001</w:t>
            </w:r>
          </w:p>
        </w:tc>
        <w:tc>
          <w:tcPr>
            <w:tcW w:w="24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742F9" w14:textId="77777777" w:rsidR="00A75F18" w:rsidRDefault="00137170">
            <w:pPr>
              <w:jc w:val="center"/>
            </w:pPr>
            <w:r>
              <w:t>Oui</w:t>
            </w:r>
          </w:p>
        </w:tc>
      </w:tr>
      <w:tr w:rsidR="00A75F18" w14:paraId="0015C94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7440D" w14:textId="77777777" w:rsidR="00A75F18" w:rsidRDefault="00137170">
            <w:r>
              <w:t>Traitement A vs Traitement C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A8941" w14:textId="77777777" w:rsidR="00A75F18" w:rsidRDefault="00137170">
            <w:pPr>
              <w:jc w:val="center"/>
            </w:pPr>
            <w:r>
              <w:t>&lt; 0,001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056FC" w14:textId="77777777" w:rsidR="00A75F18" w:rsidRDefault="00137170">
            <w:pPr>
              <w:jc w:val="center"/>
            </w:pPr>
            <w:r>
              <w:t>Oui</w:t>
            </w:r>
          </w:p>
        </w:tc>
      </w:tr>
      <w:tr w:rsidR="00A75F18" w14:paraId="2150D0B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695EF" w14:textId="77777777" w:rsidR="00A75F18" w:rsidRDefault="00137170">
            <w:r>
              <w:t>Traitement B vs Traitement C</w:t>
            </w:r>
          </w:p>
        </w:tc>
        <w:tc>
          <w:tcPr>
            <w:tcW w:w="14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2CB10" w14:textId="77777777" w:rsidR="00A75F18" w:rsidRDefault="00137170">
            <w:pPr>
              <w:jc w:val="center"/>
            </w:pPr>
            <w:r>
              <w:t>&lt; 0,001</w:t>
            </w:r>
          </w:p>
        </w:tc>
        <w:tc>
          <w:tcPr>
            <w:tcW w:w="24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5191A" w14:textId="77777777" w:rsidR="00A75F18" w:rsidRDefault="00137170">
            <w:pPr>
              <w:jc w:val="center"/>
            </w:pPr>
            <w:r>
              <w:t>Oui</w:t>
            </w:r>
          </w:p>
        </w:tc>
      </w:tr>
    </w:tbl>
    <w:p w14:paraId="3462CC66" w14:textId="77777777" w:rsidR="00A75F18" w:rsidRDefault="00A75F18">
      <w:pPr>
        <w:spacing w:after="120"/>
      </w:pPr>
    </w:p>
    <w:p w14:paraId="4D484470" w14:textId="77777777" w:rsidR="00A75F18" w:rsidRDefault="00137170">
      <w:pPr>
        <w:spacing w:after="140"/>
      </w:pPr>
      <w:r>
        <w:t>Chaque traitement se distingue significativement des autres, à l'exception du Traitement A qui n'est que marginalement différent du Placebo une fois la correction pour comparaisons multiples appliquée (p brut = 0,009, p ajusté = 0,056).</w:t>
      </w:r>
    </w:p>
    <w:p w14:paraId="68765F4A" w14:textId="5A67F485" w:rsidR="00A75F18" w:rsidRDefault="00137170">
      <w:pPr>
        <w:pStyle w:val="Titre2"/>
        <w:spacing w:before="260" w:after="120"/>
      </w:pPr>
      <w:r>
        <w:lastRenderedPageBreak/>
        <w:t>4.3 Efficacité — ta</w:t>
      </w:r>
      <w:r>
        <w:t>ux de réponse au traitement</w:t>
      </w:r>
    </w:p>
    <w:p w14:paraId="20329B96" w14:textId="642FD189" w:rsidR="00A75F18" w:rsidRDefault="004D5A1D" w:rsidP="004D5A1D">
      <w:pPr>
        <w:pStyle w:val="Titre2"/>
        <w:spacing w:before="260" w:after="120"/>
      </w:pPr>
      <w:r>
        <w:rPr>
          <w:noProof/>
        </w:rPr>
        <w:drawing>
          <wp:inline distT="0" distB="0" distL="0" distR="0" wp14:anchorId="43637403" wp14:editId="707C5901">
            <wp:extent cx="5731510" cy="3716655"/>
            <wp:effectExtent l="0" t="0" r="0" b="444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8D14" w14:textId="77777777" w:rsidR="00A75F18" w:rsidRDefault="00137170"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>F</w:t>
      </w:r>
      <w:r>
        <w:rPr>
          <w:i/>
          <w:iCs/>
          <w:color w:val="666666"/>
          <w:sz w:val="19"/>
          <w:szCs w:val="19"/>
        </w:rPr>
        <w:t>igure 2 — Taux de répondeurs par groupe de traitement</w:t>
      </w:r>
    </w:p>
    <w:p w14:paraId="7B3C0BF5" w14:textId="77777777" w:rsidR="00A75F18" w:rsidRDefault="00137170">
      <w:pPr>
        <w:spacing w:after="140"/>
      </w:pPr>
      <w:r>
        <w:t>Le taux de réponse suit la même hiérarchie que la variation du biomarqueur, avec une association statistiquement très significative entre le traitement reçu et le fait d'ê</w:t>
      </w:r>
      <w:r>
        <w:t>tre répondeur (Chi² ; p &lt; 0,001).</w:t>
      </w:r>
    </w:p>
    <w:p w14:paraId="49A3B216" w14:textId="056CA9EF" w:rsidR="00A75F18" w:rsidRDefault="00137170">
      <w:pPr>
        <w:pStyle w:val="Titre2"/>
        <w:spacing w:before="260" w:after="120"/>
      </w:pPr>
      <w:r>
        <w:t>4.4 Tolérance — effets indésirables</w:t>
      </w:r>
    </w:p>
    <w:p w14:paraId="27F3C80A" w14:textId="20C67E78" w:rsidR="00A75F18" w:rsidRDefault="000B7B03" w:rsidP="000B7B03">
      <w:pPr>
        <w:pStyle w:val="Titre2"/>
        <w:spacing w:before="260" w:after="120"/>
        <w:jc w:val="center"/>
      </w:pPr>
      <w:r>
        <w:rPr>
          <w:noProof/>
        </w:rPr>
        <w:drawing>
          <wp:inline distT="0" distB="0" distL="0" distR="0" wp14:anchorId="765A1CEF" wp14:editId="20209E5E">
            <wp:extent cx="4987612" cy="3234267"/>
            <wp:effectExtent l="0" t="0" r="3810" b="444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174" cy="324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FD80" w14:textId="77777777" w:rsidR="00A75F18" w:rsidRDefault="00137170"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>F</w:t>
      </w:r>
      <w:r>
        <w:rPr>
          <w:i/>
          <w:iCs/>
          <w:color w:val="666666"/>
          <w:sz w:val="19"/>
          <w:szCs w:val="19"/>
        </w:rPr>
        <w:t>igure 3 — Fréquence des effets indésirables par groupe de traitement</w:t>
      </w:r>
    </w:p>
    <w:p w14:paraId="2102F77C" w14:textId="77777777" w:rsidR="00A75F18" w:rsidRDefault="00137170">
      <w:pPr>
        <w:spacing w:after="140"/>
      </w:pPr>
      <w:r>
        <w:lastRenderedPageBreak/>
        <w:t>La fréquence des effets indésirables augmente avec la puissance du traitement, de 7,1 % sous Traitement A à 34,1 %</w:t>
      </w:r>
      <w:r>
        <w:t xml:space="preserve"> sous Traitement C (Chi² ; p = 0,003). Cette tendance est cohérente avec un effet lié à la dose : les patients ayant présenté un effet indésirable ont reçu une dose significativement plus élevée en moyenne (105,3 mg) que ceux n'en ayant pas présenté (70,0 </w:t>
      </w:r>
      <w:r>
        <w:t>mg ; test de Mann-Whitney, p = 0,001).</w:t>
      </w:r>
    </w:p>
    <w:p w14:paraId="09DD1DAD" w14:textId="77777777" w:rsidR="00A75F18" w:rsidRDefault="00137170">
      <w:pPr>
        <w:pStyle w:val="Titre2"/>
        <w:spacing w:before="260" w:after="120"/>
      </w:pPr>
      <w:r>
        <w:t>4.5 Analyse de sensibilité — effet centre</w:t>
      </w:r>
    </w:p>
    <w:p w14:paraId="02C83039" w14:textId="77777777" w:rsidR="00A75F18" w:rsidRDefault="00137170">
      <w:pPr>
        <w:spacing w:after="140"/>
      </w:pPr>
      <w:r>
        <w:t>Afin de vérifier l'homogénéité des résultats entre les 3 centres participants, la variation du biomarqueur a été comparée entre centres, indépendamment du traitement reçu. Aucune différence significative n'a été observée (Kruskal-Wallis, p = 0,295), ce qui</w:t>
      </w:r>
      <w:r>
        <w:t xml:space="preserve"> suggère que le centre de recrutement n'influence pas les résultats observés.</w:t>
      </w:r>
    </w:p>
    <w:p w14:paraId="54EE9AED" w14:textId="77777777" w:rsidR="00A75F18" w:rsidRDefault="00137170">
      <w:pPr>
        <w:pStyle w:val="Titre1"/>
        <w:spacing w:before="360" w:after="160"/>
      </w:pPr>
      <w:r>
        <w:t>5. Discussion et limites</w:t>
      </w:r>
    </w:p>
    <w:p w14:paraId="60BA53FC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rPr>
          <w:b/>
          <w:bCs/>
        </w:rPr>
        <w:t xml:space="preserve">Cohérence dose-effet : </w:t>
      </w:r>
      <w:r>
        <w:t>l'efficacité croissante de A à C s'accompagne d'une tolérance décroissante — un compromis bénéfice/risque à documenter plus fineme</w:t>
      </w:r>
      <w:r>
        <w:t>nt (sévérité des effets indésirables, pas seulement leur présence/absence).</w:t>
      </w:r>
    </w:p>
    <w:p w14:paraId="6734CBE0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rPr>
          <w:b/>
          <w:bCs/>
        </w:rPr>
        <w:t xml:space="preserve">Traitement A proche du Placebo : </w:t>
      </w:r>
      <w:r>
        <w:t>le bénéfice du Traitement A par rapport au Placebo, bien que statistiquement suggéré (p brut = 0,009), ne résiste pas totalement à la correction po</w:t>
      </w:r>
      <w:r>
        <w:t>ur comparaisons multiples — un échantillon plus large permettrait de trancher plus nettement.</w:t>
      </w:r>
    </w:p>
    <w:p w14:paraId="6F7E4EB4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rPr>
          <w:b/>
          <w:bCs/>
        </w:rPr>
        <w:t xml:space="preserve">Deux points de mesure seulement : </w:t>
      </w:r>
      <w:r>
        <w:t>l'analyse repose sur J0 et J28 uniquement ; elle ne renseigne pas sur la cinétique de l'effet ni sur sa persistance au-delà de J28.</w:t>
      </w:r>
    </w:p>
    <w:p w14:paraId="5B9E32AB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rPr>
          <w:b/>
          <w:bCs/>
        </w:rPr>
        <w:t xml:space="preserve">Analyse univariée : </w:t>
      </w:r>
      <w:r>
        <w:t>les comparaisons ne contrôlent pas simultanément l'ensemble des covariables (âge, poids, centre) ; un mo</w:t>
      </w:r>
      <w:r>
        <w:t>dèle multivarié (ex. ANCOVA ajustée sur le biomarqueur de départ) affinerait ces résultats.</w:t>
      </w:r>
    </w:p>
    <w:p w14:paraId="5F0ABDE2" w14:textId="77777777" w:rsidR="00A75F18" w:rsidRDefault="00137170">
      <w:pPr>
        <w:pStyle w:val="Paragraphedeliste"/>
        <w:numPr>
          <w:ilvl w:val="0"/>
          <w:numId w:val="2"/>
        </w:numPr>
        <w:spacing w:after="70"/>
      </w:pPr>
      <w:r>
        <w:rPr>
          <w:b/>
          <w:bCs/>
        </w:rPr>
        <w:t xml:space="preserve">Causalité : </w:t>
      </w:r>
      <w:r>
        <w:t>la comparabilité des groupes à l'inclusion est cohérente avec une randomisation correcte, mais celle-ci n'a pas pu être vérifiée indépendamment des donn</w:t>
      </w:r>
      <w:r>
        <w:t>ées fournies.</w:t>
      </w:r>
    </w:p>
    <w:p w14:paraId="3A23794B" w14:textId="77777777" w:rsidR="00A75F18" w:rsidRDefault="00137170">
      <w:pPr>
        <w:pStyle w:val="Titre1"/>
        <w:spacing w:before="360" w:after="160"/>
      </w:pPr>
      <w:r>
        <w:t>6. Conclusion</w:t>
      </w:r>
    </w:p>
    <w:p w14:paraId="7DF10530" w14:textId="77777777" w:rsidR="00A75F18" w:rsidRDefault="00137170">
      <w:pPr>
        <w:spacing w:after="140"/>
      </w:pPr>
      <w:r>
        <w:t>Les trois traitements testés réduisent significativement le biomarqueur par rapport au placebo, avec une efficacité croissante de A à C, mais au prix d'une fréquence d'effets indésirables également croissante. Le Traitement B ap</w:t>
      </w:r>
      <w:r>
        <w:t>paraît comme un compromis efficacité/tolérance intéressant (78,3 % de répondeurs pour 23,3 % d'effets indésirables), tandis que le Traitement C, le plus efficace (89,4 % de répondeurs), présente aussi la tolérance la plus faible (34,1 % d'effets indésirabl</w:t>
      </w:r>
      <w:r>
        <w:t>es). Le Traitement A, à l'efficacité la plus modeste et à la limite de la significativité par rapport au placebo, mériterait une évaluation complémentaire sur un échantillon plus large avant conclusion définitive.</w:t>
      </w:r>
    </w:p>
    <w:p w14:paraId="22610590" w14:textId="77777777" w:rsidR="00A75F18" w:rsidRDefault="00A75F18">
      <w:pPr>
        <w:spacing w:after="300"/>
      </w:pPr>
    </w:p>
    <w:p w14:paraId="7F1F3A5A" w14:textId="77777777" w:rsidR="00A75F18" w:rsidRDefault="00A75F18">
      <w:pPr>
        <w:pBdr>
          <w:bottom w:val="single" w:sz="6" w:space="4" w:color="CBD5E1"/>
        </w:pBdr>
        <w:spacing w:after="200"/>
      </w:pPr>
    </w:p>
    <w:p w14:paraId="6C0E951D" w14:textId="77777777" w:rsidR="00A75F18" w:rsidRDefault="00137170">
      <w:pPr>
        <w:spacing w:after="140"/>
      </w:pPr>
      <w:r>
        <w:rPr>
          <w:i/>
          <w:iCs/>
          <w:color w:val="666666"/>
        </w:rPr>
        <w:t>Rapport généré à partir de l'analyse sta</w:t>
      </w:r>
      <w:r>
        <w:rPr>
          <w:i/>
          <w:iCs/>
          <w:color w:val="666666"/>
        </w:rPr>
        <w:t>tistique du jeu de données nettoyé (180 patients, 3 centres). Méthodologie et code disponibles sur demande.</w:t>
      </w:r>
    </w:p>
    <w:sectPr w:rsidR="00A75F1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A3F1F" w14:textId="77777777" w:rsidR="00137170" w:rsidRDefault="00137170">
      <w:r>
        <w:separator/>
      </w:r>
    </w:p>
  </w:endnote>
  <w:endnote w:type="continuationSeparator" w:id="0">
    <w:p w14:paraId="091A88FD" w14:textId="77777777" w:rsidR="00137170" w:rsidRDefault="00137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36035" w14:textId="77777777" w:rsidR="00A75F18" w:rsidRDefault="0013717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1420DA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1420DA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C1701" w14:textId="77777777" w:rsidR="00137170" w:rsidRDefault="00137170">
      <w:r>
        <w:separator/>
      </w:r>
    </w:p>
  </w:footnote>
  <w:footnote w:type="continuationSeparator" w:id="0">
    <w:p w14:paraId="448142D7" w14:textId="77777777" w:rsidR="00137170" w:rsidRDefault="001371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D5342" w14:textId="77777777" w:rsidR="00A75F18" w:rsidRDefault="00137170">
    <w:pPr>
      <w:pBdr>
        <w:bottom w:val="single" w:sz="4" w:space="4" w:color="CBD5E1"/>
      </w:pBdr>
      <w:jc w:val="right"/>
    </w:pPr>
    <w:r>
      <w:rPr>
        <w:color w:val="666666"/>
        <w:sz w:val="16"/>
        <w:szCs w:val="16"/>
      </w:rPr>
      <w:t>Confidentiel — Rapport d'analyse statistique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2BFB"/>
    <w:multiLevelType w:val="hybridMultilevel"/>
    <w:tmpl w:val="0CB84B1E"/>
    <w:lvl w:ilvl="0" w:tplc="34F2AF9E">
      <w:start w:val="1"/>
      <w:numFmt w:val="bullet"/>
      <w:lvlText w:val="•"/>
      <w:lvlJc w:val="left"/>
      <w:pPr>
        <w:ind w:left="420" w:hanging="260"/>
      </w:pPr>
    </w:lvl>
    <w:lvl w:ilvl="1" w:tplc="B60689E4">
      <w:numFmt w:val="decimal"/>
      <w:lvlText w:val=""/>
      <w:lvlJc w:val="left"/>
    </w:lvl>
    <w:lvl w:ilvl="2" w:tplc="5FC6B524">
      <w:numFmt w:val="decimal"/>
      <w:lvlText w:val=""/>
      <w:lvlJc w:val="left"/>
    </w:lvl>
    <w:lvl w:ilvl="3" w:tplc="BF3E4F48">
      <w:numFmt w:val="decimal"/>
      <w:lvlText w:val=""/>
      <w:lvlJc w:val="left"/>
    </w:lvl>
    <w:lvl w:ilvl="4" w:tplc="05609DC4">
      <w:numFmt w:val="decimal"/>
      <w:lvlText w:val=""/>
      <w:lvlJc w:val="left"/>
    </w:lvl>
    <w:lvl w:ilvl="5" w:tplc="D8AE385A">
      <w:numFmt w:val="decimal"/>
      <w:lvlText w:val=""/>
      <w:lvlJc w:val="left"/>
    </w:lvl>
    <w:lvl w:ilvl="6" w:tplc="288E1544">
      <w:numFmt w:val="decimal"/>
      <w:lvlText w:val=""/>
      <w:lvlJc w:val="left"/>
    </w:lvl>
    <w:lvl w:ilvl="7" w:tplc="3D36CF12">
      <w:numFmt w:val="decimal"/>
      <w:lvlText w:val=""/>
      <w:lvlJc w:val="left"/>
    </w:lvl>
    <w:lvl w:ilvl="8" w:tplc="79542920">
      <w:numFmt w:val="decimal"/>
      <w:lvlText w:val=""/>
      <w:lvlJc w:val="left"/>
    </w:lvl>
  </w:abstractNum>
  <w:abstractNum w:abstractNumId="1" w15:restartNumberingAfterBreak="0">
    <w:nsid w:val="19576001"/>
    <w:multiLevelType w:val="hybridMultilevel"/>
    <w:tmpl w:val="BDD66D7A"/>
    <w:lvl w:ilvl="0" w:tplc="6520E764">
      <w:start w:val="1"/>
      <w:numFmt w:val="bullet"/>
      <w:lvlText w:val="●"/>
      <w:lvlJc w:val="left"/>
      <w:pPr>
        <w:ind w:left="720" w:hanging="360"/>
      </w:pPr>
    </w:lvl>
    <w:lvl w:ilvl="1" w:tplc="8B08151C">
      <w:start w:val="1"/>
      <w:numFmt w:val="bullet"/>
      <w:lvlText w:val="○"/>
      <w:lvlJc w:val="left"/>
      <w:pPr>
        <w:ind w:left="1440" w:hanging="360"/>
      </w:pPr>
    </w:lvl>
    <w:lvl w:ilvl="2" w:tplc="11BCA2B0">
      <w:start w:val="1"/>
      <w:numFmt w:val="bullet"/>
      <w:lvlText w:val="■"/>
      <w:lvlJc w:val="left"/>
      <w:pPr>
        <w:ind w:left="2160" w:hanging="360"/>
      </w:pPr>
    </w:lvl>
    <w:lvl w:ilvl="3" w:tplc="E70416EA">
      <w:start w:val="1"/>
      <w:numFmt w:val="bullet"/>
      <w:lvlText w:val="●"/>
      <w:lvlJc w:val="left"/>
      <w:pPr>
        <w:ind w:left="2880" w:hanging="360"/>
      </w:pPr>
    </w:lvl>
    <w:lvl w:ilvl="4" w:tplc="7CEAAAA6">
      <w:start w:val="1"/>
      <w:numFmt w:val="bullet"/>
      <w:lvlText w:val="○"/>
      <w:lvlJc w:val="left"/>
      <w:pPr>
        <w:ind w:left="3600" w:hanging="360"/>
      </w:pPr>
    </w:lvl>
    <w:lvl w:ilvl="5" w:tplc="1A4EA374">
      <w:start w:val="1"/>
      <w:numFmt w:val="bullet"/>
      <w:lvlText w:val="■"/>
      <w:lvlJc w:val="left"/>
      <w:pPr>
        <w:ind w:left="4320" w:hanging="360"/>
      </w:pPr>
    </w:lvl>
    <w:lvl w:ilvl="6" w:tplc="14A8C74C">
      <w:start w:val="1"/>
      <w:numFmt w:val="bullet"/>
      <w:lvlText w:val="●"/>
      <w:lvlJc w:val="left"/>
      <w:pPr>
        <w:ind w:left="5040" w:hanging="360"/>
      </w:pPr>
    </w:lvl>
    <w:lvl w:ilvl="7" w:tplc="2B5CAFD8">
      <w:start w:val="1"/>
      <w:numFmt w:val="bullet"/>
      <w:lvlText w:val="●"/>
      <w:lvlJc w:val="left"/>
      <w:pPr>
        <w:ind w:left="5760" w:hanging="360"/>
      </w:pPr>
    </w:lvl>
    <w:lvl w:ilvl="8" w:tplc="8B1C1E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F18"/>
    <w:rsid w:val="000B7B03"/>
    <w:rsid w:val="00137170"/>
    <w:rsid w:val="001420DA"/>
    <w:rsid w:val="004D5A1D"/>
    <w:rsid w:val="00500688"/>
    <w:rsid w:val="00A7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AC35DF"/>
  <w15:docId w15:val="{E96CFAAD-7FDD-3F47-9B7B-4E4E312F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TN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1437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2026-09-19T13:28:00Z</dcterms:created>
  <dcterms:modified xsi:type="dcterms:W3CDTF">2026-09-27T16:22:00Z</dcterms:modified>
</cp:coreProperties>
</file>