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France Automated Traffic Management Investigation Findings</w:t>
      </w:r>
    </w:p>
    <w:p>
      <w:pPr>
        <w:spacing w:before="0" w:after="100" w:line="269" w:lineRule="auto"/>
      </w:pPr>
      <w:r>
        <w:rPr>
          <w:rFonts w:ascii="Aptos" w:hAnsi="Aptos"/>
          <w:b/>
          <w:color w:val="102A56"/>
          <w:sz w:val="26"/>
        </w:rPr>
        <w:t>Decision report for the French market restart</w:t>
      </w:r>
    </w:p>
    <w:p>
      <w:pPr>
        <w:spacing w:before="0" w:after="300" w:line="269" w:lineRule="auto"/>
      </w:pPr>
      <w:r>
        <w:rPr>
          <w:rFonts w:ascii="Aptos" w:hAnsi="Aptos"/>
          <w:color w:val="5C667A"/>
          <w:sz w:val="19"/>
        </w:rPr>
        <w:t>Prepared by Safa Safakhou   Team Mantra   14 September 2026</w:t>
      </w:r>
    </w:p>
    <w:p>
      <w:pPr>
        <w:keepLines w:val="0"/>
        <w:spacing w:before="0" w:after="120" w:line="269" w:lineRule="auto"/>
      </w:pPr>
      <w:r>
        <w:rPr>
          <w:rFonts w:ascii="Aptos" w:hAnsi="Aptos"/>
        </w:rPr>
        <w:t>This report evaluates why automated traffic scoring is unsafe to restart in France without changes. It combines the current production-clone data snapshot, code-path analysis across the scoring and ranking services, the previous experiment material, and input from French Campaign Management and Data stakeholders.</w:t>
      </w:r>
    </w:p>
    <w:p>
      <w:pPr>
        <w:pStyle w:val="Heading1"/>
        <w:keepNext/>
      </w:pPr>
      <w:r>
        <w:t>Executive conclusion</w:t>
      </w:r>
    </w:p>
    <w:p>
      <w:pPr>
        <w:keepLines w:val="0"/>
        <w:spacing w:before="0" w:after="120" w:line="269" w:lineRule="auto"/>
      </w:pPr>
      <w:r>
        <w:rPr>
          <w:rFonts w:ascii="Aptos" w:hAnsi="Aptos"/>
        </w:rPr>
        <w:t>The technical investigation is complete enough to choose a solution direction. French automation is currently disabled, so the identified risks are not affecting the live French app today. Enabling it with the current design would create two independent risks: incorrect fulfilment pressure for combined Media and Reach contracts, and content concentration when one fulfilment campaign owns many eligible contents.</w:t>
      </w:r>
    </w:p>
    <w:p>
      <w:pPr>
        <w:pStyle w:val="ListBullet"/>
        <w:spacing w:before="0" w:after="60" w:line="259" w:lineRule="auto"/>
      </w:pPr>
      <w:r>
        <w:rPr>
          <w:rFonts w:ascii="Aptos" w:hAnsi="Aptos"/>
          <w:b/>
        </w:rPr>
        <w:t>Use combined actual Media and Reach delivery against the combined contractual target.</w:t>
      </w:r>
      <w:r>
        <w:rPr>
          <w:rFonts w:ascii="Aptos" w:hAnsi="Aptos"/>
        </w:rPr>
        <w:t xml:space="preserve"> This matches how Flexible Media and Reach is sold: there is no fixed split in advance; Media is maximised and Reach supplies the remainder.</w:t>
      </w:r>
    </w:p>
    <w:p>
      <w:pPr>
        <w:pStyle w:val="ListBullet"/>
        <w:spacing w:before="0" w:after="60" w:line="259" w:lineRule="auto"/>
      </w:pPr>
      <w:r>
        <w:rPr>
          <w:rFonts w:ascii="Aptos" w:hAnsi="Aptos"/>
          <w:b/>
        </w:rPr>
        <w:t>Reuse the existing billing and Reach attribution logic</w:t>
      </w:r>
      <w:r>
        <w:rPr>
          <w:rFonts w:ascii="Aptos" w:hAnsi="Aptos"/>
        </w:rPr>
        <w:t xml:space="preserve"> instead of rebuilding attribution from raw events. The data platform already maps Reach statistics to campaign items and combines flexible Media and Reach delivery for billing.</w:t>
      </w:r>
    </w:p>
    <w:p>
      <w:pPr>
        <w:pStyle w:val="ListBullet"/>
        <w:spacing w:before="0" w:after="60" w:line="259" w:lineRule="auto"/>
      </w:pPr>
      <w:r>
        <w:rPr>
          <w:rFonts w:ascii="Aptos" w:hAnsi="Aptos"/>
          <w:b/>
        </w:rPr>
        <w:t>Add a separate serving guardrail for list diversity.</w:t>
      </w:r>
      <w:r>
        <w:rPr>
          <w:rFonts w:ascii="Aptos" w:hAnsi="Aptos"/>
        </w:rPr>
        <w:t xml:space="preserve"> Correct fulfilment accounting reduces false pressure but cannot prevent a genuinely under-delivered campaign with many contents from occupying a large share of a list.</w:t>
      </w:r>
    </w:p>
    <w:p>
      <w:pPr>
        <w:pStyle w:val="ListBullet"/>
        <w:spacing w:before="0" w:after="60" w:line="259" w:lineRule="auto"/>
      </w:pPr>
      <w:r>
        <w:rPr>
          <w:rFonts w:ascii="Aptos" w:hAnsi="Aptos"/>
          <w:b/>
        </w:rPr>
        <w:t>Do not introduce a fixed 80/20 target split.</w:t>
      </w:r>
      <w:r>
        <w:rPr>
          <w:rFonts w:ascii="Aptos" w:hAnsi="Aptos"/>
        </w:rPr>
        <w:t xml:space="preserve"> Campaign Management confirmed that the allocation is optimised during delivery and is not a stable contractual percentage.</w:t>
      </w:r>
    </w:p>
    <w:p>
      <w:pPr>
        <w:pStyle w:val="Heading2"/>
        <w:keepNext/>
      </w:pPr>
      <w:r>
        <w:t>Decision requested</w:t>
      </w:r>
    </w:p>
    <w:p>
      <w:pPr>
        <w:keepLines w:val="0"/>
        <w:spacing w:before="0" w:after="120" w:line="269" w:lineRule="auto"/>
      </w:pPr>
      <w:r>
        <w:rPr>
          <w:rFonts w:ascii="Aptos" w:hAnsi="Aptos"/>
        </w:rPr>
        <w:t>Approve combined-delivery integration as the preferred solution direction, together with a per-campaign diversity safeguard and a dry-run validation phase before any French A/B test traffic is enabled.</w:t>
      </w:r>
    </w:p>
    <w:p>
      <w:r>
        <w:br w:type="page"/>
      </w:r>
    </w:p>
    <w:p>
      <w:pPr>
        <w:pStyle w:val="Heading1"/>
        <w:keepNext/>
      </w:pPr>
      <w:r>
        <w:t>Investigation scope and evidence</w:t>
      </w:r>
    </w:p>
    <w:p>
      <w:pPr>
        <w:keepLines w:val="0"/>
        <w:spacing w:before="0" w:after="120" w:line="269" w:lineRule="auto"/>
      </w:pPr>
      <w:r>
        <w:rPr>
          <w:rFonts w:ascii="Aptos" w:hAnsi="Aptos"/>
        </w:rPr>
        <w:t>The investigation covered the end-to-end path from contractual target to app ordering:</w:t>
      </w:r>
    </w:p>
    <w:p>
      <w:pPr>
        <w:spacing w:before="0" w:after="80" w:line="259" w:lineRule="auto"/>
        <w:ind w:left="360" w:hanging="360"/>
      </w:pPr>
      <w:r>
        <w:rPr>
          <w:rFonts w:ascii="Aptos" w:hAnsi="Aptos"/>
          <w:b/>
          <w:color w:val="102A56"/>
        </w:rPr>
        <w:t xml:space="preserve">1.  </w:t>
      </w:r>
      <w:r>
        <w:rPr>
          <w:rFonts w:ascii="Aptos" w:hAnsi="Aptos"/>
        </w:rPr>
        <w:t>Automated Traffic Service obtains active fulfilment campaigns, targets, billing units and cumulative delivered quantities.</w:t>
      </w:r>
    </w:p>
    <w:p>
      <w:pPr>
        <w:spacing w:before="0" w:after="80" w:line="259" w:lineRule="auto"/>
        <w:ind w:left="360" w:hanging="360"/>
      </w:pPr>
      <w:r>
        <w:rPr>
          <w:rFonts w:ascii="Aptos" w:hAnsi="Aptos"/>
          <w:b/>
          <w:color w:val="102A56"/>
        </w:rPr>
        <w:t xml:space="preserve">2.  </w:t>
      </w:r>
      <w:r>
        <w:rPr>
          <w:rFonts w:ascii="Aptos" w:hAnsi="Aptos"/>
        </w:rPr>
        <w:t>Boost Factor Calculator converts the remaining target and remaining campaign time into delivery pressure, then normalises that pressure into scores within the market.</w:t>
      </w:r>
    </w:p>
    <w:p>
      <w:pPr>
        <w:spacing w:before="0" w:after="80" w:line="259" w:lineRule="auto"/>
        <w:ind w:left="360" w:hanging="360"/>
      </w:pPr>
      <w:r>
        <w:rPr>
          <w:rFonts w:ascii="Aptos" w:hAnsi="Aptos"/>
          <w:b/>
          <w:color w:val="102A56"/>
        </w:rPr>
        <w:t xml:space="preserve">3.  </w:t>
      </w:r>
      <w:r>
        <w:rPr>
          <w:rFonts w:ascii="Aptos" w:hAnsi="Aptos"/>
        </w:rPr>
        <w:t>Traffic Shaping API selects automated or manual scores according to market gates.</w:t>
      </w:r>
    </w:p>
    <w:p>
      <w:pPr>
        <w:spacing w:before="0" w:after="80" w:line="259" w:lineRule="auto"/>
        <w:ind w:left="360" w:hanging="360"/>
      </w:pPr>
      <w:r>
        <w:rPr>
          <w:rFonts w:ascii="Aptos" w:hAnsi="Aptos"/>
          <w:b/>
          <w:color w:val="102A56"/>
        </w:rPr>
        <w:t xml:space="preserve">4.  </w:t>
      </w:r>
      <w:r>
        <w:rPr>
          <w:rFonts w:ascii="Aptos" w:hAnsi="Aptos"/>
        </w:rPr>
        <w:t>Content Ranking API orders visible candidate content by descending score and then by content identifier.</w:t>
      </w:r>
    </w:p>
    <w:p>
      <w:pPr>
        <w:pStyle w:val="Heading2"/>
        <w:keepNext/>
      </w:pPr>
      <w:r>
        <w:t>Evidence reviewed</w:t>
      </w:r>
    </w:p>
    <w:p>
      <w:pPr>
        <w:pStyle w:val="ListBullet"/>
        <w:spacing w:before="0" w:after="60" w:line="259" w:lineRule="auto"/>
      </w:pPr>
      <w:r>
        <w:rPr>
          <w:rFonts w:ascii="Aptos" w:hAnsi="Aptos"/>
        </w:rPr>
        <w:t>Production-clone stage database snapshot for France on 14 September 2026.</w:t>
      </w:r>
    </w:p>
    <w:p>
      <w:pPr>
        <w:pStyle w:val="ListBullet"/>
        <w:spacing w:before="0" w:after="60" w:line="259" w:lineRule="auto"/>
      </w:pPr>
      <w:r>
        <w:rPr>
          <w:rFonts w:ascii="Aptos" w:hAnsi="Aptos"/>
        </w:rPr>
        <w:t>Automated Traffic Service, Boost Factor Calculator, Traffic Shaping API and Content Ranking API implementations.</w:t>
      </w:r>
    </w:p>
    <w:p>
      <w:pPr>
        <w:pStyle w:val="ListBullet"/>
        <w:spacing w:before="0" w:after="60" w:line="259" w:lineRule="auto"/>
      </w:pPr>
      <w:r>
        <w:rPr>
          <w:rFonts w:ascii="Aptos" w:hAnsi="Aptos"/>
        </w:rPr>
        <w:t>Airflow Media, Reach, DBA and global fulfilment and billing pipelines.</w:t>
      </w:r>
    </w:p>
    <w:p>
      <w:pPr>
        <w:pStyle w:val="ListBullet"/>
        <w:spacing w:before="0" w:after="60" w:line="259" w:lineRule="auto"/>
      </w:pPr>
      <w:r>
        <w:rPr>
          <w:rFonts w:ascii="Aptos" w:hAnsi="Aptos"/>
        </w:rPr>
        <w:t>Automated Traffic Management FR Restart Plan and the original investigation ticket.</w:t>
      </w:r>
    </w:p>
    <w:p>
      <w:pPr>
        <w:pStyle w:val="ListBullet"/>
        <w:spacing w:before="0" w:after="60" w:line="259" w:lineRule="auto"/>
      </w:pPr>
      <w:r>
        <w:rPr>
          <w:rFonts w:ascii="Aptos" w:hAnsi="Aptos"/>
        </w:rPr>
        <w:t>French Campaign Management clarification from Loïs Allaguillemette.</w:t>
      </w:r>
    </w:p>
    <w:p>
      <w:pPr>
        <w:pStyle w:val="ListBullet"/>
        <w:spacing w:before="0" w:after="60" w:line="259" w:lineRule="auto"/>
      </w:pPr>
      <w:r>
        <w:rPr>
          <w:rFonts w:ascii="Aptos" w:hAnsi="Aptos"/>
        </w:rPr>
        <w:t>Reach and performance-data clarification from Kristina Matveeva in the Data team.</w:t>
      </w:r>
    </w:p>
    <w:p>
      <w:pPr>
        <w:pStyle w:val="Heading2"/>
        <w:keepNext/>
      </w:pPr>
      <w:r>
        <w:t>How the feedback loop behaves</w:t>
      </w:r>
    </w:p>
    <w:p>
      <w:pPr>
        <w:keepLines w:val="0"/>
        <w:spacing w:before="0" w:after="120" w:line="269" w:lineRule="auto"/>
      </w:pPr>
      <w:r>
        <w:rPr>
          <w:rFonts w:ascii="Aptos" w:hAnsi="Aptos"/>
        </w:rPr>
        <w:t>For each campaign, the calculator determines whether the target has been reached. If not, it divides the remaining target by the remaining campaign hours and multiplies the required hourly quantity by cost per unit. The result is later normalised against other campaigns in the same market.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311"/>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Observed state</w:t>
            </w:r>
          </w:p>
        </w:tc>
        <w:tc>
          <w:tcPr>
            <w:tcW w:type="dxa" w:w="3384"/>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Calculator response</w:t>
            </w:r>
          </w:p>
        </w:tc>
        <w:tc>
          <w:tcPr>
            <w:tcW w:type="dxa" w:w="324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Expected delivery effect</w:t>
            </w:r>
          </w:p>
        </w:tc>
      </w:tr>
      <w:tr>
        <w:trPr>
          <w:cantSplit/>
        </w:trPr>
        <w:tc>
          <w:tcPr>
            <w:tcW w:type="dxa" w:w="3311"/>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Delivered quantity is ahead of the required pace</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Remaining required hourly quantity falls</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Media pressure should decrease</w:t>
            </w:r>
          </w:p>
        </w:tc>
      </w:tr>
      <w:tr>
        <w:trPr>
          <w:cantSplit/>
        </w:trPr>
        <w:tc>
          <w:tcPr>
            <w:tcW w:type="dxa" w:w="3311"/>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Delivered quantity is behind pace</w:t>
            </w:r>
          </w:p>
        </w:tc>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Required hourly quantity rises as time decreases</w:t>
            </w:r>
          </w:p>
        </w:tc>
        <w:tc>
          <w:tcPr>
            <w:tcW w:type="dxa" w:w="324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Media pressure should increase</w:t>
            </w:r>
          </w:p>
        </w:tc>
      </w:tr>
      <w:tr>
        <w:trPr>
          <w:cantSplit/>
        </w:trPr>
        <w:tc>
          <w:tcPr>
            <w:tcW w:type="dxa" w:w="3311"/>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Target has been reached</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Target-driven remaining quantity becomes zero</w:t>
            </w:r>
          </w:p>
        </w:tc>
        <w:tc>
          <w:tcPr>
            <w:tcW w:type="dxa" w:w="324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No further target deficit pressure</w:t>
            </w:r>
          </w:p>
        </w:tc>
      </w:tr>
    </w:tbl>
    <w:p>
      <w:pPr>
        <w:spacing w:after="0"/>
      </w:pPr>
    </w:p>
    <w:p>
      <w:pPr>
        <w:keepLines w:val="0"/>
        <w:spacing w:before="0" w:after="120" w:line="269" w:lineRule="auto"/>
      </w:pPr>
      <w:r>
        <w:rPr>
          <w:rFonts w:ascii="Aptos" w:hAnsi="Aptos"/>
        </w:rPr>
        <w:t>The loop observes delivery, not the position of content in the list. A higher score can improve placement and future delivery, but cannot guarantee delivery when inventory, eligibility, placement or visibility constraints prevent it.</w:t>
      </w:r>
    </w:p>
    <w:p>
      <w:r>
        <w:br w:type="page"/>
      </w:r>
    </w:p>
    <w:p>
      <w:pPr>
        <w:pStyle w:val="Heading1"/>
        <w:keepNext/>
      </w:pPr>
      <w:r>
        <w:t>Root cause assessment</w:t>
      </w:r>
    </w:p>
    <w:p>
      <w:pPr>
        <w:keepLines w:val="0"/>
        <w:spacing w:before="0" w:after="120" w:line="269" w:lineRule="auto"/>
      </w:pPr>
      <w:r>
        <w:rPr>
          <w:rFonts w:ascii="Aptos" w:hAnsi="Aptos"/>
        </w:rPr>
        <w:t>The investigation confirms the underlying measurement mismatch, but corrects two assumptions in the original hypothesis: the Media share is not a fixed 20 percent, and the current snapshot does not show an active target-bearing Flexible Media and Reach campaign directly exhibiting the full failure chain.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384"/>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7"/>
              </w:rPr>
              <w:t>Hypothesis</w:t>
            </w:r>
          </w:p>
        </w:tc>
        <w:tc>
          <w:tcPr>
            <w:tcW w:type="dxa" w:w="1655"/>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7"/>
              </w:rPr>
              <w:t>Status</w:t>
            </w:r>
          </w:p>
        </w:tc>
        <w:tc>
          <w:tcPr>
            <w:tcW w:type="dxa" w:w="4968"/>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7"/>
              </w:rPr>
              <w:t>Evidence and interpretation</w:t>
            </w:r>
          </w:p>
        </w:tc>
      </w:tr>
      <w:tr>
        <w:trPr>
          <w:cantSplit/>
        </w:trPr>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French Flexible Media and Reach contracts use one combined quantity</w:t>
            </w:r>
          </w:p>
        </w:tc>
        <w:tc>
          <w:tcPr>
            <w:tcW w:type="dxa" w:w="1655"/>
            <w:shd w:fill="FFFFFF"/>
            <w:tcMar>
              <w:top w:w="100" w:type="dxa"/>
              <w:start w:w="120" w:type="dxa"/>
              <w:bottom w:w="100" w:type="dxa"/>
              <w:end w:w="120" w:type="dxa"/>
            </w:tcMar>
            <w:vAlign w:val="center"/>
          </w:tcPr>
          <w:p>
            <w:pPr>
              <w:spacing w:before="0" w:after="0" w:line="240" w:lineRule="auto"/>
              <w:jc w:val="left"/>
            </w:pPr>
            <w:r>
              <w:rPr>
                <w:rFonts w:ascii="Aptos" w:hAnsi="Aptos"/>
                <w:b/>
                <w:color w:val="1B7F5A"/>
                <w:sz w:val="18"/>
              </w:rPr>
              <w:t>Confirmed</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Campaign Management states that the quantity covers both delivery channels.</w:t>
            </w:r>
          </w:p>
        </w:tc>
      </w:tr>
      <w:tr>
        <w:trPr>
          <w:cantSplit/>
        </w:trPr>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The quantity is split approximately 80 percent Reach and 20 percent Media</w:t>
            </w:r>
          </w:p>
        </w:tc>
        <w:tc>
          <w:tcPr>
            <w:tcW w:type="dxa" w:w="1655"/>
            <w:shd w:fill="EEF4FF"/>
            <w:tcMar>
              <w:top w:w="100" w:type="dxa"/>
              <w:start w:w="120" w:type="dxa"/>
              <w:bottom w:w="100" w:type="dxa"/>
              <w:end w:w="120" w:type="dxa"/>
            </w:tcMar>
            <w:vAlign w:val="center"/>
          </w:tcPr>
          <w:p>
            <w:pPr>
              <w:spacing w:before="0" w:after="0" w:line="240" w:lineRule="auto"/>
              <w:jc w:val="left"/>
            </w:pPr>
            <w:r>
              <w:rPr>
                <w:rFonts w:ascii="Aptos" w:hAnsi="Aptos"/>
                <w:b/>
                <w:color w:val="A65A00"/>
                <w:sz w:val="18"/>
              </w:rPr>
              <w:t>Corrected</w:t>
            </w:r>
          </w:p>
        </w:tc>
        <w:tc>
          <w:tcPr>
            <w:tcW w:type="dxa" w:w="496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There is no advance split. Delivery is optimised, normally maximising Media and using Reach for the remainder.</w:t>
            </w:r>
          </w:p>
        </w:tc>
      </w:tr>
      <w:tr>
        <w:trPr>
          <w:cantSplit/>
        </w:trPr>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ATS delivery currently represents Media brochure events</w:t>
            </w:r>
          </w:p>
        </w:tc>
        <w:tc>
          <w:tcPr>
            <w:tcW w:type="dxa" w:w="1655"/>
            <w:shd w:fill="FFFFFF"/>
            <w:tcMar>
              <w:top w:w="100" w:type="dxa"/>
              <w:start w:w="120" w:type="dxa"/>
              <w:bottom w:w="100" w:type="dxa"/>
              <w:end w:w="120" w:type="dxa"/>
            </w:tcMar>
            <w:vAlign w:val="center"/>
          </w:tcPr>
          <w:p>
            <w:pPr>
              <w:spacing w:before="0" w:after="0" w:line="240" w:lineRule="auto"/>
              <w:jc w:val="left"/>
            </w:pPr>
            <w:r>
              <w:rPr>
                <w:rFonts w:ascii="Aptos" w:hAnsi="Aptos"/>
                <w:b/>
                <w:color w:val="1B7F5A"/>
                <w:sz w:val="18"/>
              </w:rPr>
              <w:t>Confirmed</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The ATS warehouse lineage counts brochure impressions or brochure engagements and contains no explicit Reach addition.</w:t>
            </w:r>
          </w:p>
        </w:tc>
      </w:tr>
      <w:tr>
        <w:trPr>
          <w:cantSplit/>
        </w:trPr>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Reach performance is available by campaign</w:t>
            </w:r>
          </w:p>
        </w:tc>
        <w:tc>
          <w:tcPr>
            <w:tcW w:type="dxa" w:w="1655"/>
            <w:shd w:fill="EEF4FF"/>
            <w:tcMar>
              <w:top w:w="100" w:type="dxa"/>
              <w:start w:w="120" w:type="dxa"/>
              <w:bottom w:w="100" w:type="dxa"/>
              <w:end w:w="120" w:type="dxa"/>
            </w:tcMar>
            <w:vAlign w:val="center"/>
          </w:tcPr>
          <w:p>
            <w:pPr>
              <w:spacing w:before="0" w:after="0" w:line="240" w:lineRule="auto"/>
              <w:jc w:val="left"/>
            </w:pPr>
            <w:r>
              <w:rPr>
                <w:rFonts w:ascii="Aptos" w:hAnsi="Aptos"/>
                <w:b/>
                <w:color w:val="1B7F5A"/>
                <w:sz w:val="18"/>
              </w:rPr>
              <w:t>Confirmed</w:t>
            </w:r>
          </w:p>
        </w:tc>
        <w:tc>
          <w:tcPr>
            <w:tcW w:type="dxa" w:w="496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Data identified reporting.agg_reach_campaign_stats for clicks, impressions and engagements, depending on CPM, CPC or CPE contracts.</w:t>
            </w:r>
          </w:p>
        </w:tc>
      </w:tr>
      <w:tr>
        <w:trPr>
          <w:cantSplit/>
        </w:trPr>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The combined-target mismatch can create a false deficit</w:t>
            </w:r>
          </w:p>
        </w:tc>
        <w:tc>
          <w:tcPr>
            <w:tcW w:type="dxa" w:w="1655"/>
            <w:shd w:fill="FFFFFF"/>
            <w:tcMar>
              <w:top w:w="100" w:type="dxa"/>
              <w:start w:w="120" w:type="dxa"/>
              <w:bottom w:w="100" w:type="dxa"/>
              <w:end w:w="120" w:type="dxa"/>
            </w:tcMar>
            <w:vAlign w:val="center"/>
          </w:tcPr>
          <w:p>
            <w:pPr>
              <w:spacing w:before="0" w:after="0" w:line="240" w:lineRule="auto"/>
              <w:jc w:val="left"/>
            </w:pPr>
            <w:r>
              <w:rPr>
                <w:rFonts w:ascii="Aptos" w:hAnsi="Aptos"/>
                <w:b/>
                <w:color w:val="1B7F5A"/>
                <w:sz w:val="18"/>
              </w:rPr>
              <w:t>Confirmed</w:t>
            </w:r>
          </w:p>
        </w:tc>
        <w:tc>
          <w:tcPr>
            <w:tcW w:type="dxa" w:w="496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If Reach delivery is omitted, BFC subtracts only Media delivery from the combined target and overstates the remaining requirement.</w:t>
            </w:r>
          </w:p>
        </w:tc>
      </w:tr>
      <w:tr>
        <w:trPr>
          <w:cantSplit/>
        </w:trPr>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A Reach campaign is monopolising the live French list today</w:t>
            </w:r>
          </w:p>
        </w:tc>
        <w:tc>
          <w:tcPr>
            <w:tcW w:type="dxa" w:w="1655"/>
            <w:shd w:fill="EEF4FF"/>
            <w:tcMar>
              <w:top w:w="100" w:type="dxa"/>
              <w:start w:w="120" w:type="dxa"/>
              <w:bottom w:w="100" w:type="dxa"/>
              <w:end w:w="120" w:type="dxa"/>
            </w:tcMar>
            <w:vAlign w:val="center"/>
          </w:tcPr>
          <w:p>
            <w:pPr>
              <w:spacing w:before="0" w:after="0" w:line="240" w:lineRule="auto"/>
              <w:jc w:val="left"/>
            </w:pPr>
            <w:r>
              <w:rPr>
                <w:rFonts w:ascii="Aptos" w:hAnsi="Aptos"/>
                <w:b/>
                <w:color w:val="B42318"/>
                <w:sz w:val="18"/>
              </w:rPr>
              <w:t>Not confirmed</w:t>
            </w:r>
          </w:p>
        </w:tc>
        <w:tc>
          <w:tcPr>
            <w:tcW w:type="dxa" w:w="496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French automation is disabled. The current Flexible Media and Reach item has no target and receives a fixed score; actual live serving remains on the manual path.</w:t>
            </w:r>
          </w:p>
        </w:tc>
      </w:tr>
    </w:tbl>
    <w:p>
      <w:pPr>
        <w:spacing w:after="0"/>
      </w:pPr>
    </w:p>
    <w:p>
      <w:pPr>
        <w:pStyle w:val="Heading2"/>
        <w:keepNext/>
      </w:pPr>
      <w:r>
        <w:t>Confirmed failure chain for future target-bearing campaigns</w:t>
      </w:r>
    </w:p>
    <w:p>
      <w:pPr>
        <w:keepLines w:val="0"/>
        <w:spacing w:before="0" w:after="120" w:line="269" w:lineRule="auto"/>
      </w:pPr>
      <w:r>
        <w:rPr>
          <w:rFonts w:ascii="Aptos" w:hAnsi="Aptos"/>
        </w:rPr>
        <w:t>Combined target enters ATS -&gt; ATS counts only Media delivery -&gt; remaining target is overstated -&gt; required hourly run rate is overstated -&gt; score pressure rises -&gt; all eligible contents attached to the campaign receive the same elevated score -&gt; those contents can cluster near the top.</w:t>
      </w:r>
    </w:p>
    <w:p>
      <w:pPr>
        <w:keepLines w:val="0"/>
        <w:spacing w:before="0" w:after="120" w:line="269" w:lineRule="auto"/>
      </w:pPr>
      <w:r>
        <w:rPr>
          <w:rFonts w:ascii="Aptos" w:hAnsi="Aptos"/>
        </w:rPr>
        <w:t>Replacing Media-only delivery with a complete combined delivered quantity corrects the first half of this chain. It does not remove the final concentration mechanism, because the same campaign score is still copied to every related content.</w:t>
      </w:r>
    </w:p>
    <w:p>
      <w:r>
        <w:br w:type="page"/>
      </w:r>
    </w:p>
    <w:p>
      <w:pPr>
        <w:pStyle w:val="Heading1"/>
        <w:keepNext/>
      </w:pPr>
      <w:r>
        <w:t>Current French scoring snapshot</w:t>
      </w:r>
    </w:p>
    <w:p>
      <w:pPr>
        <w:keepLines w:val="0"/>
        <w:spacing w:before="0" w:after="120" w:line="269" w:lineRule="auto"/>
      </w:pPr>
      <w:r>
        <w:rPr>
          <w:rFonts w:ascii="Aptos" w:hAnsi="Aptos"/>
        </w:rPr>
        <w:t>The snapshot below describes stored automated scoring candidates, not the currently served French experience. All French automation gates were disabled at the time of analysis. Scores are market-specific, so German campaign scores neither compete with nor influence French campaign scores.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324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Measure</w:t>
            </w:r>
          </w:p>
        </w:tc>
        <w:tc>
          <w:tcPr>
            <w:tcW w:type="dxa" w:w="2088"/>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France snapshot</w:t>
            </w:r>
          </w:p>
        </w:tc>
        <w:tc>
          <w:tcPr>
            <w:tcW w:type="dxa" w:w="468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Interpretation</w:t>
            </w:r>
          </w:p>
        </w:tc>
      </w:tr>
      <w:tr>
        <w:trPr>
          <w:cantSplit/>
        </w:trPr>
        <w:tc>
          <w:tcPr>
            <w:tcW w:type="dxa" w:w="324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Target-driven campaigns in products 2, 3, 5 and 6</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86</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85 carried a non-null automated score</w:t>
            </w:r>
          </w:p>
        </w:tc>
      </w:tr>
      <w:tr>
        <w:trPr>
          <w:cantSplit/>
        </w:trPr>
        <w:tc>
          <w:tcPr>
            <w:tcW w:type="dxa" w:w="324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Median automated score</w:t>
            </w:r>
          </w:p>
        </w:tc>
        <w:tc>
          <w:tcPr>
            <w:tcW w:type="dxa" w:w="208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0.0459</w:t>
            </w:r>
          </w:p>
        </w:tc>
        <w:tc>
          <w:tcPr>
            <w:tcW w:type="dxa" w:w="46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Most campaigns sit at low pressure</w:t>
            </w:r>
          </w:p>
        </w:tc>
      </w:tr>
      <w:tr>
        <w:trPr>
          <w:cantSplit/>
        </w:trPr>
        <w:tc>
          <w:tcPr>
            <w:tcW w:type="dxa" w:w="324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90th percentile score</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0.324884</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A small upper group separates strongly from the median</w:t>
            </w:r>
          </w:p>
        </w:tc>
      </w:tr>
      <w:tr>
        <w:trPr>
          <w:cantSplit/>
        </w:trPr>
        <w:tc>
          <w:tcPr>
            <w:tcW w:type="dxa" w:w="324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Campaigns scoring at least 0.5</w:t>
            </w:r>
          </w:p>
        </w:tc>
        <w:tc>
          <w:tcPr>
            <w:tcW w:type="dxa" w:w="208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4</w:t>
            </w:r>
          </w:p>
        </w:tc>
        <w:tc>
          <w:tcPr>
            <w:tcW w:type="dxa" w:w="46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Only a few campaigns occupy the extreme high-score range</w:t>
            </w:r>
          </w:p>
        </w:tc>
      </w:tr>
      <w:tr>
        <w:trPr>
          <w:cantSplit/>
        </w:trPr>
        <w:tc>
          <w:tcPr>
            <w:tcW w:type="dxa" w:w="324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Flexible Media and Reach product 7</w:t>
            </w:r>
          </w:p>
        </w:tc>
        <w:tc>
          <w:tcPr>
            <w:tcW w:type="dxa" w:w="208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1 campaign</w:t>
            </w:r>
          </w:p>
        </w:tc>
        <w:tc>
          <w:tcPr>
            <w:tcW w:type="dxa" w:w="46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No target; fixed score 0.985; 3 active contents</w:t>
            </w:r>
          </w:p>
        </w:tc>
      </w:tr>
      <w:tr>
        <w:trPr>
          <w:cantSplit/>
        </w:trPr>
        <w:tc>
          <w:tcPr>
            <w:tcW w:type="dxa" w:w="324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Highest score observed</w:t>
            </w:r>
          </w:p>
        </w:tc>
        <w:tc>
          <w:tcPr>
            <w:tcW w:type="dxa" w:w="208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1.000</w:t>
            </w:r>
          </w:p>
        </w:tc>
        <w:tc>
          <w:tcPr>
            <w:tcW w:type="dxa" w:w="46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Campaign C000071118; 1 active content</w:t>
            </w:r>
          </w:p>
        </w:tc>
      </w:tr>
    </w:tbl>
    <w:p>
      <w:pPr>
        <w:spacing w:after="0"/>
      </w:pPr>
    </w:p>
    <w:p>
      <w:pPr>
        <w:pStyle w:val="Heading2"/>
        <w:keepNext/>
      </w:pPr>
      <w:r>
        <w:t>Potential content concentration</w:t>
      </w:r>
    </w:p>
    <w:p>
      <w:pPr>
        <w:keepLines w:val="0"/>
        <w:spacing w:before="0" w:after="120" w:line="269" w:lineRule="auto"/>
      </w:pPr>
      <w:r>
        <w:rPr>
          <w:rFonts w:ascii="Aptos" w:hAnsi="Aptos"/>
        </w:rPr>
        <w:t>To test the PM concern, fulfilment campaigns were expanded to their currently active contents and ordered by automated score. This is a score-only stress test: it assumes all listed contents are eligible for the same user and placement and therefore represents an upper-bound concentration scenario, not a recorded app response.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88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Cut of ranked candidates</w:t>
            </w:r>
          </w:p>
        </w:tc>
        <w:tc>
          <w:tcPr>
            <w:tcW w:type="dxa" w:w="288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Largest single-campaign share</w:t>
            </w:r>
          </w:p>
        </w:tc>
        <w:tc>
          <w:tcPr>
            <w:tcW w:type="dxa" w:w="4248"/>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Driver</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Top 10</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3 of 10</w:t>
            </w:r>
          </w:p>
        </w:tc>
        <w:tc>
          <w:tcPr>
            <w:tcW w:type="dxa" w:w="424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Flexible Media and Reach campaign C000071027</w:t>
            </w:r>
          </w:p>
        </w:tc>
      </w:tr>
      <w:tr>
        <w:trPr>
          <w:cantSplit/>
        </w:trPr>
        <w:tc>
          <w:tcPr>
            <w:tcW w:type="dxa" w:w="28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Top 20</w:t>
            </w:r>
          </w:p>
        </w:tc>
        <w:tc>
          <w:tcPr>
            <w:tcW w:type="dxa" w:w="28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8 of 20</w:t>
            </w:r>
          </w:p>
        </w:tc>
        <w:tc>
          <w:tcPr>
            <w:tcW w:type="dxa" w:w="4248"/>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Flexible Offers campaign C000070691</w:t>
            </w:r>
          </w:p>
        </w:tc>
      </w:tr>
      <w:tr>
        <w:trPr>
          <w:cantSplit/>
        </w:trPr>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Top 30</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18 of 30</w:t>
            </w:r>
          </w:p>
        </w:tc>
        <w:tc>
          <w:tcPr>
            <w:tcW w:type="dxa" w:w="4248"/>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Flexible Offers campaign C000070691</w:t>
            </w:r>
          </w:p>
        </w:tc>
      </w:tr>
    </w:tbl>
    <w:p>
      <w:pPr>
        <w:spacing w:after="0"/>
      </w:pPr>
    </w:p>
    <w:p>
      <w:pPr>
        <w:keepLines w:val="0"/>
        <w:spacing w:before="0" w:after="120" w:line="269" w:lineRule="auto"/>
      </w:pPr>
      <w:r>
        <w:rPr>
          <w:rFonts w:ascii="Aptos" w:hAnsi="Aptos"/>
        </w:rPr>
        <w:t>The largest current stress-test cluster comes from a non-Reach Flexible Offers campaign with 31 active contents and score 0.39957. This demonstrates that list concentration is a general serving and content-cardinality issue, not solely a Reach-target issue.</w:t>
      </w:r>
    </w:p>
    <w:p>
      <w:pPr>
        <w:pStyle w:val="Heading2"/>
        <w:keepNext/>
      </w:pPr>
      <w:r>
        <w:t>What the previous experiment adds</w:t>
      </w:r>
    </w:p>
    <w:p>
      <w:pPr>
        <w:keepLines w:val="0"/>
        <w:spacing w:before="0" w:after="120" w:line="269" w:lineRule="auto"/>
      </w:pPr>
      <w:r>
        <w:rPr>
          <w:rFonts w:ascii="Aptos" w:hAnsi="Aptos"/>
        </w:rPr>
        <w:t>The PM restart material reports that the November 2024 to February 2025 experiment affected only about 2.6 percent of total impressions and produced mixed results: flexible products improved on several engagement measures, while base products declined on several health metrics. The experiment also had campaign-status, target-unit and shared-budget uncertainties. Those historical results support caution but do not isolate the combined-target issue as the sole cause.</w:t>
      </w:r>
    </w:p>
    <w:p>
      <w:r>
        <w:br w:type="page"/>
      </w:r>
    </w:p>
    <w:p>
      <w:pPr>
        <w:pStyle w:val="Heading1"/>
        <w:keepNext/>
      </w:pPr>
      <w:r>
        <w:t>Reach data availability and integration</w:t>
      </w:r>
    </w:p>
    <w:p>
      <w:pPr>
        <w:keepLines w:val="0"/>
        <w:spacing w:before="0" w:after="120" w:line="269" w:lineRule="auto"/>
      </w:pPr>
      <w:r>
        <w:rPr>
          <w:rFonts w:ascii="Aptos" w:hAnsi="Aptos"/>
        </w:rPr>
        <w:t>The Data team confirmed that Reach performance is available and recommended using reporting.agg_reach_campaign_stats rather than raw tracking events. Raw DBA events cover DBA-owned interactions, but external Ad Platform Reach requires aggregated performance data.</w:t>
      </w:r>
    </w:p>
    <w:p>
      <w:pPr>
        <w:pStyle w:val="Heading2"/>
        <w:keepNext/>
      </w:pPr>
      <w:r>
        <w:t>Existing canonical data path</w:t>
      </w:r>
    </w:p>
    <w:p>
      <w:pPr>
        <w:spacing w:before="0" w:after="80" w:line="259" w:lineRule="auto"/>
        <w:ind w:left="360" w:hanging="360"/>
      </w:pPr>
      <w:r>
        <w:rPr>
          <w:rFonts w:ascii="Aptos" w:hAnsi="Aptos"/>
          <w:b/>
          <w:color w:val="102A56"/>
        </w:rPr>
        <w:t xml:space="preserve">1.  </w:t>
      </w:r>
      <w:r>
        <w:rPr>
          <w:rFonts w:ascii="Aptos" w:hAnsi="Aptos"/>
        </w:rPr>
        <w:t>The Reach fulfilment query joins aggregated platform performance through Reach ad, ad-group and campaign mappings to campaign_item_id.</w:t>
      </w:r>
    </w:p>
    <w:p>
      <w:pPr>
        <w:spacing w:before="0" w:after="80" w:line="259" w:lineRule="auto"/>
        <w:ind w:left="360" w:hanging="360"/>
      </w:pPr>
      <w:r>
        <w:rPr>
          <w:rFonts w:ascii="Aptos" w:hAnsi="Aptos"/>
          <w:b/>
          <w:color w:val="102A56"/>
        </w:rPr>
        <w:t xml:space="preserve">2.  </w:t>
      </w:r>
      <w:r>
        <w:rPr>
          <w:rFonts w:ascii="Aptos" w:hAnsi="Aptos"/>
        </w:rPr>
        <w:t>It selects clicks or impressions according to the Salesforce price unit and associates delivery with a revenue schedule.</w:t>
      </w:r>
    </w:p>
    <w:p>
      <w:pPr>
        <w:spacing w:before="0" w:after="80" w:line="259" w:lineRule="auto"/>
        <w:ind w:left="360" w:hanging="360"/>
      </w:pPr>
      <w:r>
        <w:rPr>
          <w:rFonts w:ascii="Aptos" w:hAnsi="Aptos"/>
          <w:b/>
          <w:color w:val="102A56"/>
        </w:rPr>
        <w:t xml:space="preserve">3.  </w:t>
      </w:r>
      <w:r>
        <w:rPr>
          <w:rFonts w:ascii="Aptos" w:hAnsi="Aptos"/>
        </w:rPr>
        <w:t>The Media fulfilment query labels Flexible Media and Reach brochure delivery as flexible_media.</w:t>
      </w:r>
    </w:p>
    <w:p>
      <w:pPr>
        <w:spacing w:before="0" w:after="80" w:line="259" w:lineRule="auto"/>
        <w:ind w:left="360" w:hanging="360"/>
      </w:pPr>
      <w:r>
        <w:rPr>
          <w:rFonts w:ascii="Aptos" w:hAnsi="Aptos"/>
          <w:b/>
          <w:color w:val="102A56"/>
        </w:rPr>
        <w:t xml:space="preserve">4.  </w:t>
      </w:r>
      <w:r>
        <w:rPr>
          <w:rFonts w:ascii="Aptos" w:hAnsi="Aptos"/>
        </w:rPr>
        <w:t>The billing sync sums flexible_media and flexible_reach delivery and writes the combined value to the Salesforce revenue schedule delivered quantity field.</w:t>
      </w:r>
    </w:p>
    <w:p>
      <w:pPr>
        <w:keepLines w:val="0"/>
        <w:spacing w:before="0" w:after="120" w:line="269" w:lineRule="auto"/>
      </w:pPr>
      <w:r>
        <w:rPr>
          <w:rFonts w:ascii="Aptos" w:hAnsi="Aptos"/>
        </w:rPr>
        <w:t>This existing path makes the billing aggregate or its underlying query the preferred source of truth. ATS should not duplicate network attribution rules unless the Data team explicitly makes a dedicated hourly fulfilment view available.</w:t>
      </w:r>
    </w:p>
    <w:p>
      <w:pPr>
        <w:pStyle w:val="Heading2"/>
        <w:keepNext/>
      </w:pPr>
      <w:r>
        <w:t>Recommended target and delivery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232"/>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Contract unit</w:t>
            </w:r>
          </w:p>
        </w:tc>
        <w:tc>
          <w:tcPr>
            <w:tcW w:type="dxa" w:w="3384"/>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Target used by BFC</w:t>
            </w:r>
          </w:p>
        </w:tc>
        <w:tc>
          <w:tcPr>
            <w:tcW w:type="dxa" w:w="4392"/>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8"/>
              </w:rPr>
              <w:t>Delivered quantity supplied to BFC</w:t>
            </w:r>
          </w:p>
        </w:tc>
      </w:tr>
      <w:tr>
        <w:trPr>
          <w:cantSplit/>
        </w:trPr>
        <w:tc>
          <w:tcPr>
            <w:tcW w:type="dxa" w:w="223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CPM or impression</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Combined contractual impressions</w:t>
            </w:r>
          </w:p>
        </w:tc>
        <w:tc>
          <w:tcPr>
            <w:tcW w:type="dxa" w:w="439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Media impressions + applicable Reach impressions</w:t>
            </w:r>
          </w:p>
        </w:tc>
      </w:tr>
      <w:tr>
        <w:trPr>
          <w:cantSplit/>
        </w:trPr>
        <w:tc>
          <w:tcPr>
            <w:tcW w:type="dxa" w:w="223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CPC or click</w:t>
            </w:r>
          </w:p>
        </w:tc>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Combined contractual clicks</w:t>
            </w:r>
          </w:p>
        </w:tc>
        <w:tc>
          <w:tcPr>
            <w:tcW w:type="dxa" w:w="439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8"/>
              </w:rPr>
              <w:t>Media clicks + applicable Reach clicks</w:t>
            </w:r>
          </w:p>
        </w:tc>
      </w:tr>
      <w:tr>
        <w:trPr>
          <w:cantSplit/>
        </w:trPr>
        <w:tc>
          <w:tcPr>
            <w:tcW w:type="dxa" w:w="223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CPE or engagement</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Combined contractual engagements</w:t>
            </w:r>
          </w:p>
        </w:tc>
        <w:tc>
          <w:tcPr>
            <w:tcW w:type="dxa" w:w="439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8"/>
              </w:rPr>
              <w:t>Media and Reach events matching the contractual engagement definition</w:t>
            </w:r>
          </w:p>
        </w:tc>
      </w:tr>
    </w:tbl>
    <w:p>
      <w:pPr>
        <w:spacing w:after="0"/>
      </w:pPr>
    </w:p>
    <w:p>
      <w:pPr>
        <w:keepLines w:val="0"/>
        <w:spacing w:before="0" w:after="120" w:line="269" w:lineRule="auto"/>
      </w:pPr>
      <w:r>
        <w:rPr>
          <w:rFonts w:ascii="Aptos" w:hAnsi="Aptos"/>
        </w:rPr>
        <w:t>For event counts, the sources can be added when they are mutually exclusive. Unique-user or deduplicated reach contracts require a cross-channel deduplication rule and must not be implemented as a simple sum.</w:t>
      </w:r>
    </w:p>
    <w:p>
      <w:pPr>
        <w:pStyle w:val="Heading2"/>
        <w:keepNext/>
      </w:pPr>
      <w:r>
        <w:t>Required data contract</w:t>
      </w:r>
    </w:p>
    <w:p>
      <w:pPr>
        <w:pStyle w:val="ListBullet"/>
        <w:spacing w:before="0" w:after="60" w:line="259" w:lineRule="auto"/>
      </w:pPr>
      <w:r>
        <w:rPr>
          <w:rFonts w:ascii="Aptos" w:hAnsi="Aptos"/>
        </w:rPr>
        <w:t>Stable campaign item or fulfilment campaign identifier and revenue-schedule attribution.</w:t>
      </w:r>
    </w:p>
    <w:p>
      <w:pPr>
        <w:pStyle w:val="ListBullet"/>
        <w:spacing w:before="0" w:after="60" w:line="259" w:lineRule="auto"/>
      </w:pPr>
      <w:r>
        <w:rPr>
          <w:rFonts w:ascii="Aptos" w:hAnsi="Aptos"/>
        </w:rPr>
        <w:t>Contract billing metric: impression, click or defined engagement.</w:t>
      </w:r>
    </w:p>
    <w:p>
      <w:pPr>
        <w:pStyle w:val="ListBullet"/>
        <w:spacing w:before="0" w:after="60" w:line="259" w:lineRule="auto"/>
      </w:pPr>
      <w:r>
        <w:rPr>
          <w:rFonts w:ascii="Aptos" w:hAnsi="Aptos"/>
        </w:rPr>
        <w:t>Cumulative delivered quantity from campaign start through the latest complete interval.</w:t>
      </w:r>
    </w:p>
    <w:p>
      <w:pPr>
        <w:pStyle w:val="ListBullet"/>
        <w:spacing w:before="0" w:after="60" w:line="259" w:lineRule="auto"/>
      </w:pPr>
      <w:r>
        <w:rPr>
          <w:rFonts w:ascii="Aptos" w:hAnsi="Aptos"/>
        </w:rPr>
        <w:t>Channel coverage metadata indicating Media, Ad Platforms and DBA inclusion.</w:t>
      </w:r>
    </w:p>
    <w:p>
      <w:pPr>
        <w:pStyle w:val="ListBullet"/>
        <w:spacing w:before="0" w:after="60" w:line="259" w:lineRule="auto"/>
      </w:pPr>
      <w:r>
        <w:rPr>
          <w:rFonts w:ascii="Aptos" w:hAnsi="Aptos"/>
        </w:rPr>
        <w:t>Data timestamp, freshness and completeness status suitable for an hourly controller.</w:t>
      </w:r>
    </w:p>
    <w:p>
      <w:r>
        <w:br w:type="page"/>
      </w:r>
    </w:p>
    <w:p>
      <w:pPr>
        <w:pStyle w:val="Heading1"/>
        <w:keepNext/>
      </w:pPr>
      <w:r>
        <w:t>Solution options and recommendation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cantSplit/>
        </w:trPr>
        <w:tc>
          <w:tcPr>
            <w:tcW w:type="dxa" w:w="604"/>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6"/>
              </w:rPr>
              <w:t>Rank</w:t>
            </w:r>
          </w:p>
        </w:tc>
        <w:tc>
          <w:tcPr>
            <w:tcW w:type="dxa" w:w="1872"/>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6"/>
              </w:rPr>
              <w:t>Option</w:t>
            </w:r>
          </w:p>
        </w:tc>
        <w:tc>
          <w:tcPr>
            <w:tcW w:type="dxa" w:w="1612"/>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6"/>
              </w:rPr>
              <w:t>Position</w:t>
            </w:r>
          </w:p>
        </w:tc>
        <w:tc>
          <w:tcPr>
            <w:tcW w:type="dxa" w:w="3384"/>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6"/>
              </w:rPr>
              <w:t>How it works</w:t>
            </w:r>
          </w:p>
        </w:tc>
        <w:tc>
          <w:tcPr>
            <w:tcW w:type="dxa" w:w="288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6"/>
              </w:rPr>
              <w:t>Trade-off</w:t>
            </w:r>
          </w:p>
        </w:tc>
      </w:tr>
      <w:tr>
        <w:trPr>
          <w:cantSplit/>
        </w:trPr>
        <w:tc>
          <w:tcPr>
            <w:tcW w:type="dxa" w:w="60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1</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Combined actual delivery</w:t>
            </w:r>
          </w:p>
        </w:tc>
        <w:tc>
          <w:tcPr>
            <w:tcW w:type="dxa" w:w="161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Recommended</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Use Media plus applicable Reach delivery against the existing combined target. Reuse billing attribution and expose an hourly or freshness-aware aggregate to ATS.</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Correct semantics; low CM effort; Data dependency and latency work required.</w:t>
            </w:r>
          </w:p>
        </w:tc>
      </w:tr>
      <w:tr>
        <w:trPr>
          <w:cantSplit/>
        </w:trPr>
        <w:tc>
          <w:tcPr>
            <w:tcW w:type="dxa" w:w="60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2</w:t>
            </w:r>
          </w:p>
        </w:tc>
        <w:tc>
          <w:tcPr>
            <w:tcW w:type="dxa" w:w="187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Serving diversity guardrail</w:t>
            </w:r>
          </w:p>
        </w:tc>
        <w:tc>
          <w:tcPr>
            <w:tcW w:type="dxa" w:w="161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Recommended in parallel</w:t>
            </w:r>
          </w:p>
        </w:tc>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Limit or diversify contents from the same campaign item within the first N results, with placement-aware configuration.</w:t>
            </w:r>
          </w:p>
        </w:tc>
        <w:tc>
          <w:tcPr>
            <w:tcW w:type="dxa" w:w="28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Protects user experience but does not correct fulfilment accounting.</w:t>
            </w:r>
          </w:p>
        </w:tc>
      </w:tr>
      <w:tr>
        <w:trPr>
          <w:cantSplit/>
        </w:trPr>
        <w:tc>
          <w:tcPr>
            <w:tcW w:type="dxa" w:w="60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3</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Temporary exclusion</w:t>
            </w:r>
          </w:p>
        </w:tc>
        <w:tc>
          <w:tcPr>
            <w:tcW w:type="dxa" w:w="161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Short-term fallback</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Keep incompatible Flexible Media and Reach campaigns on manual scoring until combined delivery is trustworthy.</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Safe and reversible; reduces automation coverage.</w:t>
            </w:r>
          </w:p>
        </w:tc>
      </w:tr>
      <w:tr>
        <w:trPr>
          <w:cantSplit/>
        </w:trPr>
        <w:tc>
          <w:tcPr>
            <w:tcW w:type="dxa" w:w="60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4</w:t>
            </w:r>
          </w:p>
        </w:tc>
        <w:tc>
          <w:tcPr>
            <w:tcW w:type="dxa" w:w="187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Explicit Media target</w:t>
            </w:r>
          </w:p>
        </w:tc>
        <w:tc>
          <w:tcPr>
            <w:tcW w:type="dxa" w:w="161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Conditional</w:t>
            </w:r>
          </w:p>
        </w:tc>
        <w:tc>
          <w:tcPr>
            <w:tcW w:type="dxa" w:w="3384"/>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Use only if Sales or Campaign Management creates and owns a real Media commitment for every affected item.</w:t>
            </w:r>
          </w:p>
        </w:tc>
        <w:tc>
          <w:tcPr>
            <w:tcW w:type="dxa" w:w="288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6"/>
              </w:rPr>
              <w:t>Clear control target, but contradicts current flexible allocation and adds operational effort.</w:t>
            </w:r>
          </w:p>
        </w:tc>
      </w:tr>
      <w:tr>
        <w:trPr>
          <w:cantSplit/>
        </w:trPr>
        <w:tc>
          <w:tcPr>
            <w:tcW w:type="dxa" w:w="60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5</w:t>
            </w:r>
          </w:p>
        </w:tc>
        <w:tc>
          <w:tcPr>
            <w:tcW w:type="dxa" w:w="187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Fixed adjustment factor</w:t>
            </w:r>
          </w:p>
        </w:tc>
        <w:tc>
          <w:tcPr>
            <w:tcW w:type="dxa" w:w="161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Not recommended</w:t>
            </w:r>
          </w:p>
        </w:tc>
        <w:tc>
          <w:tcPr>
            <w:tcW w:type="dxa" w:w="3384"/>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Multiply French targets by an assumed Media share such as 20 percent.</w:t>
            </w:r>
          </w:p>
        </w:tc>
        <w:tc>
          <w:tcPr>
            <w:tcW w:type="dxa" w:w="288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6"/>
              </w:rPr>
              <w:t>Fast but inaccurate; the split is campaign-specific and changes during delivery.</w:t>
            </w:r>
          </w:p>
        </w:tc>
      </w:tr>
    </w:tbl>
    <w:p>
      <w:pPr>
        <w:spacing w:after="0"/>
      </w:pPr>
    </w:p>
    <w:p>
      <w:pPr>
        <w:pStyle w:val="Heading2"/>
        <w:keepNext/>
      </w:pPr>
      <w:r>
        <w:t>Why a target split is not the primary solution</w:t>
      </w:r>
    </w:p>
    <w:p>
      <w:pPr>
        <w:keepLines w:val="0"/>
        <w:spacing w:before="0" w:after="120" w:line="269" w:lineRule="auto"/>
      </w:pPr>
      <w:r>
        <w:rPr>
          <w:rFonts w:ascii="Aptos" w:hAnsi="Aptos"/>
        </w:rPr>
        <w:t>A split target is useful only when it represents a business commitment. Campaign Management confirmed that Flexible Media and Reach quantities are not divided in advance; the operating objective is to maximise Media and use Reach for the remainder. Creating an arbitrary Media target would convert a flexible optimisation problem into a static allocation rule and could under-deliver Media opportunity or over-deliver the total contract.</w:t>
      </w:r>
    </w:p>
    <w:p>
      <w:pPr>
        <w:pStyle w:val="Heading2"/>
        <w:keepNext/>
      </w:pPr>
      <w:r>
        <w:t>Why correct delivery is not enough</w:t>
      </w:r>
    </w:p>
    <w:p>
      <w:pPr>
        <w:keepLines w:val="0"/>
        <w:spacing w:before="0" w:after="120" w:line="269" w:lineRule="auto"/>
      </w:pPr>
      <w:r>
        <w:rPr>
          <w:rFonts w:ascii="Aptos" w:hAnsi="Aptos"/>
        </w:rPr>
        <w:t>Even a perfectly measured campaign can legitimately receive high pressure when it is behind schedule. Because the same score is assigned to every associated content and the ranking service has no campaign-level diversity cap, a campaign with many eligible contents can still dominate a result set. Fulfilment correction and list diversity therefore need separate acceptance criteria.</w:t>
      </w:r>
    </w:p>
    <w:p>
      <w:r>
        <w:br w:type="page"/>
      </w:r>
    </w:p>
    <w:p>
      <w:pPr>
        <w:pStyle w:val="Heading1"/>
        <w:keepNext/>
      </w:pPr>
      <w:r>
        <w:t>Preconditions for a French restart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cantSplit/>
        </w:trPr>
        <w:tc>
          <w:tcPr>
            <w:tcW w:type="dxa" w:w="2520"/>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7"/>
              </w:rPr>
              <w:t>Item</w:t>
            </w:r>
          </w:p>
        </w:tc>
        <w:tc>
          <w:tcPr>
            <w:tcW w:type="dxa" w:w="2232"/>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7"/>
              </w:rPr>
              <w:t>Timing</w:t>
            </w:r>
          </w:p>
        </w:tc>
        <w:tc>
          <w:tcPr>
            <w:tcW w:type="dxa" w:w="5256"/>
            <w:shd w:fill="102A56"/>
            <w:tcMar>
              <w:top w:w="115" w:type="dxa"/>
              <w:start w:w="120" w:type="dxa"/>
              <w:bottom w:w="115" w:type="dxa"/>
              <w:end w:w="120" w:type="dxa"/>
            </w:tcMar>
            <w:vAlign w:val="center"/>
          </w:tcPr>
          <w:p>
            <w:pPr>
              <w:spacing w:before="0" w:after="0" w:line="240" w:lineRule="auto"/>
              <w:jc w:val="left"/>
            </w:pPr>
            <w:r>
              <w:rPr>
                <w:rFonts w:ascii="Aptos" w:hAnsi="Aptos"/>
                <w:b/>
                <w:color w:val="FFFFFF"/>
                <w:sz w:val="17"/>
              </w:rPr>
              <w:t>Acceptance condition</w:t>
            </w:r>
          </w:p>
        </w:tc>
      </w:tr>
      <w:tr>
        <w:trPr>
          <w:cantSplit/>
        </w:trPr>
        <w:tc>
          <w:tcPr>
            <w:tcW w:type="dxa" w:w="252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Combined fulfilment metric</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Required before test</w:t>
            </w:r>
          </w:p>
        </w:tc>
        <w:tc>
          <w:tcPr>
            <w:tcW w:type="dxa" w:w="5256"/>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Validate that Media plus applicable Reach delivery is complete and non-overlapping for each billing unit.</w:t>
            </w:r>
          </w:p>
        </w:tc>
      </w:tr>
      <w:tr>
        <w:trPr>
          <w:cantSplit/>
        </w:trPr>
        <w:tc>
          <w:tcPr>
            <w:tcW w:type="dxa" w:w="252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Hourly freshness</w:t>
            </w:r>
          </w:p>
        </w:tc>
        <w:tc>
          <w:tcPr>
            <w:tcW w:type="dxa" w:w="223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Required before test</w:t>
            </w:r>
          </w:p>
        </w:tc>
        <w:tc>
          <w:tcPr>
            <w:tcW w:type="dxa" w:w="5256"/>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Define refresh frequency, normal delay, late-data policy and stale-data fallback.</w:t>
            </w:r>
          </w:p>
        </w:tc>
      </w:tr>
      <w:tr>
        <w:trPr>
          <w:cantSplit/>
        </w:trPr>
        <w:tc>
          <w:tcPr>
            <w:tcW w:type="dxa" w:w="252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CPE semantics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Required if in scope</w:t>
            </w:r>
          </w:p>
        </w:tc>
        <w:tc>
          <w:tcPr>
            <w:tcW w:type="dxa" w:w="5256"/>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Map the exact contractual engagement event; do not silently treat every engagement as a click.</w:t>
            </w:r>
          </w:p>
        </w:tc>
      </w:tr>
      <w:tr>
        <w:trPr>
          <w:cantSplit/>
        </w:trPr>
        <w:tc>
          <w:tcPr>
            <w:tcW w:type="dxa" w:w="252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Campaign mapping coverage</w:t>
            </w:r>
          </w:p>
        </w:tc>
        <w:tc>
          <w:tcPr>
            <w:tcW w:type="dxa" w:w="223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Required before test</w:t>
            </w:r>
          </w:p>
        </w:tc>
        <w:tc>
          <w:tcPr>
            <w:tcW w:type="dxa" w:w="5256"/>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Measure joins from Reach network entities to campaign_item_id and revenue schedule, including unmapped volume.</w:t>
            </w:r>
          </w:p>
        </w:tc>
      </w:tr>
      <w:tr>
        <w:trPr>
          <w:cantSplit/>
        </w:trPr>
        <w:tc>
          <w:tcPr>
            <w:tcW w:type="dxa" w:w="252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List diversity guardrail</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Required or explicit risk acceptance</w:t>
            </w:r>
          </w:p>
        </w:tc>
        <w:tc>
          <w:tcPr>
            <w:tcW w:type="dxa" w:w="5256"/>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Set a maximum campaign share in the first N results or another agreed diversification policy.</w:t>
            </w:r>
          </w:p>
        </w:tc>
      </w:tr>
      <w:tr>
        <w:trPr>
          <w:cantSplit/>
        </w:trPr>
        <w:tc>
          <w:tcPr>
            <w:tcW w:type="dxa" w:w="2520"/>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Dry-run validation</w:t>
            </w:r>
          </w:p>
        </w:tc>
        <w:tc>
          <w:tcPr>
            <w:tcW w:type="dxa" w:w="2232"/>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Required before test</w:t>
            </w:r>
          </w:p>
        </w:tc>
        <w:tc>
          <w:tcPr>
            <w:tcW w:type="dxa" w:w="5256"/>
            <w:shd w:fill="EEF4FF"/>
            <w:tcMar>
              <w:top w:w="100" w:type="dxa"/>
              <w:start w:w="120" w:type="dxa"/>
              <w:bottom w:w="100" w:type="dxa"/>
              <w:end w:w="120" w:type="dxa"/>
            </w:tcMar>
            <w:vAlign w:val="center"/>
          </w:tcPr>
          <w:p>
            <w:pPr>
              <w:spacing w:before="0" w:after="0" w:line="252" w:lineRule="auto"/>
              <w:jc w:val="left"/>
            </w:pPr>
            <w:r>
              <w:rPr>
                <w:rFonts w:ascii="Aptos" w:hAnsi="Aptos"/>
                <w:color w:val="000000"/>
                <w:sz w:val="17"/>
              </w:rPr>
              <w:t>Calculate automated scores without serving them and compare combined delivery, score movement and candidate concentration over time.</w:t>
            </w:r>
          </w:p>
        </w:tc>
      </w:tr>
      <w:tr>
        <w:trPr>
          <w:cantSplit/>
        </w:trPr>
        <w:tc>
          <w:tcPr>
            <w:tcW w:type="dxa" w:w="2520"/>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Percentile redesign</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Can follow during experiment</w:t>
            </w:r>
          </w:p>
        </w:tc>
        <w:tc>
          <w:tcPr>
            <w:tcW w:type="dxa" w:w="5256"/>
            <w:shd w:fill="FFFFFF"/>
            <w:tcMar>
              <w:top w:w="100" w:type="dxa"/>
              <w:start w:w="120" w:type="dxa"/>
              <w:bottom w:w="100" w:type="dxa"/>
              <w:end w:w="120" w:type="dxa"/>
            </w:tcMar>
            <w:vAlign w:val="center"/>
          </w:tcPr>
          <w:p>
            <w:pPr>
              <w:spacing w:before="0" w:after="0" w:line="252" w:lineRule="auto"/>
              <w:jc w:val="left"/>
            </w:pPr>
            <w:r>
              <w:rPr>
                <w:rFonts w:ascii="Aptos" w:hAnsi="Aptos"/>
                <w:color w:val="000000"/>
                <w:sz w:val="17"/>
              </w:rPr>
              <w:t>Monitor thin-market behaviour first; change normalisation only with evidence that it remains unstable after fulfilment is corrected.</w:t>
            </w:r>
          </w:p>
        </w:tc>
      </w:tr>
    </w:tbl>
    <w:p>
      <w:pPr>
        <w:spacing w:after="0"/>
      </w:pPr>
    </w:p>
    <w:p>
      <w:pPr>
        <w:pStyle w:val="Heading2"/>
        <w:keepNext/>
      </w:pPr>
      <w:r>
        <w:t>Proposed follow-up tickets</w:t>
      </w:r>
    </w:p>
    <w:p>
      <w:pPr>
        <w:spacing w:before="0" w:after="80" w:line="259" w:lineRule="auto"/>
        <w:ind w:left="360" w:hanging="360"/>
      </w:pPr>
      <w:r>
        <w:rPr>
          <w:rFonts w:ascii="Aptos" w:hAnsi="Aptos"/>
          <w:b/>
          <w:color w:val="102A56"/>
        </w:rPr>
        <w:t xml:space="preserve">1.  </w:t>
      </w:r>
      <w:r>
        <w:rPr>
          <w:rFonts w:ascii="Aptos" w:hAnsi="Aptos"/>
        </w:rPr>
        <w:t>Define the Flexible Media and Reach fulfilment data contract with the Data and Billing owners, including CPM, CPC and CPE semantics, channel coverage, latency and backfill behaviour.</w:t>
      </w:r>
    </w:p>
    <w:p>
      <w:pPr>
        <w:spacing w:before="0" w:after="80" w:line="259" w:lineRule="auto"/>
        <w:ind w:left="360" w:hanging="360"/>
      </w:pPr>
      <w:r>
        <w:rPr>
          <w:rFonts w:ascii="Aptos" w:hAnsi="Aptos"/>
          <w:b/>
          <w:color w:val="102A56"/>
        </w:rPr>
        <w:t xml:space="preserve">2.  </w:t>
      </w:r>
      <w:r>
        <w:rPr>
          <w:rFonts w:ascii="Aptos" w:hAnsi="Aptos"/>
        </w:rPr>
        <w:t>Integrate combined cumulative delivery into ATS and BFC inputs behind the existing French automation gate, with freshness monitoring and a Media-only fallback policy that does not silently over-pressure campaigns.</w:t>
      </w:r>
    </w:p>
    <w:p>
      <w:pPr>
        <w:spacing w:before="0" w:after="80" w:line="259" w:lineRule="auto"/>
        <w:ind w:left="360" w:hanging="360"/>
      </w:pPr>
      <w:r>
        <w:rPr>
          <w:rFonts w:ascii="Aptos" w:hAnsi="Aptos"/>
          <w:b/>
          <w:color w:val="102A56"/>
        </w:rPr>
        <w:t xml:space="preserve">3.  </w:t>
      </w:r>
      <w:r>
        <w:rPr>
          <w:rFonts w:ascii="Aptos" w:hAnsi="Aptos"/>
        </w:rPr>
        <w:t>Implement a score-only dry-run report that records target, Media delivery, Reach delivery, combined delivery, remaining target, score and content count for every affected French campaign.</w:t>
      </w:r>
    </w:p>
    <w:p>
      <w:pPr>
        <w:spacing w:before="0" w:after="80" w:line="259" w:lineRule="auto"/>
        <w:ind w:left="360" w:hanging="360"/>
      </w:pPr>
      <w:r>
        <w:rPr>
          <w:rFonts w:ascii="Aptos" w:hAnsi="Aptos"/>
          <w:b/>
          <w:color w:val="102A56"/>
        </w:rPr>
        <w:t xml:space="preserve">4.  </w:t>
      </w:r>
      <w:r>
        <w:rPr>
          <w:rFonts w:ascii="Aptos" w:hAnsi="Aptos"/>
        </w:rPr>
        <w:t>Define and implement a placement-aware per-campaign diversity rule in the serving or ranking layer.</w:t>
      </w:r>
    </w:p>
    <w:p>
      <w:pPr>
        <w:spacing w:before="0" w:after="80" w:line="259" w:lineRule="auto"/>
        <w:ind w:left="360" w:hanging="360"/>
      </w:pPr>
      <w:r>
        <w:rPr>
          <w:rFonts w:ascii="Aptos" w:hAnsi="Aptos"/>
          <w:b/>
          <w:color w:val="102A56"/>
        </w:rPr>
        <w:t xml:space="preserve">5.  </w:t>
      </w:r>
      <w:r>
        <w:rPr>
          <w:rFonts w:ascii="Aptos" w:hAnsi="Aptos"/>
        </w:rPr>
        <w:t>Validate Carrefour and Auchan special commercial rules with Campaign Management and decide whether they require explicit exclusions or dedicated scoring logic.</w:t>
      </w:r>
    </w:p>
    <w:p>
      <w:pPr>
        <w:spacing w:before="0" w:after="80" w:line="259" w:lineRule="auto"/>
        <w:ind w:left="360" w:hanging="360"/>
      </w:pPr>
      <w:r>
        <w:rPr>
          <w:rFonts w:ascii="Aptos" w:hAnsi="Aptos"/>
          <w:b/>
          <w:color w:val="102A56"/>
        </w:rPr>
        <w:t xml:space="preserve">6.  </w:t>
      </w:r>
      <w:r>
        <w:rPr>
          <w:rFonts w:ascii="Aptos" w:hAnsi="Aptos"/>
        </w:rPr>
        <w:t>Prepare the separate A/B test design only after the preceding acceptance criteria pass.</w:t>
      </w:r>
    </w:p>
    <w:p>
      <w:pPr>
        <w:pStyle w:val="Heading2"/>
        <w:keepNext/>
      </w:pPr>
      <w:r>
        <w:t>Remaining validation questions</w:t>
      </w:r>
    </w:p>
    <w:p>
      <w:pPr>
        <w:pStyle w:val="ListBullet"/>
        <w:spacing w:before="0" w:after="60" w:line="259" w:lineRule="auto"/>
      </w:pPr>
      <w:r>
        <w:rPr>
          <w:rFonts w:ascii="Aptos" w:hAnsi="Aptos"/>
        </w:rPr>
        <w:t>Does reporting.agg_reach_campaign_stats include only external Ad Platforms, and when should DBA delivery be added separately?</w:t>
      </w:r>
    </w:p>
    <w:p>
      <w:pPr>
        <w:pStyle w:val="ListBullet"/>
        <w:spacing w:before="0" w:after="60" w:line="259" w:lineRule="auto"/>
      </w:pPr>
      <w:r>
        <w:rPr>
          <w:rFonts w:ascii="Aptos" w:hAnsi="Aptos"/>
        </w:rPr>
        <w:t>Can the existing billing result be made hourly, or should Data publish a dedicated cumulative fulfilment view?</w:t>
      </w:r>
    </w:p>
    <w:p>
      <w:pPr>
        <w:pStyle w:val="ListBullet"/>
        <w:spacing w:before="0" w:after="60" w:line="259" w:lineRule="auto"/>
      </w:pPr>
      <w:r>
        <w:rPr>
          <w:rFonts w:ascii="Aptos" w:hAnsi="Aptos"/>
        </w:rPr>
        <w:t>What is the precise CPE engagement definition for every relevant French contract?</w:t>
      </w:r>
    </w:p>
    <w:p>
      <w:pPr>
        <w:pStyle w:val="ListBullet"/>
        <w:spacing w:before="0" w:after="60" w:line="259" w:lineRule="auto"/>
      </w:pPr>
      <w:r>
        <w:rPr>
          <w:rFonts w:ascii="Aptos" w:hAnsi="Aptos"/>
        </w:rPr>
        <w:t>What concentration threshold is acceptable per placement and list size?</w:t>
      </w:r>
    </w:p>
    <w:p>
      <w:r>
        <w:br w:type="page"/>
      </w:r>
    </w:p>
    <w:p>
      <w:pPr>
        <w:pStyle w:val="Heading1"/>
        <w:keepNext/>
      </w:pPr>
      <w:r>
        <w:t>Investigation closure status</w:t>
      </w:r>
    </w:p>
    <w:p>
      <w:pPr>
        <w:keepLines w:val="0"/>
        <w:spacing w:before="0" w:after="120" w:line="269" w:lineRule="auto"/>
      </w:pPr>
      <w:r>
        <w:rPr>
          <w:rFonts w:ascii="Aptos" w:hAnsi="Aptos"/>
        </w:rPr>
        <w:t>Technical discovery is complete for solution selection. The original investigation ticket is not administratively complete until stakeholders review the findings, agree the preferred direction and create the implementation tickets. The remaining questions above are implementation and launch-readiness validations; they do not change the recommended architecture.</w:t>
      </w:r>
    </w:p>
    <w:p>
      <w:pPr>
        <w:pStyle w:val="Heading2"/>
        <w:keepNext/>
      </w:pPr>
      <w:r>
        <w:t>What is confirmed</w:t>
      </w:r>
    </w:p>
    <w:p>
      <w:pPr>
        <w:pStyle w:val="ListBullet"/>
        <w:spacing w:before="0" w:after="60" w:line="259" w:lineRule="auto"/>
      </w:pPr>
      <w:r>
        <w:rPr>
          <w:rFonts w:ascii="Aptos" w:hAnsi="Aptos"/>
        </w:rPr>
        <w:t>France and Germany are independent serving markets; cross-market score values are not compared.</w:t>
      </w:r>
    </w:p>
    <w:p>
      <w:pPr>
        <w:pStyle w:val="ListBullet"/>
        <w:spacing w:before="0" w:after="60" w:line="259" w:lineRule="auto"/>
      </w:pPr>
      <w:r>
        <w:rPr>
          <w:rFonts w:ascii="Aptos" w:hAnsi="Aptos"/>
        </w:rPr>
        <w:t>ATS currently selects cumulative brochure clicks or impressions according to billing unit.</w:t>
      </w:r>
    </w:p>
    <w:p>
      <w:pPr>
        <w:pStyle w:val="ListBullet"/>
        <w:spacing w:before="0" w:after="60" w:line="259" w:lineRule="auto"/>
      </w:pPr>
      <w:r>
        <w:rPr>
          <w:rFonts w:ascii="Aptos" w:hAnsi="Aptos"/>
        </w:rPr>
        <w:t>BFC raises or lowers target pressure from remaining quantity and remaining time.</w:t>
      </w:r>
    </w:p>
    <w:p>
      <w:pPr>
        <w:pStyle w:val="ListBullet"/>
        <w:spacing w:before="0" w:after="60" w:line="259" w:lineRule="auto"/>
      </w:pPr>
      <w:r>
        <w:rPr>
          <w:rFonts w:ascii="Aptos" w:hAnsi="Aptos"/>
        </w:rPr>
        <w:t>French Flexible Media and Reach contracts have one combined quantity and no fixed channel split.</w:t>
      </w:r>
    </w:p>
    <w:p>
      <w:pPr>
        <w:pStyle w:val="ListBullet"/>
        <w:spacing w:before="0" w:after="60" w:line="259" w:lineRule="auto"/>
      </w:pPr>
      <w:r>
        <w:rPr>
          <w:rFonts w:ascii="Aptos" w:hAnsi="Aptos"/>
        </w:rPr>
        <w:t>Reach performance is available in an aggregated campaign table and the billing pipeline already combines flexible Media and Reach delivery.</w:t>
      </w:r>
    </w:p>
    <w:p>
      <w:pPr>
        <w:pStyle w:val="ListBullet"/>
        <w:spacing w:before="0" w:after="60" w:line="259" w:lineRule="auto"/>
      </w:pPr>
      <w:r>
        <w:rPr>
          <w:rFonts w:ascii="Aptos" w:hAnsi="Aptos"/>
        </w:rPr>
        <w:t>Current ranking logic does not impose a campaign-level diversity cap.</w:t>
      </w:r>
    </w:p>
    <w:p>
      <w:pPr>
        <w:pStyle w:val="Heading2"/>
        <w:keepNext/>
      </w:pPr>
      <w:r>
        <w:t>What is not claimed</w:t>
      </w:r>
    </w:p>
    <w:p>
      <w:pPr>
        <w:pStyle w:val="ListBullet"/>
        <w:spacing w:before="0" w:after="60" w:line="259" w:lineRule="auto"/>
      </w:pPr>
      <w:r>
        <w:rPr>
          <w:rFonts w:ascii="Aptos" w:hAnsi="Aptos"/>
        </w:rPr>
        <w:t>The report does not claim that automated scoring is affecting the live French app; the relevant gates are disabled.</w:t>
      </w:r>
    </w:p>
    <w:p>
      <w:pPr>
        <w:pStyle w:val="ListBullet"/>
        <w:spacing w:before="0" w:after="60" w:line="259" w:lineRule="auto"/>
      </w:pPr>
      <w:r>
        <w:rPr>
          <w:rFonts w:ascii="Aptos" w:hAnsi="Aptos"/>
        </w:rPr>
        <w:t>The score-only concentration exercise is not a replay of an actual user request and does not include all location, store, placement and visibility filters.</w:t>
      </w:r>
    </w:p>
    <w:p>
      <w:pPr>
        <w:pStyle w:val="ListBullet"/>
        <w:spacing w:before="0" w:after="60" w:line="259" w:lineRule="auto"/>
      </w:pPr>
      <w:r>
        <w:rPr>
          <w:rFonts w:ascii="Aptos" w:hAnsi="Aptos"/>
        </w:rPr>
        <w:t>The report does not claim that the previous experiment failed solely because of mixed Media and Reach targets.</w:t>
      </w:r>
    </w:p>
    <w:p>
      <w:pPr>
        <w:pStyle w:val="ListBullet"/>
        <w:spacing w:before="0" w:after="60" w:line="259" w:lineRule="auto"/>
      </w:pPr>
      <w:r>
        <w:rPr>
          <w:rFonts w:ascii="Aptos" w:hAnsi="Aptos"/>
        </w:rPr>
        <w:t>The report does not assume that 80/20 is a stable or contractually valid split.</w:t>
      </w:r>
    </w:p>
    <w:p>
      <w:pPr>
        <w:pStyle w:val="Heading2"/>
        <w:keepNext/>
      </w:pPr>
      <w:r>
        <w:t>Source record</w:t>
      </w:r>
    </w:p>
    <w:p>
      <w:pPr>
        <w:pStyle w:val="ListBullet"/>
        <w:spacing w:before="0" w:after="60" w:line="259" w:lineRule="auto"/>
      </w:pPr>
      <w:r>
        <w:rPr>
          <w:rFonts w:ascii="Aptos" w:hAnsi="Aptos"/>
        </w:rPr>
        <w:t>Automated Traffic Management FR Restart Plan, Product Management, 14 September 2026.</w:t>
      </w:r>
    </w:p>
    <w:p>
      <w:pPr>
        <w:pStyle w:val="ListBullet"/>
        <w:spacing w:before="0" w:after="60" w:line="259" w:lineRule="auto"/>
      </w:pPr>
      <w:r>
        <w:rPr>
          <w:rFonts w:ascii="Aptos" w:hAnsi="Aptos"/>
        </w:rPr>
        <w:t>Context Before we can re-run a clean A/B test for Traffic Automation in France, investigation ticket.</w:t>
      </w:r>
    </w:p>
    <w:p>
      <w:pPr>
        <w:pStyle w:val="ListBullet"/>
        <w:spacing w:before="0" w:after="60" w:line="259" w:lineRule="auto"/>
      </w:pPr>
      <w:r>
        <w:rPr>
          <w:rFonts w:ascii="Aptos" w:hAnsi="Aptos"/>
        </w:rPr>
        <w:t>Campaign Management clarification from Loïs Allaguillemette on quantity semantics and Flexible Media and Reach allocation.</w:t>
      </w:r>
    </w:p>
    <w:p>
      <w:pPr>
        <w:pStyle w:val="ListBullet"/>
        <w:spacing w:before="0" w:after="60" w:line="259" w:lineRule="auto"/>
      </w:pPr>
      <w:r>
        <w:rPr>
          <w:rFonts w:ascii="Aptos" w:hAnsi="Aptos"/>
        </w:rPr>
        <w:t>Data clarification from Kristina Matveeva on DBA tracking, Reach performance data and reporting.agg_reach_campaign_stats.</w:t>
      </w:r>
    </w:p>
    <w:p>
      <w:pPr>
        <w:pStyle w:val="ListBullet"/>
        <w:spacing w:before="0" w:after="60" w:line="259" w:lineRule="auto"/>
      </w:pPr>
      <w:r>
        <w:rPr>
          <w:rFonts w:ascii="Aptos" w:hAnsi="Aptos"/>
        </w:rPr>
        <w:t>Automated Traffic Service and Boost Factor Calculator source review.</w:t>
      </w:r>
    </w:p>
    <w:p>
      <w:pPr>
        <w:pStyle w:val="ListBullet"/>
        <w:spacing w:before="0" w:after="60" w:line="259" w:lineRule="auto"/>
      </w:pPr>
      <w:r>
        <w:rPr>
          <w:rFonts w:ascii="Aptos" w:hAnsi="Aptos"/>
        </w:rPr>
        <w:t>Traffic Shaping API and Content Ranking API source review.</w:t>
      </w:r>
    </w:p>
    <w:p>
      <w:pPr>
        <w:pStyle w:val="ListBullet"/>
        <w:spacing w:before="0" w:after="60" w:line="259" w:lineRule="auto"/>
      </w:pPr>
      <w:r>
        <w:rPr>
          <w:rFonts w:ascii="Aptos" w:hAnsi="Aptos"/>
        </w:rPr>
        <w:t>Airflow Media, Reach, DBA, fulfilment and global Advendio billing pipeline source review.</w:t>
      </w:r>
    </w:p>
    <w:p>
      <w:pPr>
        <w:pStyle w:val="ListBullet"/>
        <w:spacing w:before="0" w:after="60" w:line="259" w:lineRule="auto"/>
      </w:pPr>
      <w:r>
        <w:rPr>
          <w:rFonts w:ascii="Aptos" w:hAnsi="Aptos"/>
        </w:rPr>
        <w:t>France production-clone stage database and content snapshot captured 14 September 2026.</w:t>
      </w:r>
    </w:p>
    <w:p>
      <w:pPr>
        <w:pStyle w:val="Heading2"/>
        <w:keepNext/>
      </w:pPr>
      <w:r>
        <w:t>Technical references</w:t>
      </w:r>
    </w:p>
    <w:p>
      <w:pPr>
        <w:spacing w:before="0" w:after="40" w:line="240" w:lineRule="auto"/>
      </w:pPr>
      <w:r>
        <w:rPr>
          <w:rFonts w:ascii="Aptos Mono" w:hAnsi="Aptos Mono"/>
          <w:color w:val="5C667A"/>
          <w:sz w:val="18"/>
        </w:rPr>
        <w:t>boost-factor-calculator/.../CalculationUtils.java</w:t>
      </w:r>
    </w:p>
    <w:p>
      <w:pPr>
        <w:spacing w:before="0" w:after="40" w:line="240" w:lineRule="auto"/>
      </w:pPr>
      <w:r>
        <w:rPr>
          <w:rFonts w:ascii="Aptos Mono" w:hAnsi="Aptos Mono"/>
          <w:color w:val="5C667A"/>
          <w:sz w:val="18"/>
        </w:rPr>
        <w:t>automated-traffic-service/.../SubTargetDeliveredQuantityService.java</w:t>
      </w:r>
    </w:p>
    <w:p>
      <w:pPr>
        <w:spacing w:before="0" w:after="40" w:line="240" w:lineRule="auto"/>
      </w:pPr>
      <w:r>
        <w:rPr>
          <w:rFonts w:ascii="Aptos Mono" w:hAnsi="Aptos Mono"/>
          <w:color w:val="5C667A"/>
          <w:sz w:val="18"/>
        </w:rPr>
        <w:t>content-ranking-api/.../TrafficShaper.java</w:t>
      </w:r>
    </w:p>
    <w:p>
      <w:pPr>
        <w:spacing w:before="0" w:after="40" w:line="240" w:lineRule="auto"/>
      </w:pPr>
      <w:r>
        <w:rPr>
          <w:rFonts w:ascii="Aptos Mono" w:hAnsi="Aptos Mono"/>
          <w:color w:val="5C667A"/>
          <w:sz w:val="18"/>
        </w:rPr>
        <w:t>airflow-on-mwaa/dags/platform/fulfillment/sql/base.sql</w:t>
      </w:r>
    </w:p>
    <w:p>
      <w:pPr>
        <w:spacing w:before="0" w:after="40" w:line="240" w:lineRule="auto"/>
      </w:pPr>
      <w:r>
        <w:rPr>
          <w:rFonts w:ascii="Aptos Mono" w:hAnsi="Aptos Mono"/>
          <w:color w:val="5C667A"/>
          <w:sz w:val="18"/>
        </w:rPr>
        <w:t>airflow-on-mwaa/dags/platform/fulfillment/sql/reach.sql</w:t>
      </w:r>
    </w:p>
    <w:p>
      <w:pPr>
        <w:spacing w:before="0" w:after="40" w:line="240" w:lineRule="auto"/>
      </w:pPr>
      <w:r>
        <w:rPr>
          <w:rFonts w:ascii="Aptos Mono" w:hAnsi="Aptos Mono"/>
          <w:color w:val="5C667A"/>
          <w:sz w:val="18"/>
        </w:rPr>
        <w:t>airflow-on-mwaa/dags/platform/fulfillment/global_advendio_billing_daily_sync.py</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44" w:val="left"/>
      </w:tabs>
      <w:jc w:val="right"/>
    </w:pPr>
    <w:r>
      <w:rPr>
        <w:rFonts w:ascii="Aptos" w:hAnsi="Aptos"/>
        <w:color w:val="5C667A"/>
        <w:sz w:val="17"/>
      </w:rPr>
      <w:t>Internal   Team Mantra</w:t>
    </w:r>
    <w:r>
      <w:tab/>
    </w:r>
    <w:r>
      <w:rPr>
        <w:rFonts w:ascii="Aptos" w:hAnsi="Aptos"/>
        <w:color w:val="5C667A"/>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Automated Traffic Management Investigation Findings</dc:title>
  <dc:subject>Technical and product findings for the French automated traffic restart</dc:subject>
  <dc:creator>Safa Safakhou</dc:creator>
  <cp:keywords>France, automated traffic, fulfilment, Media, Reach, boost factor</cp:keywords>
  <dc:description>Prepared for internal product and engineering review</dc:description>
  <cp:lastModifiedBy/>
  <cp:revision>1</cp:revision>
  <dcterms:created xsi:type="dcterms:W3CDTF">2013-12-23T23:15:00Z</dcterms:created>
  <dcterms:modified xsi:type="dcterms:W3CDTF">2013-12-23T23:15:00Z</dcterms:modified>
  <cp:category/>
</cp:coreProperties>
</file>