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24D"/>
          <w:sz w:val="50"/>
        </w:rPr>
        <w:t>AL WATEEN - .NET API Specification</w:t>
      </w:r>
    </w:p>
    <w:p>
      <w:pPr>
        <w:jc w:val="center"/>
      </w:pPr>
      <w:r>
        <w:rPr>
          <w:rFonts w:ascii="Aptos" w:hAnsi="Aptos"/>
          <w:color w:val="5D6B73"/>
          <w:sz w:val="22"/>
        </w:rPr>
        <w:t>Lean ASP.NET Core API contracts aligned to the PRD, Developer Guide and confirmed L1/L2/Purchasing workflow</w:t>
      </w:r>
    </w:p>
    <w:p>
      <w:pPr>
        <w:spacing w:before="360"/>
        <w:jc w:val="center"/>
      </w:pPr>
      <w:r>
        <w:rPr>
          <w:b/>
          <w:color w:val="0E6874"/>
          <w:sz w:val="20"/>
        </w:rPr>
        <w:t>Version 4.0 | September 2026</w:t>
      </w:r>
    </w:p>
    <w:p>
      <w:r>
        <w:br w:type="page"/>
      </w:r>
    </w:p>
    <w:p>
      <w:pPr>
        <w:pStyle w:val="Heading1"/>
        <w:keepNext/>
      </w:pPr>
      <w:r>
        <w:t>1. Integration Boundary</w:t>
      </w:r>
    </w:p>
    <w:p>
      <w:pPr>
        <w:spacing w:after="100"/>
        <w:jc w:val="center"/>
      </w:pPr>
      <w:r>
        <w:drawing>
          <wp:inline xmlns:a="http://schemas.openxmlformats.org/drawingml/2006/main" xmlns:pic="http://schemas.openxmlformats.org/drawingml/2006/picture">
            <wp:extent cx="5852160" cy="1300480"/>
            <wp:docPr id="1" name="Picture 1"/>
            <wp:cNvGraphicFramePr>
              <a:graphicFrameLocks noChangeAspect="1"/>
            </wp:cNvGraphicFramePr>
            <a:graphic>
              <a:graphicData uri="http://schemas.openxmlformats.org/drawingml/2006/picture">
                <pic:pic>
                  <pic:nvPicPr>
                    <pic:cNvPr id="0" name="integration_boundary.png"/>
                    <pic:cNvPicPr/>
                  </pic:nvPicPr>
                  <pic:blipFill>
                    <a:blip r:embed="rId10"/>
                    <a:stretch>
                      <a:fillRect/>
                    </a:stretch>
                  </pic:blipFill>
                  <pic:spPr>
                    <a:xfrm>
                      <a:off x="0" y="0"/>
                      <a:ext cx="5852160" cy="1300480"/>
                    </a:xfrm>
                    <a:prstGeom prst="rect"/>
                  </pic:spPr>
                </pic:pic>
              </a:graphicData>
            </a:graphic>
          </wp:inline>
        </w:drawing>
      </w:r>
    </w:p>
    <w:p>
      <w:pPr>
        <w:spacing w:after="80"/>
      </w:pPr>
      <w:r>
        <w:t>The API serves the Angular Back Office and the Services 360 integration boundary. The Developer Guide confirms that custom calls from the OutSystems ServiceForm to our Back Office must be GET REST calls registered in the Services 360 integration layer. Investor form submission itself is handled through the Services 360 Application Object submission pattern; the exact service-specific callback/authentication contract is still TBC.</w:t>
      </w:r>
    </w:p>
    <w:p>
      <w:pPr>
        <w:pStyle w:val="Heading1"/>
        <w:keepNext/>
      </w:pPr>
      <w:r>
        <w:t>2. Roles and Workflow</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2448"/>
            <w:shd w:fill="0E6874"/>
            <w:vAlign w:val="center"/>
          </w:tcPr>
          <w:p>
            <w:pPr>
              <w:spacing w:after="0"/>
            </w:pPr>
            <w:r/>
            <w:r>
              <w:rPr>
                <w:b/>
                <w:color w:val="FFFFFF"/>
                <w:sz w:val="16"/>
              </w:rPr>
              <w:t>Role</w:t>
            </w:r>
          </w:p>
        </w:tc>
        <w:tc>
          <w:tcPr>
            <w:tcW w:type="dxa" w:w="2160"/>
            <w:shd w:fill="0E6874"/>
            <w:vAlign w:val="center"/>
          </w:tcPr>
          <w:p>
            <w:pPr>
              <w:spacing w:after="0"/>
            </w:pPr>
            <w:r/>
            <w:r>
              <w:rPr>
                <w:b/>
                <w:color w:val="FFFFFF"/>
                <w:sz w:val="16"/>
              </w:rPr>
              <w:t>Where</w:t>
            </w:r>
          </w:p>
        </w:tc>
        <w:tc>
          <w:tcPr>
            <w:tcW w:type="dxa" w:w="5040"/>
            <w:shd w:fill="0E6874"/>
            <w:vAlign w:val="center"/>
          </w:tcPr>
          <w:p>
            <w:pPr>
              <w:spacing w:after="0"/>
            </w:pPr>
            <w:r/>
            <w:r>
              <w:rPr>
                <w:b/>
                <w:color w:val="FFFFFF"/>
                <w:sz w:val="16"/>
              </w:rPr>
              <w:t>Current scope</w:t>
            </w:r>
          </w:p>
        </w:tc>
      </w:tr>
      <w:tr>
        <w:tc>
          <w:tcPr>
            <w:tcW w:type="dxa" w:w="2448"/>
            <w:vAlign w:val="top"/>
          </w:tcPr>
          <w:p>
            <w:pPr>
              <w:spacing w:after="0"/>
            </w:pPr>
            <w:r/>
            <w:r>
              <w:rPr>
                <w:rFonts w:ascii="Aptos" w:hAnsi="Aptos"/>
                <w:sz w:val="16"/>
              </w:rPr>
              <w:t>Admin</w:t>
            </w:r>
          </w:p>
        </w:tc>
        <w:tc>
          <w:tcPr>
            <w:tcW w:type="dxa" w:w="2160"/>
            <w:vAlign w:val="top"/>
          </w:tcPr>
          <w:p>
            <w:pPr>
              <w:spacing w:after="0"/>
            </w:pPr>
            <w:r/>
            <w:r>
              <w:rPr>
                <w:rFonts w:ascii="Aptos" w:hAnsi="Aptos"/>
                <w:sz w:val="16"/>
              </w:rPr>
              <w:t>Back Office</w:t>
            </w:r>
          </w:p>
        </w:tc>
        <w:tc>
          <w:tcPr>
            <w:tcW w:type="dxa" w:w="5040"/>
            <w:vAlign w:val="top"/>
          </w:tcPr>
          <w:p>
            <w:pPr>
              <w:spacing w:after="0"/>
            </w:pPr>
            <w:r/>
            <w:r>
              <w:rPr>
                <w:rFonts w:ascii="Aptos" w:hAnsi="Aptos"/>
                <w:sz w:val="16"/>
              </w:rPr>
              <w:t>Operational access across applications. Exact identity/user-management permissions TBC.</w:t>
            </w:r>
          </w:p>
        </w:tc>
      </w:tr>
      <w:tr>
        <w:tc>
          <w:tcPr>
            <w:tcW w:type="dxa" w:w="2448"/>
            <w:vAlign w:val="top"/>
            <w:shd w:fill="FAFBFB"/>
          </w:tcPr>
          <w:p>
            <w:pPr>
              <w:spacing w:after="0"/>
            </w:pPr>
            <w:r/>
            <w:r>
              <w:rPr>
                <w:rFonts w:ascii="Aptos" w:hAnsi="Aptos"/>
                <w:sz w:val="16"/>
              </w:rPr>
              <w:t>L1 Approver</w:t>
            </w:r>
          </w:p>
        </w:tc>
        <w:tc>
          <w:tcPr>
            <w:tcW w:type="dxa" w:w="2160"/>
            <w:vAlign w:val="top"/>
            <w:shd w:fill="FAFBFB"/>
          </w:tcPr>
          <w:p>
            <w:pPr>
              <w:spacing w:after="0"/>
            </w:pPr>
            <w:r/>
            <w:r>
              <w:rPr>
                <w:rFonts w:ascii="Aptos" w:hAnsi="Aptos"/>
                <w:sz w:val="16"/>
              </w:rPr>
              <w:t>Back Office</w:t>
            </w:r>
          </w:p>
        </w:tc>
        <w:tc>
          <w:tcPr>
            <w:tcW w:type="dxa" w:w="5040"/>
            <w:vAlign w:val="top"/>
            <w:shd w:fill="FAFBFB"/>
          </w:tcPr>
          <w:p>
            <w:pPr>
              <w:spacing w:after="0"/>
            </w:pPr>
            <w:r/>
            <w:r>
              <w:rPr>
                <w:rFonts w:ascii="Aptos" w:hAnsi="Aptos"/>
                <w:sz w:val="16"/>
              </w:rPr>
              <w:t>Lab Manager. Approve, Reject or Request More Information for L1 applications.</w:t>
            </w:r>
          </w:p>
        </w:tc>
      </w:tr>
      <w:tr>
        <w:tc>
          <w:tcPr>
            <w:tcW w:type="dxa" w:w="2448"/>
            <w:vAlign w:val="top"/>
          </w:tcPr>
          <w:p>
            <w:pPr>
              <w:spacing w:after="0"/>
            </w:pPr>
            <w:r/>
            <w:r>
              <w:rPr>
                <w:rFonts w:ascii="Aptos" w:hAnsi="Aptos"/>
                <w:sz w:val="16"/>
              </w:rPr>
              <w:t>L2 Approver</w:t>
            </w:r>
          </w:p>
        </w:tc>
        <w:tc>
          <w:tcPr>
            <w:tcW w:type="dxa" w:w="2160"/>
            <w:vAlign w:val="top"/>
          </w:tcPr>
          <w:p>
            <w:pPr>
              <w:spacing w:after="0"/>
            </w:pPr>
            <w:r/>
            <w:r>
              <w:rPr>
                <w:rFonts w:ascii="Aptos" w:hAnsi="Aptos"/>
                <w:sz w:val="16"/>
              </w:rPr>
              <w:t>Back Office</w:t>
            </w:r>
          </w:p>
        </w:tc>
        <w:tc>
          <w:tcPr>
            <w:tcW w:type="dxa" w:w="5040"/>
            <w:vAlign w:val="top"/>
          </w:tcPr>
          <w:p>
            <w:pPr>
              <w:spacing w:after="0"/>
            </w:pPr>
            <w:r/>
            <w:r>
              <w:rPr>
                <w:rFonts w:ascii="Aptos" w:hAnsi="Aptos"/>
                <w:sz w:val="16"/>
              </w:rPr>
              <w:t>Medical Director. Approve, Reject or Request More Information after L1 approval.</w:t>
            </w:r>
          </w:p>
        </w:tc>
      </w:tr>
      <w:tr>
        <w:tc>
          <w:tcPr>
            <w:tcW w:type="dxa" w:w="2448"/>
            <w:vAlign w:val="top"/>
            <w:shd w:fill="FAFBFB"/>
          </w:tcPr>
          <w:p>
            <w:pPr>
              <w:spacing w:after="0"/>
            </w:pPr>
            <w:r/>
            <w:r>
              <w:rPr>
                <w:rFonts w:ascii="Aptos" w:hAnsi="Aptos"/>
                <w:sz w:val="16"/>
              </w:rPr>
              <w:t>Purchasing Department</w:t>
            </w:r>
          </w:p>
        </w:tc>
        <w:tc>
          <w:tcPr>
            <w:tcW w:type="dxa" w:w="2160"/>
            <w:vAlign w:val="top"/>
            <w:shd w:fill="FAFBFB"/>
          </w:tcPr>
          <w:p>
            <w:pPr>
              <w:spacing w:after="0"/>
            </w:pPr>
            <w:r/>
            <w:r>
              <w:rPr>
                <w:rFonts w:ascii="Aptos" w:hAnsi="Aptos"/>
                <w:sz w:val="16"/>
              </w:rPr>
              <w:t>Back Office</w:t>
            </w:r>
          </w:p>
        </w:tc>
        <w:tc>
          <w:tcPr>
            <w:tcW w:type="dxa" w:w="5040"/>
            <w:vAlign w:val="top"/>
            <w:shd w:fill="FAFBFB"/>
          </w:tcPr>
          <w:p>
            <w:pPr>
              <w:spacing w:after="0"/>
            </w:pPr>
            <w:r/>
            <w:r>
              <w:rPr>
                <w:rFonts w:ascii="Aptos" w:hAnsi="Aptos"/>
                <w:sz w:val="16"/>
              </w:rPr>
              <w:t>Receives L2-approved requests; uploads the signed contract after completing contracting outside IID.</w:t>
            </w:r>
          </w:p>
        </w:tc>
      </w:tr>
      <w:tr>
        <w:tc>
          <w:tcPr>
            <w:tcW w:type="dxa" w:w="2448"/>
            <w:vAlign w:val="top"/>
          </w:tcPr>
          <w:p>
            <w:pPr>
              <w:spacing w:after="0"/>
            </w:pPr>
            <w:r/>
            <w:r>
              <w:rPr>
                <w:rFonts w:ascii="Aptos" w:hAnsi="Aptos"/>
                <w:sz w:val="16"/>
              </w:rPr>
              <w:t>Investor Facility Admin</w:t>
            </w:r>
          </w:p>
        </w:tc>
        <w:tc>
          <w:tcPr>
            <w:tcW w:type="dxa" w:w="2160"/>
            <w:vAlign w:val="top"/>
          </w:tcPr>
          <w:p>
            <w:pPr>
              <w:spacing w:after="0"/>
            </w:pPr>
            <w:r/>
            <w:r>
              <w:rPr>
                <w:rFonts w:ascii="Aptos" w:hAnsi="Aptos"/>
                <w:sz w:val="16"/>
              </w:rPr>
              <w:t>Back Office</w:t>
            </w:r>
          </w:p>
        </w:tc>
        <w:tc>
          <w:tcPr>
            <w:tcW w:type="dxa" w:w="5040"/>
            <w:vAlign w:val="top"/>
          </w:tcPr>
          <w:p>
            <w:pPr>
              <w:spacing w:after="0"/>
            </w:pPr>
            <w:r/>
            <w:r>
              <w:rPr>
                <w:rFonts w:ascii="Aptos" w:hAnsi="Aptos"/>
                <w:sz w:val="16"/>
              </w:rPr>
              <w:t>Role exists in Back Office; exact registration-scope permissions still TBC.</w:t>
            </w:r>
          </w:p>
        </w:tc>
      </w:tr>
      <w:tr>
        <w:tc>
          <w:tcPr>
            <w:tcW w:type="dxa" w:w="2448"/>
            <w:vAlign w:val="top"/>
            <w:shd w:fill="FAFBFB"/>
          </w:tcPr>
          <w:p>
            <w:pPr>
              <w:spacing w:after="0"/>
            </w:pPr>
            <w:r/>
            <w:r>
              <w:rPr>
                <w:rFonts w:ascii="Aptos" w:hAnsi="Aptos"/>
                <w:sz w:val="16"/>
              </w:rPr>
              <w:t>Investor</w:t>
            </w:r>
          </w:p>
        </w:tc>
        <w:tc>
          <w:tcPr>
            <w:tcW w:type="dxa" w:w="2160"/>
            <w:vAlign w:val="top"/>
            <w:shd w:fill="FAFBFB"/>
          </w:tcPr>
          <w:p>
            <w:pPr>
              <w:spacing w:after="0"/>
            </w:pPr>
            <w:r/>
            <w:r>
              <w:rPr>
                <w:rFonts w:ascii="Aptos" w:hAnsi="Aptos"/>
                <w:sz w:val="16"/>
              </w:rPr>
              <w:t>IID / OutSystems</w:t>
            </w:r>
          </w:p>
        </w:tc>
        <w:tc>
          <w:tcPr>
            <w:tcW w:type="dxa" w:w="5040"/>
            <w:vAlign w:val="top"/>
            <w:shd w:fill="FAFBFB"/>
          </w:tcPr>
          <w:p>
            <w:pPr>
              <w:spacing w:after="0"/>
            </w:pPr>
            <w:r/>
            <w:r>
              <w:rPr>
                <w:rFonts w:ascii="Aptos" w:hAnsi="Aptos"/>
                <w:sz w:val="16"/>
              </w:rPr>
              <w:t>Starts application, fills form, responds to More Information, resubmits and downloads the approved letter from IID.</w:t>
            </w:r>
          </w:p>
        </w:tc>
      </w:tr>
    </w:tbl>
    <w:p>
      <w:pPr>
        <w:spacing w:after="100"/>
        <w:jc w:val="center"/>
      </w:pPr>
      <w:r>
        <w:drawing>
          <wp:inline xmlns:a="http://schemas.openxmlformats.org/drawingml/2006/main" xmlns:pic="http://schemas.openxmlformats.org/drawingml/2006/picture">
            <wp:extent cx="5760720" cy="7319124"/>
            <wp:docPr id="2" name="Picture 2"/>
            <wp:cNvGraphicFramePr>
              <a:graphicFrameLocks noChangeAspect="1"/>
            </wp:cNvGraphicFramePr>
            <a:graphic>
              <a:graphicData uri="http://schemas.openxmlformats.org/drawingml/2006/picture">
                <pic:pic>
                  <pic:nvPicPr>
                    <pic:cNvPr id="0" name="business_flow.png"/>
                    <pic:cNvPicPr/>
                  </pic:nvPicPr>
                  <pic:blipFill>
                    <a:blip r:embed="rId11"/>
                    <a:stretch>
                      <a:fillRect/>
                    </a:stretch>
                  </pic:blipFill>
                  <pic:spPr>
                    <a:xfrm>
                      <a:off x="0" y="0"/>
                      <a:ext cx="5760720" cy="7319124"/>
                    </a:xfrm>
                    <a:prstGeom prst="rect"/>
                  </pic:spPr>
                </pic:pic>
              </a:graphicData>
            </a:graphic>
          </wp:inline>
        </w:drawing>
      </w:r>
    </w:p>
    <w:p>
      <w:pPr>
        <w:pStyle w:val="Heading1"/>
        <w:keepNext/>
      </w:pPr>
      <w:r>
        <w:t>3. Developer Guide Rules That Affect the API</w:t>
      </w:r>
    </w:p>
    <w:p>
      <w:pPr>
        <w:pStyle w:val="ListBullet"/>
        <w:spacing w:after="40"/>
      </w:pPr>
      <w:r>
        <w:t>OutSystems application uses a ServiceForm module and a V1 screen, commonly /[ModuleName]/V1.</w:t>
      </w:r>
    </w:p>
    <w:p>
      <w:pPr>
        <w:pStyle w:val="ListBullet"/>
        <w:spacing w:after="40"/>
      </w:pPr>
      <w:r>
        <w:t>ApplicationObject_V1 is configured/registered and is serialized to JSON for submission.</w:t>
      </w:r>
    </w:p>
    <w:p>
      <w:pPr>
        <w:pStyle w:val="ListBullet"/>
        <w:spacing w:after="40"/>
      </w:pPr>
      <w:r>
        <w:t>Custom OutSystems calls to our Back Office are GET REST calls through the Services 360 integration layer using BackofficeGetRequest.</w:t>
      </w:r>
    </w:p>
    <w:p>
      <w:pPr>
        <w:pStyle w:val="ListBullet"/>
        <w:spacing w:after="40"/>
      </w:pPr>
      <w:r>
        <w:t>BackofficeBaseURL and EnableProxyServiceCall are Site Properties used when reference/back-office GET calls are needed.</w:t>
      </w:r>
    </w:p>
    <w:p>
      <w:pPr>
        <w:pStyle w:val="ListBullet"/>
        <w:spacing w:after="40"/>
      </w:pPr>
      <w:r>
        <w:t>EntityAPIKey, ServiceId and ServiceLifeCycle are framework configuration values. Exact Al Wateen values/issuance remain environment-specific.</w:t>
      </w:r>
    </w:p>
    <w:p>
      <w:pPr>
        <w:pStyle w:val="ListBullet"/>
        <w:spacing w:after="40"/>
      </w:pPr>
      <w:r>
        <w:t>The Developer Guide requires both client-side and server-side form validation.</w:t>
      </w:r>
    </w:p>
    <w:p>
      <w:pPr>
        <w:pStyle w:val="ListBullet"/>
        <w:spacing w:after="40"/>
      </w:pPr>
      <w:r>
        <w:t>Exact Services 360 submission, lifecycle/status and output/document API contracts are not defined in the captured generic guide and remain TBC.</w:t>
      </w:r>
    </w:p>
    <w:p>
      <w:pPr>
        <w:pStyle w:val="Heading1"/>
        <w:keepNext/>
      </w:pPr>
      <w:r>
        <w:t>4. API Catalog</w:t>
      </w:r>
    </w:p>
    <w:p>
      <w:pPr>
        <w:pStyle w:val="Heading2"/>
        <w:keepNext/>
      </w:pPr>
      <w:r>
        <w:t>4.1 GET endpoints used from OutSystems through Services 360 proxy</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792"/>
            <w:shd w:fill="0E6874"/>
            <w:vAlign w:val="center"/>
          </w:tcPr>
          <w:p>
            <w:pPr>
              <w:spacing w:after="0"/>
            </w:pPr>
            <w:r/>
            <w:r>
              <w:rPr>
                <w:b/>
                <w:color w:val="FFFFFF"/>
                <w:sz w:val="15"/>
              </w:rPr>
              <w:t>ID</w:t>
            </w:r>
          </w:p>
        </w:tc>
        <w:tc>
          <w:tcPr>
            <w:tcW w:type="dxa" w:w="936"/>
            <w:shd w:fill="0E6874"/>
            <w:vAlign w:val="center"/>
          </w:tcPr>
          <w:p>
            <w:pPr>
              <w:spacing w:after="0"/>
            </w:pPr>
            <w:r/>
            <w:r>
              <w:rPr>
                <w:b/>
                <w:color w:val="FFFFFF"/>
                <w:sz w:val="15"/>
              </w:rPr>
              <w:t>Method</w:t>
            </w:r>
          </w:p>
        </w:tc>
        <w:tc>
          <w:tcPr>
            <w:tcW w:type="dxa" w:w="4176"/>
            <w:shd w:fill="0E6874"/>
            <w:vAlign w:val="center"/>
          </w:tcPr>
          <w:p>
            <w:pPr>
              <w:spacing w:after="0"/>
            </w:pPr>
            <w:r/>
            <w:r>
              <w:rPr>
                <w:b/>
                <w:color w:val="FFFFFF"/>
                <w:sz w:val="15"/>
              </w:rPr>
              <w:t>Route</w:t>
            </w:r>
          </w:p>
        </w:tc>
        <w:tc>
          <w:tcPr>
            <w:tcW w:type="dxa" w:w="3888"/>
            <w:shd w:fill="0E6874"/>
            <w:vAlign w:val="center"/>
          </w:tcPr>
          <w:p>
            <w:pPr>
              <w:spacing w:after="0"/>
            </w:pPr>
            <w:r/>
            <w:r>
              <w:rPr>
                <w:b/>
                <w:color w:val="FFFFFF"/>
                <w:sz w:val="15"/>
              </w:rPr>
              <w:t>Purpose</w:t>
            </w:r>
          </w:p>
        </w:tc>
      </w:tr>
      <w:tr>
        <w:tc>
          <w:tcPr>
            <w:tcW w:type="dxa" w:w="792"/>
            <w:vAlign w:val="top"/>
          </w:tcPr>
          <w:p>
            <w:pPr>
              <w:spacing w:after="0"/>
            </w:pPr>
            <w:r/>
            <w:r>
              <w:rPr>
                <w:rFonts w:ascii="Aptos" w:hAnsi="Aptos"/>
                <w:sz w:val="15"/>
              </w:rPr>
              <w:t>G01</w:t>
            </w:r>
          </w:p>
        </w:tc>
        <w:tc>
          <w:tcPr>
            <w:tcW w:type="dxa" w:w="936"/>
            <w:vAlign w:val="top"/>
          </w:tcPr>
          <w:p>
            <w:pPr>
              <w:spacing w:after="0"/>
            </w:pPr>
            <w:r/>
            <w:r>
              <w:rPr>
                <w:rFonts w:ascii="Aptos" w:hAnsi="Aptos"/>
                <w:sz w:val="15"/>
              </w:rPr>
              <w:t>GET</w:t>
            </w:r>
          </w:p>
        </w:tc>
        <w:tc>
          <w:tcPr>
            <w:tcW w:type="dxa" w:w="4176"/>
            <w:vAlign w:val="top"/>
          </w:tcPr>
          <w:p>
            <w:pPr>
              <w:spacing w:after="0"/>
            </w:pPr>
            <w:r/>
            <w:r>
              <w:rPr>
                <w:rFonts w:ascii="Aptos" w:hAnsi="Aptos"/>
                <w:sz w:val="15"/>
              </w:rPr>
              <w:t>/api/v1/registrations/status</w:t>
            </w:r>
          </w:p>
        </w:tc>
        <w:tc>
          <w:tcPr>
            <w:tcW w:type="dxa" w:w="3888"/>
            <w:vAlign w:val="top"/>
          </w:tcPr>
          <w:p>
            <w:pPr>
              <w:spacing w:after="0"/>
            </w:pPr>
            <w:r/>
            <w:r>
              <w:rPr>
                <w:rFonts w:ascii="Aptos" w:hAnsi="Aptos"/>
                <w:sz w:val="15"/>
              </w:rPr>
              <w:t>Check whether Trade Licence can start/proceed with Al Wateen.</w:t>
            </w:r>
          </w:p>
        </w:tc>
      </w:tr>
      <w:tr>
        <w:tc>
          <w:tcPr>
            <w:tcW w:type="dxa" w:w="792"/>
            <w:vAlign w:val="top"/>
            <w:shd w:fill="FAFBFB"/>
          </w:tcPr>
          <w:p>
            <w:pPr>
              <w:spacing w:after="0"/>
            </w:pPr>
            <w:r/>
            <w:r>
              <w:rPr>
                <w:rFonts w:ascii="Aptos" w:hAnsi="Aptos"/>
                <w:sz w:val="15"/>
              </w:rPr>
              <w:t>G02</w:t>
            </w:r>
          </w:p>
        </w:tc>
        <w:tc>
          <w:tcPr>
            <w:tcW w:type="dxa" w:w="936"/>
            <w:vAlign w:val="top"/>
            <w:shd w:fill="FAFBFB"/>
          </w:tcPr>
          <w:p>
            <w:pPr>
              <w:spacing w:after="0"/>
            </w:pPr>
            <w:r/>
            <w:r>
              <w:rPr>
                <w:rFonts w:ascii="Aptos" w:hAnsi="Aptos"/>
                <w:sz w:val="15"/>
              </w:rPr>
              <w:t>GET</w:t>
            </w:r>
          </w:p>
        </w:tc>
        <w:tc>
          <w:tcPr>
            <w:tcW w:type="dxa" w:w="4176"/>
            <w:vAlign w:val="top"/>
            <w:shd w:fill="FAFBFB"/>
          </w:tcPr>
          <w:p>
            <w:pPr>
              <w:spacing w:after="0"/>
            </w:pPr>
            <w:r/>
            <w:r>
              <w:rPr>
                <w:rFonts w:ascii="Aptos" w:hAnsi="Aptos"/>
                <w:sz w:val="15"/>
              </w:rPr>
              <w:t>/api/v1/applications/{applicationId}/status</w:t>
            </w:r>
          </w:p>
        </w:tc>
        <w:tc>
          <w:tcPr>
            <w:tcW w:type="dxa" w:w="3888"/>
            <w:vAlign w:val="top"/>
            <w:shd w:fill="FAFBFB"/>
          </w:tcPr>
          <w:p>
            <w:pPr>
              <w:spacing w:after="0"/>
            </w:pPr>
            <w:r/>
            <w:r>
              <w:rPr>
                <w:rFonts w:ascii="Aptos" w:hAnsi="Aptos"/>
                <w:sz w:val="15"/>
              </w:rPr>
              <w:t>Return current investor-facing status / More Information message when our solution is the source.</w:t>
            </w:r>
          </w:p>
        </w:tc>
      </w:tr>
      <w:tr>
        <w:tc>
          <w:tcPr>
            <w:tcW w:type="dxa" w:w="792"/>
            <w:vAlign w:val="top"/>
          </w:tcPr>
          <w:p>
            <w:pPr>
              <w:spacing w:after="0"/>
            </w:pPr>
            <w:r/>
            <w:r>
              <w:rPr>
                <w:rFonts w:ascii="Aptos" w:hAnsi="Aptos"/>
                <w:sz w:val="15"/>
              </w:rPr>
              <w:t>G03</w:t>
            </w:r>
          </w:p>
        </w:tc>
        <w:tc>
          <w:tcPr>
            <w:tcW w:type="dxa" w:w="936"/>
            <w:vAlign w:val="top"/>
          </w:tcPr>
          <w:p>
            <w:pPr>
              <w:spacing w:after="0"/>
            </w:pPr>
            <w:r/>
            <w:r>
              <w:rPr>
                <w:rFonts w:ascii="Aptos" w:hAnsi="Aptos"/>
                <w:sz w:val="15"/>
              </w:rPr>
              <w:t>GET</w:t>
            </w:r>
          </w:p>
        </w:tc>
        <w:tc>
          <w:tcPr>
            <w:tcW w:type="dxa" w:w="4176"/>
            <w:vAlign w:val="top"/>
          </w:tcPr>
          <w:p>
            <w:pPr>
              <w:spacing w:after="0"/>
            </w:pPr>
            <w:r/>
            <w:r>
              <w:rPr>
                <w:rFonts w:ascii="Aptos" w:hAnsi="Aptos"/>
                <w:sz w:val="15"/>
              </w:rPr>
              <w:t>/api/v1/applications/{applicationId}/pre-approval-letter/download</w:t>
            </w:r>
          </w:p>
        </w:tc>
        <w:tc>
          <w:tcPr>
            <w:tcW w:type="dxa" w:w="3888"/>
            <w:vAlign w:val="top"/>
          </w:tcPr>
          <w:p>
            <w:pPr>
              <w:spacing w:after="0"/>
            </w:pPr>
            <w:r/>
            <w:r>
              <w:rPr>
                <w:rFonts w:ascii="Aptos" w:hAnsi="Aptos"/>
                <w:sz w:val="15"/>
              </w:rPr>
              <w:t>Stream the approved Pre-Approval Letter. Final IID document hand-off may instead use the official Services 360 output API once confirmed.</w:t>
            </w:r>
          </w:p>
        </w:tc>
      </w:tr>
      <w:tr>
        <w:tc>
          <w:tcPr>
            <w:tcW w:type="dxa" w:w="792"/>
            <w:vAlign w:val="top"/>
            <w:shd w:fill="FAFBFB"/>
          </w:tcPr>
          <w:p>
            <w:pPr>
              <w:spacing w:after="0"/>
            </w:pPr>
            <w:r/>
            <w:r>
              <w:rPr>
                <w:rFonts w:ascii="Aptos" w:hAnsi="Aptos"/>
                <w:sz w:val="15"/>
              </w:rPr>
              <w:t>G04</w:t>
            </w:r>
          </w:p>
        </w:tc>
        <w:tc>
          <w:tcPr>
            <w:tcW w:type="dxa" w:w="936"/>
            <w:vAlign w:val="top"/>
            <w:shd w:fill="FAFBFB"/>
          </w:tcPr>
          <w:p>
            <w:pPr>
              <w:spacing w:after="0"/>
            </w:pPr>
            <w:r/>
            <w:r>
              <w:rPr>
                <w:rFonts w:ascii="Aptos" w:hAnsi="Aptos"/>
                <w:sz w:val="15"/>
              </w:rPr>
              <w:t>GET</w:t>
            </w:r>
          </w:p>
        </w:tc>
        <w:tc>
          <w:tcPr>
            <w:tcW w:type="dxa" w:w="4176"/>
            <w:vAlign w:val="top"/>
            <w:shd w:fill="FAFBFB"/>
          </w:tcPr>
          <w:p>
            <w:pPr>
              <w:spacing w:after="0"/>
            </w:pPr>
            <w:r/>
            <w:r>
              <w:rPr>
                <w:rFonts w:ascii="Aptos" w:hAnsi="Aptos"/>
                <w:sz w:val="15"/>
              </w:rPr>
              <w:t>/api/v1/lookups/medical-specialties</w:t>
            </w:r>
          </w:p>
        </w:tc>
        <w:tc>
          <w:tcPr>
            <w:tcW w:type="dxa" w:w="3888"/>
            <w:vAlign w:val="top"/>
            <w:shd w:fill="FAFBFB"/>
          </w:tcPr>
          <w:p>
            <w:pPr>
              <w:spacing w:after="0"/>
            </w:pPr>
            <w:r/>
            <w:r>
              <w:rPr>
                <w:rFonts w:ascii="Aptos" w:hAnsi="Aptos"/>
                <w:sz w:val="15"/>
              </w:rPr>
              <w:t>Only if our API is confirmed as the lookup source; otherwise do not implement locally.</w:t>
            </w:r>
          </w:p>
        </w:tc>
      </w:tr>
    </w:tbl>
    <w:p>
      <w:pPr>
        <w:pStyle w:val="Heading2"/>
        <w:keepNext/>
      </w:pPr>
      <w:r>
        <w:t>4.2 Services 360 inbound adapter operations</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864"/>
            <w:shd w:fill="0E6874"/>
            <w:vAlign w:val="center"/>
          </w:tcPr>
          <w:p>
            <w:pPr>
              <w:spacing w:after="0"/>
            </w:pPr>
            <w:r/>
            <w:r>
              <w:rPr>
                <w:b/>
                <w:color w:val="FFFFFF"/>
                <w:sz w:val="16"/>
              </w:rPr>
              <w:t>ID</w:t>
            </w:r>
          </w:p>
        </w:tc>
        <w:tc>
          <w:tcPr>
            <w:tcW w:type="dxa" w:w="3600"/>
            <w:shd w:fill="0E6874"/>
            <w:vAlign w:val="center"/>
          </w:tcPr>
          <w:p>
            <w:pPr>
              <w:spacing w:after="0"/>
            </w:pPr>
            <w:r/>
            <w:r>
              <w:rPr>
                <w:b/>
                <w:color w:val="FFFFFF"/>
                <w:sz w:val="16"/>
              </w:rPr>
              <w:t>Operation</w:t>
            </w:r>
          </w:p>
        </w:tc>
        <w:tc>
          <w:tcPr>
            <w:tcW w:type="dxa" w:w="5472"/>
            <w:shd w:fill="0E6874"/>
            <w:vAlign w:val="center"/>
          </w:tcPr>
          <w:p>
            <w:pPr>
              <w:spacing w:after="0"/>
            </w:pPr>
            <w:r/>
            <w:r>
              <w:rPr>
                <w:b/>
                <w:color w:val="FFFFFF"/>
                <w:sz w:val="16"/>
              </w:rPr>
              <w:t>Our responsibility</w:t>
            </w:r>
          </w:p>
        </w:tc>
      </w:tr>
      <w:tr>
        <w:tc>
          <w:tcPr>
            <w:tcW w:type="dxa" w:w="864"/>
            <w:vAlign w:val="top"/>
          </w:tcPr>
          <w:p>
            <w:pPr>
              <w:spacing w:after="0"/>
            </w:pPr>
            <w:r/>
            <w:r>
              <w:rPr>
                <w:rFonts w:ascii="Aptos" w:hAnsi="Aptos"/>
                <w:sz w:val="16"/>
              </w:rPr>
              <w:t>S01</w:t>
            </w:r>
          </w:p>
        </w:tc>
        <w:tc>
          <w:tcPr>
            <w:tcW w:type="dxa" w:w="3600"/>
            <w:vAlign w:val="top"/>
          </w:tcPr>
          <w:p>
            <w:pPr>
              <w:spacing w:after="0"/>
            </w:pPr>
            <w:r/>
            <w:r>
              <w:rPr>
                <w:rFonts w:ascii="Aptos" w:hAnsi="Aptos"/>
                <w:sz w:val="16"/>
              </w:rPr>
              <w:t>Receive initial ApplicationObject submission</w:t>
            </w:r>
          </w:p>
        </w:tc>
        <w:tc>
          <w:tcPr>
            <w:tcW w:type="dxa" w:w="5472"/>
            <w:vAlign w:val="top"/>
          </w:tcPr>
          <w:p>
            <w:pPr>
              <w:spacing w:after="0"/>
            </w:pPr>
            <w:r/>
            <w:r>
              <w:rPr>
                <w:rFonts w:ascii="Aptos" w:hAnsi="Aptos"/>
                <w:sz w:val="16"/>
              </w:rPr>
              <w:t>Create/update Application, documents/specialties metadata and place request at L1.</w:t>
            </w:r>
          </w:p>
        </w:tc>
      </w:tr>
      <w:tr>
        <w:tc>
          <w:tcPr>
            <w:tcW w:type="dxa" w:w="864"/>
            <w:vAlign w:val="top"/>
            <w:shd w:fill="FAFBFB"/>
          </w:tcPr>
          <w:p>
            <w:pPr>
              <w:spacing w:after="0"/>
            </w:pPr>
            <w:r/>
            <w:r>
              <w:rPr>
                <w:rFonts w:ascii="Aptos" w:hAnsi="Aptos"/>
                <w:sz w:val="16"/>
              </w:rPr>
              <w:t>S02</w:t>
            </w:r>
          </w:p>
        </w:tc>
        <w:tc>
          <w:tcPr>
            <w:tcW w:type="dxa" w:w="3600"/>
            <w:vAlign w:val="top"/>
            <w:shd w:fill="FAFBFB"/>
          </w:tcPr>
          <w:p>
            <w:pPr>
              <w:spacing w:after="0"/>
            </w:pPr>
            <w:r/>
            <w:r>
              <w:rPr>
                <w:rFonts w:ascii="Aptos" w:hAnsi="Aptos"/>
                <w:sz w:val="16"/>
              </w:rPr>
              <w:t>Receive investor resubmission</w:t>
            </w:r>
          </w:p>
        </w:tc>
        <w:tc>
          <w:tcPr>
            <w:tcW w:type="dxa" w:w="5472"/>
            <w:vAlign w:val="top"/>
            <w:shd w:fill="FAFBFB"/>
          </w:tcPr>
          <w:p>
            <w:pPr>
              <w:spacing w:after="0"/>
            </w:pPr>
            <w:r/>
            <w:r>
              <w:rPr>
                <w:rFonts w:ascii="Aptos" w:hAnsi="Aptos"/>
                <w:sz w:val="16"/>
              </w:rPr>
              <w:t>Update requested data/documents and reset workflow to SUBMITTED / L1.</w:t>
            </w:r>
          </w:p>
        </w:tc>
      </w:tr>
      <w:tr>
        <w:tc>
          <w:tcPr>
            <w:tcW w:type="dxa" w:w="864"/>
            <w:vAlign w:val="top"/>
          </w:tcPr>
          <w:p>
            <w:pPr>
              <w:spacing w:after="0"/>
            </w:pPr>
            <w:r/>
            <w:r>
              <w:rPr>
                <w:rFonts w:ascii="Aptos" w:hAnsi="Aptos"/>
                <w:sz w:val="16"/>
              </w:rPr>
              <w:t>S03</w:t>
            </w:r>
          </w:p>
        </w:tc>
        <w:tc>
          <w:tcPr>
            <w:tcW w:type="dxa" w:w="3600"/>
            <w:vAlign w:val="top"/>
          </w:tcPr>
          <w:p>
            <w:pPr>
              <w:spacing w:after="0"/>
            </w:pPr>
            <w:r/>
            <w:r>
              <w:rPr>
                <w:rFonts w:ascii="Aptos" w:hAnsi="Aptos"/>
                <w:sz w:val="16"/>
              </w:rPr>
              <w:t>Send decision/lifecycle status</w:t>
            </w:r>
          </w:p>
        </w:tc>
        <w:tc>
          <w:tcPr>
            <w:tcW w:type="dxa" w:w="5472"/>
            <w:vAlign w:val="top"/>
          </w:tcPr>
          <w:p>
            <w:pPr>
              <w:spacing w:after="0"/>
            </w:pPr>
            <w:r/>
            <w:r>
              <w:rPr>
                <w:rFonts w:ascii="Aptos" w:hAnsi="Aptos"/>
                <w:sz w:val="16"/>
              </w:rPr>
              <w:t>Exact endpoint/payload TBC; adapter maps our internal state to the official Services 360 contract.</w:t>
            </w:r>
          </w:p>
        </w:tc>
      </w:tr>
      <w:tr>
        <w:tc>
          <w:tcPr>
            <w:tcW w:type="dxa" w:w="864"/>
            <w:vAlign w:val="top"/>
            <w:shd w:fill="FAFBFB"/>
          </w:tcPr>
          <w:p>
            <w:pPr>
              <w:spacing w:after="0"/>
            </w:pPr>
            <w:r/>
            <w:r>
              <w:rPr>
                <w:rFonts w:ascii="Aptos" w:hAnsi="Aptos"/>
                <w:sz w:val="16"/>
              </w:rPr>
              <w:t>S04</w:t>
            </w:r>
          </w:p>
        </w:tc>
        <w:tc>
          <w:tcPr>
            <w:tcW w:type="dxa" w:w="3600"/>
            <w:vAlign w:val="top"/>
            <w:shd w:fill="FAFBFB"/>
          </w:tcPr>
          <w:p>
            <w:pPr>
              <w:spacing w:after="0"/>
            </w:pPr>
            <w:r/>
            <w:r>
              <w:rPr>
                <w:rFonts w:ascii="Aptos" w:hAnsi="Aptos"/>
                <w:sz w:val="16"/>
              </w:rPr>
              <w:t>Publish Pre-Approval Letter to IID</w:t>
            </w:r>
          </w:p>
        </w:tc>
        <w:tc>
          <w:tcPr>
            <w:tcW w:type="dxa" w:w="5472"/>
            <w:vAlign w:val="top"/>
            <w:shd w:fill="FAFBFB"/>
          </w:tcPr>
          <w:p>
            <w:pPr>
              <w:spacing w:after="0"/>
            </w:pPr>
            <w:r/>
            <w:r>
              <w:rPr>
                <w:rFonts w:ascii="Aptos" w:hAnsi="Aptos"/>
                <w:sz w:val="16"/>
              </w:rPr>
              <w:t>Exact output/document API TBC; mark AvailableToIID only after successful hand-off/confirmation.</w:t>
            </w:r>
          </w:p>
        </w:tc>
      </w:tr>
    </w:tbl>
    <w:tbl>
      <w:tblPr>
        <w:tblStyle w:val="TableGrid"/>
        <w:tblW w:type="auto" w:w="0"/>
        <w:jc w:val="center"/>
        <w:tblLook w:firstColumn="1" w:firstRow="1" w:lastColumn="0" w:lastRow="0" w:noHBand="0" w:noVBand="1" w:val="04A0"/>
      </w:tblPr>
      <w:tblGrid>
        <w:gridCol w:w="10656"/>
      </w:tblGrid>
      <w:tr>
        <w:tc>
          <w:tcPr>
            <w:tcW w:type="dxa" w:w="10656"/>
            <w:shd w:fill="FFF4D5"/>
          </w:tcPr>
          <w:p>
            <w:pPr>
              <w:spacing w:after="0"/>
            </w:pPr>
            <w:r/>
            <w:r>
              <w:rPr>
                <w:b/>
                <w:color w:val="17324D"/>
                <w:sz w:val="19"/>
              </w:rPr>
              <w:t xml:space="preserve">Do not hard-code the external routes yet. </w:t>
            </w:r>
            <w:r>
              <w:rPr>
                <w:sz w:val="18"/>
              </w:rPr>
              <w:t>The generic Developer Guide explains the pattern but not the Al Wateen service-specific submission, status and output contracts. Keep these behind an integration adapter until the official API documentation/credentials are received.</w:t>
            </w:r>
          </w:p>
        </w:tc>
      </w:tr>
    </w:tbl>
    <w:p>
      <w:pPr>
        <w:pStyle w:val="Heading2"/>
        <w:keepNext/>
      </w:pPr>
      <w:r>
        <w:t>4.3 Angular Back Office endpoints</w:t>
      </w:r>
    </w:p>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720"/>
            <w:shd w:fill="0E6874"/>
            <w:vAlign w:val="center"/>
          </w:tcPr>
          <w:p>
            <w:pPr>
              <w:spacing w:after="0"/>
            </w:pPr>
            <w:r/>
            <w:r>
              <w:rPr>
                <w:b/>
                <w:color w:val="FFFFFF"/>
                <w:sz w:val="15"/>
              </w:rPr>
              <w:t>ID</w:t>
            </w:r>
          </w:p>
        </w:tc>
        <w:tc>
          <w:tcPr>
            <w:tcW w:type="dxa" w:w="864"/>
            <w:shd w:fill="0E6874"/>
            <w:vAlign w:val="center"/>
          </w:tcPr>
          <w:p>
            <w:pPr>
              <w:spacing w:after="0"/>
            </w:pPr>
            <w:r/>
            <w:r>
              <w:rPr>
                <w:b/>
                <w:color w:val="FFFFFF"/>
                <w:sz w:val="15"/>
              </w:rPr>
              <w:t>Method</w:t>
            </w:r>
          </w:p>
        </w:tc>
        <w:tc>
          <w:tcPr>
            <w:tcW w:type="dxa" w:w="4032"/>
            <w:shd w:fill="0E6874"/>
            <w:vAlign w:val="center"/>
          </w:tcPr>
          <w:p>
            <w:pPr>
              <w:spacing w:after="0"/>
            </w:pPr>
            <w:r/>
            <w:r>
              <w:rPr>
                <w:b/>
                <w:color w:val="FFFFFF"/>
                <w:sz w:val="15"/>
              </w:rPr>
              <w:t>Route</w:t>
            </w:r>
          </w:p>
        </w:tc>
        <w:tc>
          <w:tcPr>
            <w:tcW w:type="dxa" w:w="4032"/>
            <w:shd w:fill="0E6874"/>
            <w:vAlign w:val="center"/>
          </w:tcPr>
          <w:p>
            <w:pPr>
              <w:spacing w:after="0"/>
            </w:pPr>
            <w:r/>
            <w:r>
              <w:rPr>
                <w:b/>
                <w:color w:val="FFFFFF"/>
                <w:sz w:val="15"/>
              </w:rPr>
              <w:t>Purpose</w:t>
            </w:r>
          </w:p>
        </w:tc>
      </w:tr>
      <w:tr>
        <w:tc>
          <w:tcPr>
            <w:tcW w:type="dxa" w:w="720"/>
            <w:vAlign w:val="top"/>
          </w:tcPr>
          <w:p>
            <w:pPr>
              <w:spacing w:after="0"/>
            </w:pPr>
            <w:r/>
            <w:r>
              <w:rPr>
                <w:rFonts w:ascii="Aptos" w:hAnsi="Aptos"/>
                <w:sz w:val="15"/>
              </w:rPr>
              <w:t>B01</w:t>
            </w:r>
          </w:p>
        </w:tc>
        <w:tc>
          <w:tcPr>
            <w:tcW w:type="dxa" w:w="864"/>
            <w:vAlign w:val="top"/>
          </w:tcPr>
          <w:p>
            <w:pPr>
              <w:spacing w:after="0"/>
            </w:pPr>
            <w:r/>
            <w:r>
              <w:rPr>
                <w:rFonts w:ascii="Aptos" w:hAnsi="Aptos"/>
                <w:sz w:val="15"/>
              </w:rPr>
              <w:t>GET</w:t>
            </w:r>
          </w:p>
        </w:tc>
        <w:tc>
          <w:tcPr>
            <w:tcW w:type="dxa" w:w="4032"/>
            <w:vAlign w:val="top"/>
          </w:tcPr>
          <w:p>
            <w:pPr>
              <w:spacing w:after="0"/>
            </w:pPr>
            <w:r/>
            <w:r>
              <w:rPr>
                <w:rFonts w:ascii="Aptos" w:hAnsi="Aptos"/>
                <w:sz w:val="15"/>
              </w:rPr>
              <w:t>/api/v1/backoffice/applications</w:t>
            </w:r>
          </w:p>
        </w:tc>
        <w:tc>
          <w:tcPr>
            <w:tcW w:type="dxa" w:w="4032"/>
            <w:vAlign w:val="top"/>
          </w:tcPr>
          <w:p>
            <w:pPr>
              <w:spacing w:after="0"/>
            </w:pPr>
            <w:r/>
            <w:r>
              <w:rPr>
                <w:rFonts w:ascii="Aptos" w:hAnsi="Aptos"/>
                <w:sz w:val="15"/>
              </w:rPr>
              <w:t>Paged role-aware queue. Server determines allowed stage from caller role.</w:t>
            </w:r>
          </w:p>
        </w:tc>
      </w:tr>
      <w:tr>
        <w:tc>
          <w:tcPr>
            <w:tcW w:type="dxa" w:w="720"/>
            <w:vAlign w:val="top"/>
            <w:shd w:fill="FAFBFB"/>
          </w:tcPr>
          <w:p>
            <w:pPr>
              <w:spacing w:after="0"/>
            </w:pPr>
            <w:r/>
            <w:r>
              <w:rPr>
                <w:rFonts w:ascii="Aptos" w:hAnsi="Aptos"/>
                <w:sz w:val="15"/>
              </w:rPr>
              <w:t>B02</w:t>
            </w:r>
          </w:p>
        </w:tc>
        <w:tc>
          <w:tcPr>
            <w:tcW w:type="dxa" w:w="864"/>
            <w:vAlign w:val="top"/>
            <w:shd w:fill="FAFBFB"/>
          </w:tcPr>
          <w:p>
            <w:pPr>
              <w:spacing w:after="0"/>
            </w:pPr>
            <w:r/>
            <w:r>
              <w:rPr>
                <w:rFonts w:ascii="Aptos" w:hAnsi="Aptos"/>
                <w:sz w:val="15"/>
              </w:rPr>
              <w:t>GET</w:t>
            </w:r>
          </w:p>
        </w:tc>
        <w:tc>
          <w:tcPr>
            <w:tcW w:type="dxa" w:w="4032"/>
            <w:vAlign w:val="top"/>
            <w:shd w:fill="FAFBFB"/>
          </w:tcPr>
          <w:p>
            <w:pPr>
              <w:spacing w:after="0"/>
            </w:pPr>
            <w:r/>
            <w:r>
              <w:rPr>
                <w:rFonts w:ascii="Aptos" w:hAnsi="Aptos"/>
                <w:sz w:val="15"/>
              </w:rPr>
              <w:t>/api/v1/backoffice/applications/{applicationId}</w:t>
            </w:r>
          </w:p>
        </w:tc>
        <w:tc>
          <w:tcPr>
            <w:tcW w:type="dxa" w:w="4032"/>
            <w:vAlign w:val="top"/>
            <w:shd w:fill="FAFBFB"/>
          </w:tcPr>
          <w:p>
            <w:pPr>
              <w:spacing w:after="0"/>
            </w:pPr>
            <w:r/>
            <w:r>
              <w:rPr>
                <w:rFonts w:ascii="Aptos" w:hAnsi="Aptos"/>
                <w:sz w:val="15"/>
              </w:rPr>
              <w:t>Application detail including fields, documents metadata and workflow history.</w:t>
            </w:r>
          </w:p>
        </w:tc>
      </w:tr>
      <w:tr>
        <w:tc>
          <w:tcPr>
            <w:tcW w:type="dxa" w:w="720"/>
            <w:vAlign w:val="top"/>
          </w:tcPr>
          <w:p>
            <w:pPr>
              <w:spacing w:after="0"/>
            </w:pPr>
            <w:r/>
            <w:r>
              <w:rPr>
                <w:rFonts w:ascii="Aptos" w:hAnsi="Aptos"/>
                <w:sz w:val="15"/>
              </w:rPr>
              <w:t>B03</w:t>
            </w:r>
          </w:p>
        </w:tc>
        <w:tc>
          <w:tcPr>
            <w:tcW w:type="dxa" w:w="864"/>
            <w:vAlign w:val="top"/>
          </w:tcPr>
          <w:p>
            <w:pPr>
              <w:spacing w:after="0"/>
            </w:pPr>
            <w:r/>
            <w:r>
              <w:rPr>
                <w:rFonts w:ascii="Aptos" w:hAnsi="Aptos"/>
                <w:sz w:val="15"/>
              </w:rPr>
              <w:t>POST</w:t>
            </w:r>
          </w:p>
        </w:tc>
        <w:tc>
          <w:tcPr>
            <w:tcW w:type="dxa" w:w="4032"/>
            <w:vAlign w:val="top"/>
          </w:tcPr>
          <w:p>
            <w:pPr>
              <w:spacing w:after="0"/>
            </w:pPr>
            <w:r/>
            <w:r>
              <w:rPr>
                <w:rFonts w:ascii="Aptos" w:hAnsi="Aptos"/>
                <w:sz w:val="15"/>
              </w:rPr>
              <w:t>/api/v1/backoffice/applications/{applicationId}/decision</w:t>
            </w:r>
          </w:p>
        </w:tc>
        <w:tc>
          <w:tcPr>
            <w:tcW w:type="dxa" w:w="4032"/>
            <w:vAlign w:val="top"/>
          </w:tcPr>
          <w:p>
            <w:pPr>
              <w:spacing w:after="0"/>
            </w:pPr>
            <w:r/>
            <w:r>
              <w:rPr>
                <w:rFonts w:ascii="Aptos" w:hAnsi="Aptos"/>
                <w:sz w:val="15"/>
              </w:rPr>
              <w:t>L1/L2 Approve, Reject or More Information. Server determines current review level.</w:t>
            </w:r>
          </w:p>
        </w:tc>
      </w:tr>
      <w:tr>
        <w:tc>
          <w:tcPr>
            <w:tcW w:type="dxa" w:w="720"/>
            <w:vAlign w:val="top"/>
            <w:shd w:fill="FAFBFB"/>
          </w:tcPr>
          <w:p>
            <w:pPr>
              <w:spacing w:after="0"/>
            </w:pPr>
            <w:r/>
            <w:r>
              <w:rPr>
                <w:rFonts w:ascii="Aptos" w:hAnsi="Aptos"/>
                <w:sz w:val="15"/>
              </w:rPr>
              <w:t>B04</w:t>
            </w:r>
          </w:p>
        </w:tc>
        <w:tc>
          <w:tcPr>
            <w:tcW w:type="dxa" w:w="864"/>
            <w:vAlign w:val="top"/>
            <w:shd w:fill="FAFBFB"/>
          </w:tcPr>
          <w:p>
            <w:pPr>
              <w:spacing w:after="0"/>
            </w:pPr>
            <w:r/>
            <w:r>
              <w:rPr>
                <w:rFonts w:ascii="Aptos" w:hAnsi="Aptos"/>
                <w:sz w:val="15"/>
              </w:rPr>
              <w:t>GET</w:t>
            </w:r>
          </w:p>
        </w:tc>
        <w:tc>
          <w:tcPr>
            <w:tcW w:type="dxa" w:w="4032"/>
            <w:vAlign w:val="top"/>
            <w:shd w:fill="FAFBFB"/>
          </w:tcPr>
          <w:p>
            <w:pPr>
              <w:spacing w:after="0"/>
            </w:pPr>
            <w:r/>
            <w:r>
              <w:rPr>
                <w:rFonts w:ascii="Aptos" w:hAnsi="Aptos"/>
                <w:sz w:val="15"/>
              </w:rPr>
              <w:t>/api/v1/backoffice/applications/{applicationId}/pre-approval-letter/download</w:t>
            </w:r>
          </w:p>
        </w:tc>
        <w:tc>
          <w:tcPr>
            <w:tcW w:type="dxa" w:w="4032"/>
            <w:vAlign w:val="top"/>
            <w:shd w:fill="FAFBFB"/>
          </w:tcPr>
          <w:p>
            <w:pPr>
              <w:spacing w:after="0"/>
            </w:pPr>
            <w:r/>
            <w:r>
              <w:rPr>
                <w:rFonts w:ascii="Aptos" w:hAnsi="Aptos"/>
                <w:sz w:val="15"/>
              </w:rPr>
              <w:t>Back Office preview/download when authorized.</w:t>
            </w:r>
          </w:p>
        </w:tc>
      </w:tr>
      <w:tr>
        <w:tc>
          <w:tcPr>
            <w:tcW w:type="dxa" w:w="720"/>
            <w:vAlign w:val="top"/>
          </w:tcPr>
          <w:p>
            <w:pPr>
              <w:spacing w:after="0"/>
            </w:pPr>
            <w:r/>
            <w:r>
              <w:rPr>
                <w:rFonts w:ascii="Aptos" w:hAnsi="Aptos"/>
                <w:sz w:val="15"/>
              </w:rPr>
              <w:t>B05</w:t>
            </w:r>
          </w:p>
        </w:tc>
        <w:tc>
          <w:tcPr>
            <w:tcW w:type="dxa" w:w="864"/>
            <w:vAlign w:val="top"/>
          </w:tcPr>
          <w:p>
            <w:pPr>
              <w:spacing w:after="0"/>
            </w:pPr>
            <w:r/>
            <w:r>
              <w:rPr>
                <w:rFonts w:ascii="Aptos" w:hAnsi="Aptos"/>
                <w:sz w:val="15"/>
              </w:rPr>
              <w:t>POST</w:t>
            </w:r>
          </w:p>
        </w:tc>
        <w:tc>
          <w:tcPr>
            <w:tcW w:type="dxa" w:w="4032"/>
            <w:vAlign w:val="top"/>
          </w:tcPr>
          <w:p>
            <w:pPr>
              <w:spacing w:after="0"/>
            </w:pPr>
            <w:r/>
            <w:r>
              <w:rPr>
                <w:rFonts w:ascii="Aptos" w:hAnsi="Aptos"/>
                <w:sz w:val="15"/>
              </w:rPr>
              <w:t>/api/v1/backoffice/applications/{applicationId}/contract</w:t>
            </w:r>
          </w:p>
        </w:tc>
        <w:tc>
          <w:tcPr>
            <w:tcW w:type="dxa" w:w="4032"/>
            <w:vAlign w:val="top"/>
          </w:tcPr>
          <w:p>
            <w:pPr>
              <w:spacing w:after="0"/>
            </w:pPr>
            <w:r/>
            <w:r>
              <w:rPr>
                <w:rFonts w:ascii="Aptos" w:hAnsi="Aptos"/>
                <w:sz w:val="15"/>
              </w:rPr>
              <w:t>Purchasing uploads signed contract + contract metadata; triggers onboarding notification after successful save.</w:t>
            </w:r>
          </w:p>
        </w:tc>
      </w:tr>
      <w:tr>
        <w:tc>
          <w:tcPr>
            <w:tcW w:type="dxa" w:w="720"/>
            <w:vAlign w:val="top"/>
            <w:shd w:fill="FAFBFB"/>
          </w:tcPr>
          <w:p>
            <w:pPr>
              <w:spacing w:after="0"/>
            </w:pPr>
            <w:r/>
            <w:r>
              <w:rPr>
                <w:rFonts w:ascii="Aptos" w:hAnsi="Aptos"/>
                <w:sz w:val="15"/>
              </w:rPr>
              <w:t>B06</w:t>
            </w:r>
          </w:p>
        </w:tc>
        <w:tc>
          <w:tcPr>
            <w:tcW w:type="dxa" w:w="864"/>
            <w:vAlign w:val="top"/>
            <w:shd w:fill="FAFBFB"/>
          </w:tcPr>
          <w:p>
            <w:pPr>
              <w:spacing w:after="0"/>
            </w:pPr>
            <w:r/>
            <w:r>
              <w:rPr>
                <w:rFonts w:ascii="Aptos" w:hAnsi="Aptos"/>
                <w:sz w:val="15"/>
              </w:rPr>
              <w:t>GET</w:t>
            </w:r>
          </w:p>
        </w:tc>
        <w:tc>
          <w:tcPr>
            <w:tcW w:type="dxa" w:w="4032"/>
            <w:vAlign w:val="top"/>
            <w:shd w:fill="FAFBFB"/>
          </w:tcPr>
          <w:p>
            <w:pPr>
              <w:spacing w:after="0"/>
            </w:pPr>
            <w:r/>
            <w:r>
              <w:rPr>
                <w:rFonts w:ascii="Aptos" w:hAnsi="Aptos"/>
                <w:sz w:val="15"/>
              </w:rPr>
              <w:t>/api/v1/backoffice/applications/{applicationId}/contract</w:t>
            </w:r>
          </w:p>
        </w:tc>
        <w:tc>
          <w:tcPr>
            <w:tcW w:type="dxa" w:w="4032"/>
            <w:vAlign w:val="top"/>
            <w:shd w:fill="FAFBFB"/>
          </w:tcPr>
          <w:p>
            <w:pPr>
              <w:spacing w:after="0"/>
            </w:pPr>
            <w:r/>
            <w:r>
              <w:rPr>
                <w:rFonts w:ascii="Aptos" w:hAnsi="Aptos"/>
                <w:sz w:val="15"/>
              </w:rPr>
              <w:t>Return contract metadata for authorized Back Office users.</w:t>
            </w:r>
          </w:p>
        </w:tc>
      </w:tr>
    </w:tbl>
    <w:p>
      <w:pPr>
        <w:pStyle w:val="Heading1"/>
        <w:keepNext/>
      </w:pPr>
      <w:r>
        <w:t>5. Critical Endpoint Contracts</w:t>
      </w:r>
    </w:p>
    <w:p>
      <w:pPr>
        <w:pStyle w:val="Heading2"/>
        <w:keepNext/>
      </w:pPr>
      <w:r>
        <w:t>5.1 G01 - Registration status</w:t>
      </w:r>
    </w:p>
    <w:tbl>
      <w:tblPr>
        <w:tblStyle w:val="TableGrid"/>
        <w:tblW w:type="auto" w:w="0"/>
        <w:tblLook w:firstColumn="1" w:firstRow="1" w:lastColumn="0" w:lastRow="0" w:noHBand="0" w:noVBand="1" w:val="04A0"/>
      </w:tblPr>
      <w:tblGrid>
        <w:gridCol w:w="10656"/>
      </w:tblGrid>
      <w:tr>
        <w:tc>
          <w:tcPr>
            <w:tcW w:type="dxa" w:w="10656"/>
            <w:shd w:fill="F7F9FA"/>
          </w:tcPr>
          <w:p>
            <w:pPr>
              <w:spacing w:after="0"/>
            </w:pPr>
            <w:r/>
            <w:r>
              <w:rPr>
                <w:rFonts w:ascii="Consolas" w:hAnsi="Consolas"/>
                <w:sz w:val="15"/>
              </w:rPr>
              <w:t>GET /api/v1/registrations/status?tradeLicenseNumber=123456</w:t>
            </w:r>
            <w:r>
              <w:br/>
            </w:r>
            <w:r>
              <w:rPr>
                <w:rFonts w:ascii="Consolas" w:hAnsi="Consolas"/>
                <w:sz w:val="15"/>
              </w:rPr>
            </w:r>
            <w:r>
              <w:br/>
            </w:r>
            <w:r>
              <w:rPr>
                <w:rFonts w:ascii="Consolas" w:hAnsi="Consolas"/>
                <w:sz w:val="15"/>
              </w:rPr>
              <w:t>200 OK</w:t>
            </w:r>
            <w:r>
              <w:br/>
            </w:r>
            <w:r>
              <w:rPr>
                <w:rFonts w:ascii="Consolas" w:hAnsi="Consolas"/>
                <w:sz w:val="15"/>
              </w:rPr>
              <w:t>{</w:t>
            </w:r>
            <w:r>
              <w:br/>
            </w:r>
            <w:r>
              <w:rPr>
                <w:rFonts w:ascii="Consolas" w:hAnsi="Consolas"/>
                <w:sz w:val="15"/>
              </w:rPr>
              <w:t xml:space="preserve">  "tradeLicenseNumber": "123456",</w:t>
            </w:r>
            <w:r>
              <w:br/>
            </w:r>
            <w:r>
              <w:rPr>
                <w:rFonts w:ascii="Consolas" w:hAnsi="Consolas"/>
                <w:sz w:val="15"/>
              </w:rPr>
              <w:t xml:space="preserve">  "isRegistered": false,</w:t>
            </w:r>
            <w:r>
              <w:br/>
            </w:r>
            <w:r>
              <w:rPr>
                <w:rFonts w:ascii="Consolas" w:hAnsi="Consolas"/>
                <w:sz w:val="15"/>
              </w:rPr>
              <w:t xml:space="preserve">  "hasActiveRequest": false,</w:t>
            </w:r>
            <w:r>
              <w:br/>
            </w:r>
            <w:r>
              <w:rPr>
                <w:rFonts w:ascii="Consolas" w:hAnsi="Consolas"/>
                <w:sz w:val="15"/>
              </w:rPr>
              <w:t xml:space="preserve">  "hasRejectedHistory": false,</w:t>
            </w:r>
            <w:r>
              <w:br/>
            </w:r>
            <w:r>
              <w:rPr>
                <w:rFonts w:ascii="Consolas" w:hAnsi="Consolas"/>
                <w:sz w:val="15"/>
              </w:rPr>
              <w:t xml:space="preserve">  "canProceed": true</w:t>
            </w:r>
            <w:r>
              <w:br/>
            </w:r>
            <w:r>
              <w:rPr>
                <w:rFonts w:ascii="Consolas" w:hAnsi="Consolas"/>
                <w:sz w:val="15"/>
              </w:rPr>
              <w:t>}</w:t>
            </w:r>
          </w:p>
        </w:tc>
      </w:tr>
    </w:tbl>
    <w:p>
      <w:pPr>
        <w:spacing w:after="80"/>
      </w:pPr>
      <w:r>
        <w:t>Server validation: tradeLicenseNumber is required, trimmed and &lt;= 50 characters. The API must combine the authoritative registration-status source with our local active/rejected history rule. If the authoritative source is unavailable, do not silently allow a new registration.</w:t>
      </w:r>
    </w:p>
    <w:p>
      <w:pPr>
        <w:pStyle w:val="Heading2"/>
        <w:keepNext/>
      </w:pPr>
      <w:r>
        <w:t>5.2 B03 - Review decision</w:t>
      </w:r>
    </w:p>
    <w:tbl>
      <w:tblPr>
        <w:tblStyle w:val="TableGrid"/>
        <w:tblW w:type="auto" w:w="0"/>
        <w:tblLook w:firstColumn="1" w:firstRow="1" w:lastColumn="0" w:lastRow="0" w:noHBand="0" w:noVBand="1" w:val="04A0"/>
      </w:tblPr>
      <w:tblGrid>
        <w:gridCol w:w="10656"/>
      </w:tblGrid>
      <w:tr>
        <w:tc>
          <w:tcPr>
            <w:tcW w:type="dxa" w:w="10656"/>
            <w:shd w:fill="F7F9FA"/>
          </w:tcPr>
          <w:p>
            <w:pPr>
              <w:spacing w:after="0"/>
            </w:pPr>
            <w:r/>
            <w:r>
              <w:rPr>
                <w:rFonts w:ascii="Consolas" w:hAnsi="Consolas"/>
                <w:sz w:val="15"/>
              </w:rPr>
              <w:t>POST /api/v1/backoffice/applications/{applicationId}/decision</w:t>
            </w:r>
            <w:r>
              <w:br/>
            </w:r>
            <w:r>
              <w:rPr>
                <w:rFonts w:ascii="Consolas" w:hAnsi="Consolas"/>
                <w:sz w:val="15"/>
              </w:rPr>
              <w:t>If-Match: &lt;rowversion/etag&gt;</w:t>
            </w:r>
            <w:r>
              <w:br/>
            </w:r>
            <w:r>
              <w:rPr>
                <w:rFonts w:ascii="Consolas" w:hAnsi="Consolas"/>
                <w:sz w:val="15"/>
              </w:rPr>
            </w:r>
            <w:r>
              <w:br/>
            </w:r>
            <w:r>
              <w:rPr>
                <w:rFonts w:ascii="Consolas" w:hAnsi="Consolas"/>
                <w:sz w:val="15"/>
              </w:rPr>
              <w:t>{</w:t>
            </w:r>
            <w:r>
              <w:br/>
            </w:r>
            <w:r>
              <w:rPr>
                <w:rFonts w:ascii="Consolas" w:hAnsi="Consolas"/>
                <w:sz w:val="15"/>
              </w:rPr>
              <w:t xml:space="preserve">  "decision": "APPROVE | REJECT | MORE_INFO",</w:t>
            </w:r>
            <w:r>
              <w:br/>
            </w:r>
            <w:r>
              <w:rPr>
                <w:rFonts w:ascii="Consolas" w:hAnsi="Consolas"/>
                <w:sz w:val="15"/>
              </w:rPr>
              <w:t xml:space="preserve">  "comment": "Required when MORE_INFO; Reject reason requirement TBC"</w:t>
            </w:r>
            <w:r>
              <w:br/>
            </w:r>
            <w:r>
              <w:rPr>
                <w:rFonts w:ascii="Consolas" w:hAnsi="Consolas"/>
                <w:sz w:val="15"/>
              </w:rPr>
              <w:t>}</w:t>
            </w:r>
          </w:p>
        </w:tc>
      </w:tr>
    </w:tbl>
    <w:tbl>
      <w:tblPr>
        <w:tblStyle w:val="TableGrid"/>
        <w:tblW w:type="auto" w:w="0"/>
        <w:jc w:val="center"/>
        <w:tblLayout w:type="fixed"/>
        <w:tblLook w:firstColumn="1" w:firstRow="1" w:lastColumn="0" w:lastRow="0" w:noHBand="0" w:noVBand="1" w:val="04A0"/>
      </w:tblPr>
      <w:tblGrid>
        <w:gridCol w:w="2664"/>
        <w:gridCol w:w="2664"/>
        <w:gridCol w:w="2664"/>
        <w:gridCol w:w="2664"/>
      </w:tblGrid>
      <w:tr>
        <w:trPr>
          <w:tblHeader w:val="true"/>
        </w:trPr>
        <w:tc>
          <w:tcPr>
            <w:tcW w:type="dxa" w:w="2448"/>
            <w:shd w:fill="0E6874"/>
            <w:vAlign w:val="center"/>
          </w:tcPr>
          <w:p>
            <w:pPr>
              <w:spacing w:after="0"/>
            </w:pPr>
            <w:r/>
            <w:r>
              <w:rPr>
                <w:b/>
                <w:color w:val="FFFFFF"/>
                <w:sz w:val="15"/>
              </w:rPr>
              <w:t>Current step + decision</w:t>
            </w:r>
          </w:p>
        </w:tc>
        <w:tc>
          <w:tcPr>
            <w:tcW w:type="dxa" w:w="1584"/>
            <w:shd w:fill="0E6874"/>
            <w:vAlign w:val="center"/>
          </w:tcPr>
          <w:p>
            <w:pPr>
              <w:spacing w:after="0"/>
            </w:pPr>
            <w:r/>
            <w:r>
              <w:rPr>
                <w:b/>
                <w:color w:val="FFFFFF"/>
                <w:sz w:val="15"/>
              </w:rPr>
              <w:t>New status</w:t>
            </w:r>
          </w:p>
        </w:tc>
        <w:tc>
          <w:tcPr>
            <w:tcW w:type="dxa" w:w="1584"/>
            <w:shd w:fill="0E6874"/>
            <w:vAlign w:val="center"/>
          </w:tcPr>
          <w:p>
            <w:pPr>
              <w:spacing w:after="0"/>
            </w:pPr>
            <w:r/>
            <w:r>
              <w:rPr>
                <w:b/>
                <w:color w:val="FFFFFF"/>
                <w:sz w:val="15"/>
              </w:rPr>
              <w:t>New stage</w:t>
            </w:r>
          </w:p>
        </w:tc>
        <w:tc>
          <w:tcPr>
            <w:tcW w:type="dxa" w:w="4320"/>
            <w:shd w:fill="0E6874"/>
            <w:vAlign w:val="center"/>
          </w:tcPr>
          <w:p>
            <w:pPr>
              <w:spacing w:after="0"/>
            </w:pPr>
            <w:r/>
            <w:r>
              <w:rPr>
                <w:b/>
                <w:color w:val="FFFFFF"/>
                <w:sz w:val="15"/>
              </w:rPr>
              <w:t>Additional action</w:t>
            </w:r>
          </w:p>
        </w:tc>
      </w:tr>
      <w:tr>
        <w:tc>
          <w:tcPr>
            <w:tcW w:type="dxa" w:w="2448"/>
            <w:vAlign w:val="top"/>
          </w:tcPr>
          <w:p>
            <w:pPr>
              <w:spacing w:after="0"/>
            </w:pPr>
            <w:r/>
            <w:r>
              <w:rPr>
                <w:rFonts w:ascii="Aptos" w:hAnsi="Aptos"/>
                <w:sz w:val="15"/>
              </w:rPr>
              <w:t>L1 + APPROVE</w:t>
            </w:r>
          </w:p>
        </w:tc>
        <w:tc>
          <w:tcPr>
            <w:tcW w:type="dxa" w:w="1584"/>
            <w:vAlign w:val="top"/>
          </w:tcPr>
          <w:p>
            <w:pPr>
              <w:spacing w:after="0"/>
            </w:pPr>
            <w:r/>
            <w:r>
              <w:rPr>
                <w:rFonts w:ascii="Aptos" w:hAnsi="Aptos"/>
                <w:sz w:val="15"/>
              </w:rPr>
              <w:t>SUBMITTED</w:t>
            </w:r>
          </w:p>
        </w:tc>
        <w:tc>
          <w:tcPr>
            <w:tcW w:type="dxa" w:w="1584"/>
            <w:vAlign w:val="top"/>
          </w:tcPr>
          <w:p>
            <w:pPr>
              <w:spacing w:after="0"/>
            </w:pPr>
            <w:r/>
            <w:r>
              <w:rPr>
                <w:rFonts w:ascii="Aptos" w:hAnsi="Aptos"/>
                <w:sz w:val="15"/>
              </w:rPr>
              <w:t>L2</w:t>
            </w:r>
          </w:p>
        </w:tc>
        <w:tc>
          <w:tcPr>
            <w:tcW w:type="dxa" w:w="4320"/>
            <w:vAlign w:val="top"/>
          </w:tcPr>
          <w:p>
            <w:pPr>
              <w:spacing w:after="0"/>
            </w:pPr>
            <w:r/>
            <w:r>
              <w:rPr>
                <w:rFonts w:ascii="Aptos" w:hAnsi="Aptos"/>
                <w:sz w:val="15"/>
              </w:rPr>
              <w:t>Create workflow history row.</w:t>
            </w:r>
          </w:p>
        </w:tc>
      </w:tr>
      <w:tr>
        <w:tc>
          <w:tcPr>
            <w:tcW w:type="dxa" w:w="2448"/>
            <w:vAlign w:val="top"/>
            <w:shd w:fill="FAFBFB"/>
          </w:tcPr>
          <w:p>
            <w:pPr>
              <w:spacing w:after="0"/>
            </w:pPr>
            <w:r/>
            <w:r>
              <w:rPr>
                <w:rFonts w:ascii="Aptos" w:hAnsi="Aptos"/>
                <w:sz w:val="15"/>
              </w:rPr>
              <w:t>L1 + MORE_INFO</w:t>
            </w:r>
          </w:p>
        </w:tc>
        <w:tc>
          <w:tcPr>
            <w:tcW w:type="dxa" w:w="1584"/>
            <w:vAlign w:val="top"/>
            <w:shd w:fill="FAFBFB"/>
          </w:tcPr>
          <w:p>
            <w:pPr>
              <w:spacing w:after="0"/>
            </w:pPr>
            <w:r/>
            <w:r>
              <w:rPr>
                <w:rFonts w:ascii="Aptos" w:hAnsi="Aptos"/>
                <w:sz w:val="15"/>
              </w:rPr>
              <w:t>MORE_INFO</w:t>
            </w:r>
          </w:p>
        </w:tc>
        <w:tc>
          <w:tcPr>
            <w:tcW w:type="dxa" w:w="1584"/>
            <w:vAlign w:val="top"/>
            <w:shd w:fill="FAFBFB"/>
          </w:tcPr>
          <w:p>
            <w:pPr>
              <w:spacing w:after="0"/>
            </w:pPr>
            <w:r/>
            <w:r>
              <w:rPr>
                <w:rFonts w:ascii="Aptos" w:hAnsi="Aptos"/>
                <w:sz w:val="15"/>
              </w:rPr>
              <w:t>INVESTOR</w:t>
            </w:r>
          </w:p>
        </w:tc>
        <w:tc>
          <w:tcPr>
            <w:tcW w:type="dxa" w:w="4320"/>
            <w:vAlign w:val="top"/>
            <w:shd w:fill="FAFBFB"/>
          </w:tcPr>
          <w:p>
            <w:pPr>
              <w:spacing w:after="0"/>
            </w:pPr>
            <w:r/>
            <w:r>
              <w:rPr>
                <w:rFonts w:ascii="Aptos" w:hAnsi="Aptos"/>
                <w:sz w:val="15"/>
              </w:rPr>
              <w:t>Investor updates and resubmits.</w:t>
            </w:r>
          </w:p>
        </w:tc>
      </w:tr>
      <w:tr>
        <w:tc>
          <w:tcPr>
            <w:tcW w:type="dxa" w:w="2448"/>
            <w:vAlign w:val="top"/>
          </w:tcPr>
          <w:p>
            <w:pPr>
              <w:spacing w:after="0"/>
            </w:pPr>
            <w:r/>
            <w:r>
              <w:rPr>
                <w:rFonts w:ascii="Aptos" w:hAnsi="Aptos"/>
                <w:sz w:val="15"/>
              </w:rPr>
              <w:t>L1 + REJECT</w:t>
            </w:r>
          </w:p>
        </w:tc>
        <w:tc>
          <w:tcPr>
            <w:tcW w:type="dxa" w:w="1584"/>
            <w:vAlign w:val="top"/>
          </w:tcPr>
          <w:p>
            <w:pPr>
              <w:spacing w:after="0"/>
            </w:pPr>
            <w:r/>
            <w:r>
              <w:rPr>
                <w:rFonts w:ascii="Aptos" w:hAnsi="Aptos"/>
                <w:sz w:val="15"/>
              </w:rPr>
              <w:t>REJECTED</w:t>
            </w:r>
          </w:p>
        </w:tc>
        <w:tc>
          <w:tcPr>
            <w:tcW w:type="dxa" w:w="1584"/>
            <w:vAlign w:val="top"/>
          </w:tcPr>
          <w:p>
            <w:pPr>
              <w:spacing w:after="0"/>
            </w:pPr>
            <w:r/>
            <w:r>
              <w:rPr>
                <w:rFonts w:ascii="Aptos" w:hAnsi="Aptos"/>
                <w:sz w:val="15"/>
              </w:rPr>
              <w:t>L1</w:t>
            </w:r>
          </w:p>
        </w:tc>
        <w:tc>
          <w:tcPr>
            <w:tcW w:type="dxa" w:w="4320"/>
            <w:vAlign w:val="top"/>
          </w:tcPr>
          <w:p>
            <w:pPr>
              <w:spacing w:after="0"/>
            </w:pPr>
            <w:r/>
            <w:r>
              <w:rPr>
                <w:rFonts w:ascii="Aptos" w:hAnsi="Aptos"/>
                <w:sz w:val="15"/>
              </w:rPr>
              <w:t>End registration journey; IsActiveRequest = 0.</w:t>
            </w:r>
          </w:p>
        </w:tc>
      </w:tr>
      <w:tr>
        <w:tc>
          <w:tcPr>
            <w:tcW w:type="dxa" w:w="2448"/>
            <w:vAlign w:val="top"/>
            <w:shd w:fill="FAFBFB"/>
          </w:tcPr>
          <w:p>
            <w:pPr>
              <w:spacing w:after="0"/>
            </w:pPr>
            <w:r/>
            <w:r>
              <w:rPr>
                <w:rFonts w:ascii="Aptos" w:hAnsi="Aptos"/>
                <w:sz w:val="15"/>
              </w:rPr>
              <w:t>L2 + APPROVE</w:t>
            </w:r>
          </w:p>
        </w:tc>
        <w:tc>
          <w:tcPr>
            <w:tcW w:type="dxa" w:w="1584"/>
            <w:vAlign w:val="top"/>
            <w:shd w:fill="FAFBFB"/>
          </w:tcPr>
          <w:p>
            <w:pPr>
              <w:spacing w:after="0"/>
            </w:pPr>
            <w:r/>
            <w:r>
              <w:rPr>
                <w:rFonts w:ascii="Aptos" w:hAnsi="Aptos"/>
                <w:sz w:val="15"/>
              </w:rPr>
              <w:t>APPROVED</w:t>
            </w:r>
          </w:p>
        </w:tc>
        <w:tc>
          <w:tcPr>
            <w:tcW w:type="dxa" w:w="1584"/>
            <w:vAlign w:val="top"/>
            <w:shd w:fill="FAFBFB"/>
          </w:tcPr>
          <w:p>
            <w:pPr>
              <w:spacing w:after="0"/>
            </w:pPr>
            <w:r/>
            <w:r>
              <w:rPr>
                <w:rFonts w:ascii="Aptos" w:hAnsi="Aptos"/>
                <w:sz w:val="15"/>
              </w:rPr>
              <w:t>PURCHASING</w:t>
            </w:r>
          </w:p>
        </w:tc>
        <w:tc>
          <w:tcPr>
            <w:tcW w:type="dxa" w:w="4320"/>
            <w:vAlign w:val="top"/>
            <w:shd w:fill="FAFBFB"/>
          </w:tcPr>
          <w:p>
            <w:pPr>
              <w:spacing w:after="0"/>
            </w:pPr>
            <w:r/>
            <w:r>
              <w:rPr>
                <w:rFonts w:ascii="Aptos" w:hAnsi="Aptos"/>
                <w:sz w:val="15"/>
              </w:rPr>
              <w:t>Final approval; generate Pre-Approval Letter and initiate IID output hand-off.</w:t>
            </w:r>
          </w:p>
        </w:tc>
      </w:tr>
      <w:tr>
        <w:tc>
          <w:tcPr>
            <w:tcW w:type="dxa" w:w="2448"/>
            <w:vAlign w:val="top"/>
          </w:tcPr>
          <w:p>
            <w:pPr>
              <w:spacing w:after="0"/>
            </w:pPr>
            <w:r/>
            <w:r>
              <w:rPr>
                <w:rFonts w:ascii="Aptos" w:hAnsi="Aptos"/>
                <w:sz w:val="15"/>
              </w:rPr>
              <w:t>L2 + MORE_INFO</w:t>
            </w:r>
          </w:p>
        </w:tc>
        <w:tc>
          <w:tcPr>
            <w:tcW w:type="dxa" w:w="1584"/>
            <w:vAlign w:val="top"/>
          </w:tcPr>
          <w:p>
            <w:pPr>
              <w:spacing w:after="0"/>
            </w:pPr>
            <w:r/>
            <w:r>
              <w:rPr>
                <w:rFonts w:ascii="Aptos" w:hAnsi="Aptos"/>
                <w:sz w:val="15"/>
              </w:rPr>
              <w:t>MORE_INFO</w:t>
            </w:r>
          </w:p>
        </w:tc>
        <w:tc>
          <w:tcPr>
            <w:tcW w:type="dxa" w:w="1584"/>
            <w:vAlign w:val="top"/>
          </w:tcPr>
          <w:p>
            <w:pPr>
              <w:spacing w:after="0"/>
            </w:pPr>
            <w:r/>
            <w:r>
              <w:rPr>
                <w:rFonts w:ascii="Aptos" w:hAnsi="Aptos"/>
                <w:sz w:val="15"/>
              </w:rPr>
              <w:t>INVESTOR</w:t>
            </w:r>
          </w:p>
        </w:tc>
        <w:tc>
          <w:tcPr>
            <w:tcW w:type="dxa" w:w="4320"/>
            <w:vAlign w:val="top"/>
          </w:tcPr>
          <w:p>
            <w:pPr>
              <w:spacing w:after="0"/>
            </w:pPr>
            <w:r/>
            <w:r>
              <w:rPr>
                <w:rFonts w:ascii="Aptos" w:hAnsi="Aptos"/>
                <w:sz w:val="15"/>
              </w:rPr>
              <w:t>Investor updates; any resubmission returns to L1.</w:t>
            </w:r>
          </w:p>
        </w:tc>
      </w:tr>
      <w:tr>
        <w:tc>
          <w:tcPr>
            <w:tcW w:type="dxa" w:w="2448"/>
            <w:vAlign w:val="top"/>
            <w:shd w:fill="FAFBFB"/>
          </w:tcPr>
          <w:p>
            <w:pPr>
              <w:spacing w:after="0"/>
            </w:pPr>
            <w:r/>
            <w:r>
              <w:rPr>
                <w:rFonts w:ascii="Aptos" w:hAnsi="Aptos"/>
                <w:sz w:val="15"/>
              </w:rPr>
              <w:t>L2 + REJECT</w:t>
            </w:r>
          </w:p>
        </w:tc>
        <w:tc>
          <w:tcPr>
            <w:tcW w:type="dxa" w:w="1584"/>
            <w:vAlign w:val="top"/>
            <w:shd w:fill="FAFBFB"/>
          </w:tcPr>
          <w:p>
            <w:pPr>
              <w:spacing w:after="0"/>
            </w:pPr>
            <w:r/>
            <w:r>
              <w:rPr>
                <w:rFonts w:ascii="Aptos" w:hAnsi="Aptos"/>
                <w:sz w:val="15"/>
              </w:rPr>
              <w:t>REJECTED</w:t>
            </w:r>
          </w:p>
        </w:tc>
        <w:tc>
          <w:tcPr>
            <w:tcW w:type="dxa" w:w="1584"/>
            <w:vAlign w:val="top"/>
            <w:shd w:fill="FAFBFB"/>
          </w:tcPr>
          <w:p>
            <w:pPr>
              <w:spacing w:after="0"/>
            </w:pPr>
            <w:r/>
            <w:r>
              <w:rPr>
                <w:rFonts w:ascii="Aptos" w:hAnsi="Aptos"/>
                <w:sz w:val="15"/>
              </w:rPr>
              <w:t>L2</w:t>
            </w:r>
          </w:p>
        </w:tc>
        <w:tc>
          <w:tcPr>
            <w:tcW w:type="dxa" w:w="4320"/>
            <w:vAlign w:val="top"/>
            <w:shd w:fill="FAFBFB"/>
          </w:tcPr>
          <w:p>
            <w:pPr>
              <w:spacing w:after="0"/>
            </w:pPr>
            <w:r/>
            <w:r>
              <w:rPr>
                <w:rFonts w:ascii="Aptos" w:hAnsi="Aptos"/>
                <w:sz w:val="15"/>
              </w:rPr>
              <w:t>End registration journey; IsActiveRequest = 0.</w:t>
            </w:r>
          </w:p>
        </w:tc>
      </w:tr>
    </w:tbl>
    <w:p>
      <w:pPr>
        <w:pStyle w:val="Heading2"/>
        <w:keepNext/>
      </w:pPr>
      <w:r>
        <w:t>5.3 Investor resubmission rule</w:t>
      </w:r>
    </w:p>
    <w:tbl>
      <w:tblPr>
        <w:tblStyle w:val="TableGrid"/>
        <w:tblW w:type="auto" w:w="0"/>
        <w:jc w:val="center"/>
        <w:tblLook w:firstColumn="1" w:firstRow="1" w:lastColumn="0" w:lastRow="0" w:noHBand="0" w:noVBand="1" w:val="04A0"/>
      </w:tblPr>
      <w:tblGrid>
        <w:gridCol w:w="10656"/>
      </w:tblGrid>
      <w:tr>
        <w:tc>
          <w:tcPr>
            <w:tcW w:type="dxa" w:w="10656"/>
            <w:shd w:fill="E8F4EA"/>
          </w:tcPr>
          <w:p>
            <w:pPr>
              <w:spacing w:after="0"/>
            </w:pPr>
            <w:r/>
            <w:r>
              <w:rPr>
                <w:b/>
                <w:color w:val="17324D"/>
                <w:sz w:val="19"/>
              </w:rPr>
              <w:t xml:space="preserve">Business rule. </w:t>
            </w:r>
            <w:r>
              <w:rPr>
                <w:sz w:val="18"/>
              </w:rPr>
              <w:t>Regardless of whether More Information was requested by L1 or L2, a successful investor resubmission returns the application to L1. This is a business clarification and should not be presented as a PRD quote.</w:t>
            </w:r>
          </w:p>
        </w:tc>
      </w:tr>
    </w:tbl>
    <w:p>
      <w:pPr>
        <w:pStyle w:val="Heading2"/>
        <w:keepNext/>
      </w:pPr>
      <w:r>
        <w:t>5.4 G03 / B04 - Download Pre-Approval Letter</w:t>
      </w:r>
    </w:p>
    <w:tbl>
      <w:tblPr>
        <w:tblStyle w:val="TableGrid"/>
        <w:tblW w:type="auto" w:w="0"/>
        <w:tblLook w:firstColumn="1" w:firstRow="1" w:lastColumn="0" w:lastRow="0" w:noHBand="0" w:noVBand="1" w:val="04A0"/>
      </w:tblPr>
      <w:tblGrid>
        <w:gridCol w:w="10656"/>
      </w:tblGrid>
      <w:tr>
        <w:tc>
          <w:tcPr>
            <w:tcW w:type="dxa" w:w="10656"/>
            <w:shd w:fill="F7F9FA"/>
          </w:tcPr>
          <w:p>
            <w:pPr>
              <w:spacing w:after="0"/>
            </w:pPr>
            <w:r/>
            <w:r>
              <w:rPr>
                <w:rFonts w:ascii="Consolas" w:hAnsi="Consolas"/>
                <w:sz w:val="15"/>
              </w:rPr>
              <w:t>GET /api/v1/applications/{applicationId}/pre-approval-letter/download</w:t>
            </w:r>
            <w:r>
              <w:br/>
            </w:r>
            <w:r>
              <w:rPr>
                <w:rFonts w:ascii="Consolas" w:hAnsi="Consolas"/>
                <w:sz w:val="15"/>
              </w:rPr>
            </w:r>
            <w:r>
              <w:br/>
            </w:r>
            <w:r>
              <w:rPr>
                <w:rFonts w:ascii="Consolas" w:hAnsi="Consolas"/>
                <w:sz w:val="15"/>
              </w:rPr>
              <w:t>200 OK</w:t>
            </w:r>
            <w:r>
              <w:br/>
            </w:r>
            <w:r>
              <w:rPr>
                <w:rFonts w:ascii="Consolas" w:hAnsi="Consolas"/>
                <w:sz w:val="15"/>
              </w:rPr>
              <w:t>Content-Type: application/pdf</w:t>
            </w:r>
            <w:r>
              <w:br/>
            </w:r>
            <w:r>
              <w:rPr>
                <w:rFonts w:ascii="Consolas" w:hAnsi="Consolas"/>
                <w:sz w:val="15"/>
              </w:rPr>
              <w:t>Content-Disposition: attachment; filename="AlWateen_PreApproval_&lt;reference&gt;.pdf"</w:t>
            </w:r>
            <w:r>
              <w:br/>
            </w:r>
            <w:r>
              <w:rPr>
                <w:rFonts w:ascii="Consolas" w:hAnsi="Consolas"/>
                <w:sz w:val="15"/>
              </w:rPr>
              <w:t>&lt;body: streamed PDF bytes&gt;</w:t>
            </w:r>
          </w:p>
        </w:tc>
      </w:tr>
    </w:tbl>
    <w:p>
      <w:pPr>
        <w:pStyle w:val="ListBullet"/>
        <w:spacing w:after="40"/>
      </w:pPr>
      <w:r>
        <w:t>Application must be finally approved by L2.</w:t>
      </w:r>
    </w:p>
    <w:p>
      <w:pPr>
        <w:pStyle w:val="ListBullet"/>
        <w:spacing w:after="40"/>
      </w:pPr>
      <w:r>
        <w:t>ServiceOutput PRE_APPROVAL_LETTER must exist and be available for the requested channel.</w:t>
      </w:r>
    </w:p>
    <w:p>
      <w:pPr>
        <w:pStyle w:val="ListBullet"/>
        <w:spacing w:after="40"/>
      </w:pPr>
      <w:r>
        <w:t>Do not accept a storage path from the client. Resolve StorageReference on the server.</w:t>
      </w:r>
    </w:p>
    <w:p>
      <w:pPr>
        <w:pStyle w:val="ListBullet"/>
        <w:spacing w:after="40"/>
      </w:pPr>
      <w:r>
        <w:t>Authorize access to the application/output before streaming.</w:t>
      </w:r>
    </w:p>
    <w:p>
      <w:pPr>
        <w:pStyle w:val="ListBullet"/>
        <w:spacing w:after="40"/>
      </w:pPr>
      <w:r>
        <w:t>Return 404 when the letter does not exist and 409/422 when the application is not in an allowed state.</w:t>
      </w:r>
    </w:p>
    <w:p>
      <w:pPr>
        <w:pStyle w:val="Heading2"/>
        <w:keepNext/>
      </w:pPr>
      <w:r>
        <w:t>5.5 B05 - Upload signed contract</w:t>
      </w:r>
    </w:p>
    <w:tbl>
      <w:tblPr>
        <w:tblStyle w:val="TableGrid"/>
        <w:tblW w:type="auto" w:w="0"/>
        <w:tblLook w:firstColumn="1" w:firstRow="1" w:lastColumn="0" w:lastRow="0" w:noHBand="0" w:noVBand="1" w:val="04A0"/>
      </w:tblPr>
      <w:tblGrid>
        <w:gridCol w:w="10656"/>
      </w:tblGrid>
      <w:tr>
        <w:tc>
          <w:tcPr>
            <w:tcW w:type="dxa" w:w="10656"/>
            <w:shd w:fill="F7F9FA"/>
          </w:tcPr>
          <w:p>
            <w:pPr>
              <w:spacing w:after="0"/>
            </w:pPr>
            <w:r/>
            <w:r>
              <w:rPr>
                <w:rFonts w:ascii="Consolas" w:hAnsi="Consolas"/>
                <w:sz w:val="15"/>
              </w:rPr>
              <w:t>POST /api/v1/backoffice/applications/{applicationId}/contract</w:t>
            </w:r>
            <w:r>
              <w:br/>
            </w:r>
            <w:r>
              <w:rPr>
                <w:rFonts w:ascii="Consolas" w:hAnsi="Consolas"/>
                <w:sz w:val="15"/>
              </w:rPr>
              <w:t>Content-Type: multipart/form-data</w:t>
            </w:r>
            <w:r>
              <w:br/>
            </w:r>
            <w:r>
              <w:rPr>
                <w:rFonts w:ascii="Consolas" w:hAnsi="Consolas"/>
                <w:sz w:val="15"/>
              </w:rPr>
            </w:r>
            <w:r>
              <w:br/>
            </w:r>
            <w:r>
              <w:rPr>
                <w:rFonts w:ascii="Consolas" w:hAnsi="Consolas"/>
                <w:sz w:val="15"/>
              </w:rPr>
              <w:t>contractNumber = "..."</w:t>
            </w:r>
            <w:r>
              <w:br/>
            </w:r>
            <w:r>
              <w:rPr>
                <w:rFonts w:ascii="Consolas" w:hAnsi="Consolas"/>
                <w:sz w:val="15"/>
              </w:rPr>
              <w:t>startDate      = "2026-10-01"</w:t>
            </w:r>
            <w:r>
              <w:br/>
            </w:r>
            <w:r>
              <w:rPr>
                <w:rFonts w:ascii="Consolas" w:hAnsi="Consolas"/>
                <w:sz w:val="15"/>
              </w:rPr>
              <w:t>endDate        = "2029-09-30"</w:t>
            </w:r>
            <w:r>
              <w:br/>
            </w:r>
            <w:r>
              <w:rPr>
                <w:rFonts w:ascii="Consolas" w:hAnsi="Consolas"/>
                <w:sz w:val="15"/>
              </w:rPr>
              <w:t>file           = &lt;signed contract&gt;</w:t>
            </w:r>
          </w:p>
        </w:tc>
      </w:tr>
    </w:tbl>
    <w:p>
      <w:pPr>
        <w:pStyle w:val="ListBullet"/>
        <w:spacing w:after="40"/>
      </w:pPr>
      <w:r>
        <w:t>Purchasing role only; application must already be APPROVED by L2.</w:t>
      </w:r>
    </w:p>
    <w:p>
      <w:pPr>
        <w:pStyle w:val="ListBullet"/>
        <w:spacing w:after="40"/>
      </w:pPr>
      <w:r>
        <w:t>Contract number, start date, end date and signed file are required.</w:t>
      </w:r>
    </w:p>
    <w:p>
      <w:pPr>
        <w:pStyle w:val="ListBullet"/>
        <w:spacing w:after="40"/>
      </w:pPr>
      <w:r>
        <w:t>End date must be on/after start date.</w:t>
      </w:r>
    </w:p>
    <w:p>
      <w:pPr>
        <w:pStyle w:val="ListBullet"/>
        <w:spacing w:after="40"/>
      </w:pPr>
      <w:r>
        <w:t>Validate file size, extension, verified MIME/signature, filename and secure-storage success server-side.</w:t>
      </w:r>
    </w:p>
    <w:p>
      <w:pPr>
        <w:pStyle w:val="ListBullet"/>
        <w:spacing w:after="40"/>
      </w:pPr>
      <w:r>
        <w:t>After database commit, trigger final onboarding notifications. If the notification call fails, preserve the uploaded contract and retry through the integration mechanism rather than asking Purchasing to upload again.</w:t>
      </w:r>
    </w:p>
    <w:p>
      <w:pPr>
        <w:pStyle w:val="Heading1"/>
        <w:keepNext/>
      </w:pPr>
      <w:r>
        <w:t>6. Server-Side Validation</w:t>
      </w:r>
    </w:p>
    <w:tbl>
      <w:tblPr>
        <w:tblStyle w:val="TableGrid"/>
        <w:tblW w:type="auto" w:w="0"/>
        <w:jc w:val="center"/>
        <w:tblLayout w:type="fixed"/>
        <w:tblLook w:firstColumn="1" w:firstRow="1" w:lastColumn="0" w:lastRow="0" w:noHBand="0" w:noVBand="1" w:val="04A0"/>
      </w:tblPr>
      <w:tblGrid>
        <w:gridCol w:w="5328"/>
        <w:gridCol w:w="5328"/>
      </w:tblGrid>
      <w:tr>
        <w:trPr>
          <w:tblHeader w:val="true"/>
        </w:trPr>
        <w:tc>
          <w:tcPr>
            <w:tcW w:type="dxa" w:w="2232"/>
            <w:shd w:fill="0E6874"/>
            <w:vAlign w:val="center"/>
          </w:tcPr>
          <w:p>
            <w:pPr>
              <w:spacing w:after="0"/>
            </w:pPr>
            <w:r/>
            <w:r>
              <w:rPr>
                <w:b/>
                <w:color w:val="FFFFFF"/>
                <w:sz w:val="16"/>
              </w:rPr>
              <w:t>Area</w:t>
            </w:r>
          </w:p>
        </w:tc>
        <w:tc>
          <w:tcPr>
            <w:tcW w:type="dxa" w:w="7704"/>
            <w:shd w:fill="0E6874"/>
            <w:vAlign w:val="center"/>
          </w:tcPr>
          <w:p>
            <w:pPr>
              <w:spacing w:after="0"/>
            </w:pPr>
            <w:r/>
            <w:r>
              <w:rPr>
                <w:b/>
                <w:color w:val="FFFFFF"/>
                <w:sz w:val="16"/>
              </w:rPr>
              <w:t>Server rule</w:t>
            </w:r>
          </w:p>
        </w:tc>
      </w:tr>
      <w:tr>
        <w:tc>
          <w:tcPr>
            <w:tcW w:type="dxa" w:w="2232"/>
            <w:vAlign w:val="top"/>
          </w:tcPr>
          <w:p>
            <w:pPr>
              <w:spacing w:after="0"/>
            </w:pPr>
            <w:r/>
            <w:r>
              <w:rPr>
                <w:rFonts w:ascii="Aptos" w:hAnsi="Aptos"/>
                <w:sz w:val="16"/>
              </w:rPr>
              <w:t>Application/form fields</w:t>
            </w:r>
          </w:p>
        </w:tc>
        <w:tc>
          <w:tcPr>
            <w:tcW w:type="dxa" w:w="7704"/>
            <w:vAlign w:val="top"/>
          </w:tcPr>
          <w:p>
            <w:pPr>
              <w:spacing w:after="0"/>
            </w:pPr>
            <w:r/>
            <w:r>
              <w:rPr>
                <w:rFonts w:ascii="Aptos" w:hAnsi="Aptos"/>
                <w:sz w:val="16"/>
              </w:rPr>
              <w:t>Required fields; max lengths; integer beds; facility type enum; specialty existence/active state; do not accept client override of trusted DUL/applicant fields.</w:t>
            </w:r>
          </w:p>
        </w:tc>
      </w:tr>
      <w:tr>
        <w:tc>
          <w:tcPr>
            <w:tcW w:type="dxa" w:w="2232"/>
            <w:vAlign w:val="top"/>
            <w:shd w:fill="FAFBFB"/>
          </w:tcPr>
          <w:p>
            <w:pPr>
              <w:spacing w:after="0"/>
            </w:pPr>
            <w:r/>
            <w:r>
              <w:rPr>
                <w:rFonts w:ascii="Aptos" w:hAnsi="Aptos"/>
                <w:sz w:val="16"/>
              </w:rPr>
              <w:t>Documents</w:t>
            </w:r>
          </w:p>
        </w:tc>
        <w:tc>
          <w:tcPr>
            <w:tcW w:type="dxa" w:w="7704"/>
            <w:vAlign w:val="top"/>
            <w:shd w:fill="FAFBFB"/>
          </w:tcPr>
          <w:p>
            <w:pPr>
              <w:spacing w:after="0"/>
            </w:pPr>
            <w:r/>
            <w:r>
              <w:rPr>
                <w:rFonts w:ascii="Aptos" w:hAnsi="Aptos"/>
                <w:sz w:val="16"/>
              </w:rPr>
              <w:t>Both required on submit/resubmit where applicable; size/type/signature/scanning/storage policy enforced server-side.</w:t>
            </w:r>
          </w:p>
        </w:tc>
      </w:tr>
      <w:tr>
        <w:tc>
          <w:tcPr>
            <w:tcW w:type="dxa" w:w="2232"/>
            <w:vAlign w:val="top"/>
          </w:tcPr>
          <w:p>
            <w:pPr>
              <w:spacing w:after="0"/>
            </w:pPr>
            <w:r/>
            <w:r>
              <w:rPr>
                <w:rFonts w:ascii="Aptos" w:hAnsi="Aptos"/>
                <w:sz w:val="16"/>
              </w:rPr>
              <w:t>Workflow</w:t>
            </w:r>
          </w:p>
        </w:tc>
        <w:tc>
          <w:tcPr>
            <w:tcW w:type="dxa" w:w="7704"/>
            <w:vAlign w:val="top"/>
          </w:tcPr>
          <w:p>
            <w:pPr>
              <w:spacing w:after="0"/>
            </w:pPr>
            <w:r/>
            <w:r>
              <w:rPr>
                <w:rFonts w:ascii="Aptos" w:hAnsi="Aptos"/>
                <w:sz w:val="16"/>
              </w:rPr>
              <w:t>Validate current status/stage and caller role for every decision. Client button visibility is not authorization.</w:t>
            </w:r>
          </w:p>
        </w:tc>
      </w:tr>
      <w:tr>
        <w:tc>
          <w:tcPr>
            <w:tcW w:type="dxa" w:w="2232"/>
            <w:vAlign w:val="top"/>
            <w:shd w:fill="FAFBFB"/>
          </w:tcPr>
          <w:p>
            <w:pPr>
              <w:spacing w:after="0"/>
            </w:pPr>
            <w:r/>
            <w:r>
              <w:rPr>
                <w:rFonts w:ascii="Aptos" w:hAnsi="Aptos"/>
                <w:sz w:val="16"/>
              </w:rPr>
              <w:t>Concurrency</w:t>
            </w:r>
          </w:p>
        </w:tc>
        <w:tc>
          <w:tcPr>
            <w:tcW w:type="dxa" w:w="7704"/>
            <w:vAlign w:val="top"/>
            <w:shd w:fill="FAFBFB"/>
          </w:tcPr>
          <w:p>
            <w:pPr>
              <w:spacing w:after="0"/>
            </w:pPr>
            <w:r/>
            <w:r>
              <w:rPr>
                <w:rFonts w:ascii="Aptos" w:hAnsi="Aptos"/>
                <w:sz w:val="16"/>
              </w:rPr>
              <w:t>Require If-Match / rowversion for decisions and other mutable Back Office commands. Return 409 if stale.</w:t>
            </w:r>
          </w:p>
        </w:tc>
      </w:tr>
      <w:tr>
        <w:tc>
          <w:tcPr>
            <w:tcW w:type="dxa" w:w="2232"/>
            <w:vAlign w:val="top"/>
          </w:tcPr>
          <w:p>
            <w:pPr>
              <w:spacing w:after="0"/>
            </w:pPr>
            <w:r/>
            <w:r>
              <w:rPr>
                <w:rFonts w:ascii="Aptos" w:hAnsi="Aptos"/>
                <w:sz w:val="16"/>
              </w:rPr>
              <w:t>Resubmission</w:t>
            </w:r>
          </w:p>
        </w:tc>
        <w:tc>
          <w:tcPr>
            <w:tcW w:type="dxa" w:w="7704"/>
            <w:vAlign w:val="top"/>
          </w:tcPr>
          <w:p>
            <w:pPr>
              <w:spacing w:after="0"/>
            </w:pPr>
            <w:r/>
            <w:r>
              <w:rPr>
                <w:rFonts w:ascii="Aptos" w:hAnsi="Aptos"/>
                <w:sz w:val="16"/>
              </w:rPr>
              <w:t>Only accepted when current status is MORE_INFO; destination is always L1.</w:t>
            </w:r>
          </w:p>
        </w:tc>
      </w:tr>
      <w:tr>
        <w:tc>
          <w:tcPr>
            <w:tcW w:type="dxa" w:w="2232"/>
            <w:vAlign w:val="top"/>
            <w:shd w:fill="FAFBFB"/>
          </w:tcPr>
          <w:p>
            <w:pPr>
              <w:spacing w:after="0"/>
            </w:pPr>
            <w:r/>
            <w:r>
              <w:rPr>
                <w:rFonts w:ascii="Aptos" w:hAnsi="Aptos"/>
                <w:sz w:val="16"/>
              </w:rPr>
              <w:t>L2 approval</w:t>
            </w:r>
          </w:p>
        </w:tc>
        <w:tc>
          <w:tcPr>
            <w:tcW w:type="dxa" w:w="7704"/>
            <w:vAlign w:val="top"/>
            <w:shd w:fill="FAFBFB"/>
          </w:tcPr>
          <w:p>
            <w:pPr>
              <w:spacing w:after="0"/>
            </w:pPr>
            <w:r/>
            <w:r>
              <w:rPr>
                <w:rFonts w:ascii="Aptos" w:hAnsi="Aptos"/>
                <w:sz w:val="16"/>
              </w:rPr>
              <w:t>Only valid after L1 approval/current stage L2. Generates/queues the Pre-Approval Letter.</w:t>
            </w:r>
          </w:p>
        </w:tc>
      </w:tr>
      <w:tr>
        <w:tc>
          <w:tcPr>
            <w:tcW w:type="dxa" w:w="2232"/>
            <w:vAlign w:val="top"/>
          </w:tcPr>
          <w:p>
            <w:pPr>
              <w:spacing w:after="0"/>
            </w:pPr>
            <w:r/>
            <w:r>
              <w:rPr>
                <w:rFonts w:ascii="Aptos" w:hAnsi="Aptos"/>
                <w:sz w:val="16"/>
              </w:rPr>
              <w:t>Contract</w:t>
            </w:r>
          </w:p>
        </w:tc>
        <w:tc>
          <w:tcPr>
            <w:tcW w:type="dxa" w:w="7704"/>
            <w:vAlign w:val="top"/>
          </w:tcPr>
          <w:p>
            <w:pPr>
              <w:spacing w:after="0"/>
            </w:pPr>
            <w:r/>
            <w:r>
              <w:rPr>
                <w:rFonts w:ascii="Aptos" w:hAnsi="Aptos"/>
                <w:sz w:val="16"/>
              </w:rPr>
              <w:t>Purchasing only after APPROVED; one current contract in scope; date/file validations.</w:t>
            </w:r>
          </w:p>
        </w:tc>
      </w:tr>
      <w:tr>
        <w:tc>
          <w:tcPr>
            <w:tcW w:type="dxa" w:w="2232"/>
            <w:vAlign w:val="top"/>
            <w:shd w:fill="FAFBFB"/>
          </w:tcPr>
          <w:p>
            <w:pPr>
              <w:spacing w:after="0"/>
            </w:pPr>
            <w:r/>
            <w:r>
              <w:rPr>
                <w:rFonts w:ascii="Aptos" w:hAnsi="Aptos"/>
                <w:sz w:val="16"/>
              </w:rPr>
              <w:t>Mass assignment</w:t>
            </w:r>
          </w:p>
        </w:tc>
        <w:tc>
          <w:tcPr>
            <w:tcW w:type="dxa" w:w="7704"/>
            <w:vAlign w:val="top"/>
            <w:shd w:fill="FAFBFB"/>
          </w:tcPr>
          <w:p>
            <w:pPr>
              <w:spacing w:after="0"/>
            </w:pPr>
            <w:r/>
            <w:r>
              <w:rPr>
                <w:rFonts w:ascii="Aptos" w:hAnsi="Aptos"/>
                <w:sz w:val="16"/>
              </w:rPr>
              <w:t>Use dedicated DTOs; never bind EF entities directly from JSON.</w:t>
            </w:r>
          </w:p>
        </w:tc>
      </w:tr>
      <w:tr>
        <w:tc>
          <w:tcPr>
            <w:tcW w:type="dxa" w:w="2232"/>
            <w:vAlign w:val="top"/>
          </w:tcPr>
          <w:p>
            <w:pPr>
              <w:spacing w:after="0"/>
            </w:pPr>
            <w:r/>
            <w:r>
              <w:rPr>
                <w:rFonts w:ascii="Aptos" w:hAnsi="Aptos"/>
                <w:sz w:val="16"/>
              </w:rPr>
              <w:t>Errors</w:t>
            </w:r>
          </w:p>
        </w:tc>
        <w:tc>
          <w:tcPr>
            <w:tcW w:type="dxa" w:w="7704"/>
            <w:vAlign w:val="top"/>
          </w:tcPr>
          <w:p>
            <w:pPr>
              <w:spacing w:after="0"/>
            </w:pPr>
            <w:r/>
            <w:r>
              <w:rPr>
                <w:rFonts w:ascii="Aptos" w:hAnsi="Aptos"/>
                <w:sz w:val="16"/>
              </w:rPr>
              <w:t>RFC 7807 Problem Details; safe correlationId; never expose stack traces, secrets, tokens or storage paths.</w:t>
            </w:r>
          </w:p>
        </w:tc>
      </w:tr>
    </w:tbl>
    <w:p>
      <w:pPr>
        <w:pStyle w:val="Heading1"/>
        <w:keepNext/>
      </w:pPr>
      <w:r>
        <w:t>7. Client Validation vs Server Validation</w:t>
      </w:r>
    </w:p>
    <w:tbl>
      <w:tblPr>
        <w:tblStyle w:val="TableGrid"/>
        <w:tblW w:type="auto" w:w="0"/>
        <w:jc w:val="center"/>
        <w:tblLayout w:type="fixed"/>
        <w:tblLook w:firstColumn="1" w:firstRow="1" w:lastColumn="0" w:lastRow="0" w:noHBand="0" w:noVBand="1" w:val="04A0"/>
      </w:tblPr>
      <w:tblGrid>
        <w:gridCol w:w="3552"/>
        <w:gridCol w:w="3552"/>
        <w:gridCol w:w="3552"/>
      </w:tblGrid>
      <w:tr>
        <w:trPr>
          <w:tblHeader w:val="true"/>
        </w:trPr>
        <w:tc>
          <w:tcPr>
            <w:tcW w:type="dxa" w:w="3024"/>
            <w:shd w:fill="0E6874"/>
            <w:vAlign w:val="center"/>
          </w:tcPr>
          <w:p>
            <w:pPr>
              <w:spacing w:after="0"/>
            </w:pPr>
            <w:r/>
            <w:r>
              <w:rPr>
                <w:b/>
                <w:color w:val="FFFFFF"/>
                <w:sz w:val="16"/>
              </w:rPr>
              <w:t>Validation</w:t>
            </w:r>
          </w:p>
        </w:tc>
        <w:tc>
          <w:tcPr>
            <w:tcW w:type="dxa" w:w="3240"/>
            <w:shd w:fill="0E6874"/>
            <w:vAlign w:val="center"/>
          </w:tcPr>
          <w:p>
            <w:pPr>
              <w:spacing w:after="0"/>
            </w:pPr>
            <w:r/>
            <w:r>
              <w:rPr>
                <w:b/>
                <w:color w:val="FFFFFF"/>
                <w:sz w:val="16"/>
              </w:rPr>
              <w:t>Client</w:t>
            </w:r>
          </w:p>
        </w:tc>
        <w:tc>
          <w:tcPr>
            <w:tcW w:type="dxa" w:w="3672"/>
            <w:shd w:fill="0E6874"/>
            <w:vAlign w:val="center"/>
          </w:tcPr>
          <w:p>
            <w:pPr>
              <w:spacing w:after="0"/>
            </w:pPr>
            <w:r/>
            <w:r>
              <w:rPr>
                <w:b/>
                <w:color w:val="FFFFFF"/>
                <w:sz w:val="16"/>
              </w:rPr>
              <w:t>Server</w:t>
            </w:r>
          </w:p>
        </w:tc>
      </w:tr>
      <w:tr>
        <w:tc>
          <w:tcPr>
            <w:tcW w:type="dxa" w:w="3024"/>
            <w:vAlign w:val="top"/>
          </w:tcPr>
          <w:p>
            <w:pPr>
              <w:spacing w:after="0"/>
            </w:pPr>
            <w:r/>
            <w:r>
              <w:rPr>
                <w:rFonts w:ascii="Aptos" w:hAnsi="Aptos"/>
                <w:sz w:val="16"/>
              </w:rPr>
              <w:t>Required / lengths / number format</w:t>
            </w:r>
          </w:p>
        </w:tc>
        <w:tc>
          <w:tcPr>
            <w:tcW w:type="dxa" w:w="3240"/>
            <w:vAlign w:val="top"/>
          </w:tcPr>
          <w:p>
            <w:pPr>
              <w:spacing w:after="0"/>
            </w:pPr>
            <w:r/>
            <w:r>
              <w:rPr>
                <w:rFonts w:ascii="Aptos" w:hAnsi="Aptos"/>
                <w:sz w:val="16"/>
              </w:rPr>
              <w:t>Yes, immediate UX feedback</w:t>
            </w:r>
          </w:p>
        </w:tc>
        <w:tc>
          <w:tcPr>
            <w:tcW w:type="dxa" w:w="3672"/>
            <w:vAlign w:val="top"/>
          </w:tcPr>
          <w:p>
            <w:pPr>
              <w:spacing w:after="0"/>
            </w:pPr>
            <w:r/>
            <w:r>
              <w:rPr>
                <w:rFonts w:ascii="Aptos" w:hAnsi="Aptos"/>
                <w:sz w:val="16"/>
              </w:rPr>
              <w:t>Yes, authoritative</w:t>
            </w:r>
          </w:p>
        </w:tc>
      </w:tr>
      <w:tr>
        <w:tc>
          <w:tcPr>
            <w:tcW w:type="dxa" w:w="3024"/>
            <w:vAlign w:val="top"/>
            <w:shd w:fill="FAFBFB"/>
          </w:tcPr>
          <w:p>
            <w:pPr>
              <w:spacing w:after="0"/>
            </w:pPr>
            <w:r/>
            <w:r>
              <w:rPr>
                <w:rFonts w:ascii="Aptos" w:hAnsi="Aptos"/>
                <w:sz w:val="16"/>
              </w:rPr>
              <w:t>Allowed Facility Type / specialties</w:t>
            </w:r>
          </w:p>
        </w:tc>
        <w:tc>
          <w:tcPr>
            <w:tcW w:type="dxa" w:w="3240"/>
            <w:vAlign w:val="top"/>
            <w:shd w:fill="FAFBFB"/>
          </w:tcPr>
          <w:p>
            <w:pPr>
              <w:spacing w:after="0"/>
            </w:pPr>
            <w:r/>
            <w:r>
              <w:rPr>
                <w:rFonts w:ascii="Aptos" w:hAnsi="Aptos"/>
                <w:sz w:val="16"/>
              </w:rPr>
              <w:t>Yes, fixed UI choices</w:t>
            </w:r>
          </w:p>
        </w:tc>
        <w:tc>
          <w:tcPr>
            <w:tcW w:type="dxa" w:w="3672"/>
            <w:vAlign w:val="top"/>
            <w:shd w:fill="FAFBFB"/>
          </w:tcPr>
          <w:p>
            <w:pPr>
              <w:spacing w:after="0"/>
            </w:pPr>
            <w:r/>
            <w:r>
              <w:rPr>
                <w:rFonts w:ascii="Aptos" w:hAnsi="Aptos"/>
                <w:sz w:val="16"/>
              </w:rPr>
              <w:t>Yes, verify codes/values</w:t>
            </w:r>
          </w:p>
        </w:tc>
      </w:tr>
      <w:tr>
        <w:tc>
          <w:tcPr>
            <w:tcW w:type="dxa" w:w="3024"/>
            <w:vAlign w:val="top"/>
          </w:tcPr>
          <w:p>
            <w:pPr>
              <w:spacing w:after="0"/>
            </w:pPr>
            <w:r/>
            <w:r>
              <w:rPr>
                <w:rFonts w:ascii="Aptos" w:hAnsi="Aptos"/>
                <w:sz w:val="16"/>
              </w:rPr>
              <w:t>File type/size</w:t>
            </w:r>
          </w:p>
        </w:tc>
        <w:tc>
          <w:tcPr>
            <w:tcW w:type="dxa" w:w="3240"/>
            <w:vAlign w:val="top"/>
          </w:tcPr>
          <w:p>
            <w:pPr>
              <w:spacing w:after="0"/>
            </w:pPr>
            <w:r/>
            <w:r>
              <w:rPr>
                <w:rFonts w:ascii="Aptos" w:hAnsi="Aptos"/>
                <w:sz w:val="16"/>
              </w:rPr>
              <w:t>Early browser feedback</w:t>
            </w:r>
          </w:p>
        </w:tc>
        <w:tc>
          <w:tcPr>
            <w:tcW w:type="dxa" w:w="3672"/>
            <w:vAlign w:val="top"/>
          </w:tcPr>
          <w:p>
            <w:pPr>
              <w:spacing w:after="0"/>
            </w:pPr>
            <w:r/>
            <w:r>
              <w:rPr>
                <w:rFonts w:ascii="Aptos" w:hAnsi="Aptos"/>
                <w:sz w:val="16"/>
              </w:rPr>
              <w:t>Yes, verify real content + storage</w:t>
            </w:r>
          </w:p>
        </w:tc>
      </w:tr>
      <w:tr>
        <w:tc>
          <w:tcPr>
            <w:tcW w:type="dxa" w:w="3024"/>
            <w:vAlign w:val="top"/>
            <w:shd w:fill="FAFBFB"/>
          </w:tcPr>
          <w:p>
            <w:pPr>
              <w:spacing w:after="0"/>
            </w:pPr>
            <w:r/>
            <w:r>
              <w:rPr>
                <w:rFonts w:ascii="Aptos" w:hAnsi="Aptos"/>
                <w:sz w:val="16"/>
              </w:rPr>
              <w:t>Read-only IID/DUL fields</w:t>
            </w:r>
          </w:p>
        </w:tc>
        <w:tc>
          <w:tcPr>
            <w:tcW w:type="dxa" w:w="3240"/>
            <w:vAlign w:val="top"/>
            <w:shd w:fill="FAFBFB"/>
          </w:tcPr>
          <w:p>
            <w:pPr>
              <w:spacing w:after="0"/>
            </w:pPr>
            <w:r/>
            <w:r>
              <w:rPr>
                <w:rFonts w:ascii="Aptos" w:hAnsi="Aptos"/>
                <w:sz w:val="16"/>
              </w:rPr>
              <w:t>Disabled/read-only</w:t>
            </w:r>
          </w:p>
        </w:tc>
        <w:tc>
          <w:tcPr>
            <w:tcW w:type="dxa" w:w="3672"/>
            <w:vAlign w:val="top"/>
            <w:shd w:fill="FAFBFB"/>
          </w:tcPr>
          <w:p>
            <w:pPr>
              <w:spacing w:after="0"/>
            </w:pPr>
            <w:r/>
            <w:r>
              <w:rPr>
                <w:rFonts w:ascii="Aptos" w:hAnsi="Aptos"/>
                <w:sz w:val="16"/>
              </w:rPr>
              <w:t>Ignore/reject client overrides</w:t>
            </w:r>
          </w:p>
        </w:tc>
      </w:tr>
      <w:tr>
        <w:tc>
          <w:tcPr>
            <w:tcW w:type="dxa" w:w="3024"/>
            <w:vAlign w:val="top"/>
          </w:tcPr>
          <w:p>
            <w:pPr>
              <w:spacing w:after="0"/>
            </w:pPr>
            <w:r/>
            <w:r>
              <w:rPr>
                <w:rFonts w:ascii="Aptos" w:hAnsi="Aptos"/>
                <w:sz w:val="16"/>
              </w:rPr>
              <w:t>Current stage / role permissions</w:t>
            </w:r>
          </w:p>
        </w:tc>
        <w:tc>
          <w:tcPr>
            <w:tcW w:type="dxa" w:w="3240"/>
            <w:vAlign w:val="top"/>
          </w:tcPr>
          <w:p>
            <w:pPr>
              <w:spacing w:after="0"/>
            </w:pPr>
            <w:r/>
            <w:r>
              <w:rPr>
                <w:rFonts w:ascii="Aptos" w:hAnsi="Aptos"/>
                <w:sz w:val="16"/>
              </w:rPr>
              <w:t>Hide/disable inappropriate actions</w:t>
            </w:r>
          </w:p>
        </w:tc>
        <w:tc>
          <w:tcPr>
            <w:tcW w:type="dxa" w:w="3672"/>
            <w:vAlign w:val="top"/>
          </w:tcPr>
          <w:p>
            <w:pPr>
              <w:spacing w:after="0"/>
            </w:pPr>
            <w:r/>
            <w:r>
              <w:rPr>
                <w:rFonts w:ascii="Aptos" w:hAnsi="Aptos"/>
                <w:sz w:val="16"/>
              </w:rPr>
              <w:t>Always enforce</w:t>
            </w:r>
          </w:p>
        </w:tc>
      </w:tr>
      <w:tr>
        <w:tc>
          <w:tcPr>
            <w:tcW w:type="dxa" w:w="3024"/>
            <w:vAlign w:val="top"/>
            <w:shd w:fill="FAFBFB"/>
          </w:tcPr>
          <w:p>
            <w:pPr>
              <w:spacing w:after="0"/>
            </w:pPr>
            <w:r/>
            <w:r>
              <w:rPr>
                <w:rFonts w:ascii="Aptos" w:hAnsi="Aptos"/>
                <w:sz w:val="16"/>
              </w:rPr>
              <w:t>Concurrency</w:t>
            </w:r>
          </w:p>
        </w:tc>
        <w:tc>
          <w:tcPr>
            <w:tcW w:type="dxa" w:w="3240"/>
            <w:vAlign w:val="top"/>
            <w:shd w:fill="FAFBFB"/>
          </w:tcPr>
          <w:p>
            <w:pPr>
              <w:spacing w:after="0"/>
            </w:pPr>
            <w:r/>
            <w:r>
              <w:rPr>
                <w:rFonts w:ascii="Aptos" w:hAnsi="Aptos"/>
                <w:sz w:val="16"/>
              </w:rPr>
              <w:t>Send ETag/rowversion</w:t>
            </w:r>
          </w:p>
        </w:tc>
        <w:tc>
          <w:tcPr>
            <w:tcW w:type="dxa" w:w="3672"/>
            <w:vAlign w:val="top"/>
            <w:shd w:fill="FAFBFB"/>
          </w:tcPr>
          <w:p>
            <w:pPr>
              <w:spacing w:after="0"/>
            </w:pPr>
            <w:r/>
            <w:r>
              <w:rPr>
                <w:rFonts w:ascii="Aptos" w:hAnsi="Aptos"/>
                <w:sz w:val="16"/>
              </w:rPr>
              <w:t>Detect stale write and return 409</w:t>
            </w:r>
          </w:p>
        </w:tc>
      </w:tr>
      <w:tr>
        <w:tc>
          <w:tcPr>
            <w:tcW w:type="dxa" w:w="3024"/>
            <w:vAlign w:val="top"/>
          </w:tcPr>
          <w:p>
            <w:pPr>
              <w:spacing w:after="0"/>
            </w:pPr>
            <w:r/>
            <w:r>
              <w:rPr>
                <w:rFonts w:ascii="Aptos" w:hAnsi="Aptos"/>
                <w:sz w:val="16"/>
              </w:rPr>
              <w:t>SQL injection / mass assignment</w:t>
            </w:r>
          </w:p>
        </w:tc>
        <w:tc>
          <w:tcPr>
            <w:tcW w:type="dxa" w:w="3240"/>
            <w:vAlign w:val="top"/>
          </w:tcPr>
          <w:p>
            <w:pPr>
              <w:spacing w:after="0"/>
            </w:pPr>
            <w:r/>
            <w:r>
              <w:rPr>
                <w:rFonts w:ascii="Aptos" w:hAnsi="Aptos"/>
                <w:sz w:val="16"/>
              </w:rPr>
              <w:t>N/A</w:t>
            </w:r>
          </w:p>
        </w:tc>
        <w:tc>
          <w:tcPr>
            <w:tcW w:type="dxa" w:w="3672"/>
            <w:vAlign w:val="top"/>
          </w:tcPr>
          <w:p>
            <w:pPr>
              <w:spacing w:after="0"/>
            </w:pPr>
            <w:r/>
            <w:r>
              <w:rPr>
                <w:rFonts w:ascii="Aptos" w:hAnsi="Aptos"/>
                <w:sz w:val="16"/>
              </w:rPr>
              <w:t>Parameterized access + DTO allow-list</w:t>
            </w:r>
          </w:p>
        </w:tc>
      </w:tr>
    </w:tbl>
    <w:p>
      <w:pPr>
        <w:pStyle w:val="Heading1"/>
        <w:keepNext/>
      </w:pPr>
      <w:r>
        <w:t>8. Performance and Security Defaults</w:t>
      </w:r>
    </w:p>
    <w:p>
      <w:pPr>
        <w:pStyle w:val="ListBullet"/>
        <w:spacing w:after="40"/>
      </w:pPr>
      <w:r>
        <w:t>EF Core async calls and cancellation tokens for request operations.</w:t>
      </w:r>
    </w:p>
    <w:p>
      <w:pPr>
        <w:pStyle w:val="ListBullet"/>
        <w:spacing w:after="40"/>
      </w:pPr>
      <w:r>
        <w:t>AsNoTracking() + projections for queue/detail reads; do not load document bytes or large history collections on queue calls.</w:t>
      </w:r>
    </w:p>
    <w:p>
      <w:pPr>
        <w:pStyle w:val="ListBullet"/>
        <w:spacing w:after="40"/>
      </w:pPr>
      <w:r>
        <w:t>Default page size 25; maximum 100. Sort/filter values are server allow-listed.</w:t>
      </w:r>
    </w:p>
    <w:p>
      <w:pPr>
        <w:pStyle w:val="ListBullet"/>
        <w:spacing w:after="40"/>
      </w:pPr>
      <w:r>
        <w:t>Use one transaction per state-changing command. Do not keep a database transaction open while making external network calls.</w:t>
      </w:r>
    </w:p>
    <w:p>
      <w:pPr>
        <w:pStyle w:val="ListBullet"/>
        <w:spacing w:after="40"/>
      </w:pPr>
      <w:r>
        <w:t>Use secure document storage abstraction and stream downloads; do not put signed URLs/storage paths in logs.</w:t>
      </w:r>
    </w:p>
    <w:p>
      <w:pPr>
        <w:pStyle w:val="ListBullet"/>
        <w:spacing w:after="40"/>
      </w:pPr>
      <w:r>
        <w:t>Use structured logging with correlation IDs. OutSystems monitoring remains available in Service Center; .NET monitoring follows the application platform standards.</w:t>
      </w:r>
    </w:p>
    <w:p>
      <w:pPr>
        <w:pStyle w:val="ListBullet"/>
        <w:spacing w:after="40"/>
      </w:pPr>
      <w:r>
        <w:t>Authentication/authorization model and claims must be confirmed before production; roles are enforced server-side once available.</w:t>
      </w:r>
    </w:p>
    <w:p>
      <w:pPr>
        <w:pStyle w:val="Heading1"/>
        <w:keepNext/>
      </w:pPr>
      <w:r>
        <w:t>9. TBC Before Production</w:t>
      </w:r>
    </w:p>
    <w:p>
      <w:pPr>
        <w:pStyle w:val="ListBullet"/>
        <w:spacing w:after="40"/>
      </w:pPr>
      <w:r>
        <w:t>Official Services 360 submission/resubmission callback contract and authentication.</w:t>
      </w:r>
    </w:p>
    <w:p>
      <w:pPr>
        <w:pStyle w:val="ListBullet"/>
        <w:spacing w:after="40"/>
      </w:pPr>
      <w:r>
        <w:t>Official decision/lifecycle status synchronization contract.</w:t>
      </w:r>
    </w:p>
    <w:p>
      <w:pPr>
        <w:pStyle w:val="ListBullet"/>
        <w:spacing w:after="40"/>
      </w:pPr>
      <w:r>
        <w:t>Official Pre-Approval Letter output/document hand-off to IID.</w:t>
      </w:r>
    </w:p>
    <w:p>
      <w:pPr>
        <w:pStyle w:val="ListBullet"/>
        <w:spacing w:after="40"/>
      </w:pPr>
      <w:r>
        <w:t>EntityAPIKey issuance/use, exact ServiceId/ServiceLifeCycle values and environment URLs.</w:t>
      </w:r>
    </w:p>
    <w:p>
      <w:pPr>
        <w:pStyle w:val="ListBullet"/>
        <w:spacing w:after="40"/>
      </w:pPr>
      <w:r>
        <w:t>Back Office SSO/claims and exact permissions for Admin and Investor Facility Admin.</w:t>
      </w:r>
    </w:p>
    <w:p>
      <w:pPr>
        <w:pStyle w:val="ListBullet"/>
        <w:spacing w:after="40"/>
      </w:pPr>
      <w:r>
        <w:t>Authoritative Medical Specialties source and file upload/scanning limits.</w:t>
      </w:r>
    </w:p>
    <w:p>
      <w:pPr>
        <w:pStyle w:val="ListBullet"/>
        <w:spacing w:after="40"/>
      </w:pPr>
      <w:r>
        <w:t>Final onboarding notification recipients/channel/endpoint and retry ownership.</w:t>
      </w:r>
    </w:p>
    <w:sectPr>
      <w:footerReference w:type="default" r:id="rId9"/>
      <w:pgSz w:w="12240" w:h="15840"/>
      <w:pgMar w:top="749" w:right="792" w:bottom="749"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9757D"/>
        <w:sz w:val="16"/>
      </w:rPr>
      <w:t xml:space="preserve">AL WATEEN | v4.0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68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E687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D6B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D6B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 Wateen .NET API Specification v4.0</dc:title>
  <dc:subject/>
  <dc:creator/>
  <cp:keywords/>
  <dc:description/>
  <cp:lastModifiedBy/>
  <cp:revision>1</cp:revision>
  <dcterms:created xsi:type="dcterms:W3CDTF">2013-12-23T23:15:00Z</dcterms:created>
  <dcterms:modified xsi:type="dcterms:W3CDTF">2013-12-23T23:15:00Z</dcterms:modified>
  <cp:category/>
</cp:coreProperties>
</file>