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/>
          <w:color w:val="17324D"/>
          <w:sz w:val="50"/>
        </w:rPr>
        <w:t>AL WATEEN - UI / UX Screens</w:t>
      </w:r>
    </w:p>
    <w:p>
      <w:pPr>
        <w:jc w:val="center"/>
      </w:pPr>
      <w:r>
        <w:rPr>
          <w:rFonts w:ascii="Aptos" w:hAnsi="Aptos"/>
          <w:color w:val="5D6B73"/>
          <w:sz w:val="22"/>
        </w:rPr>
        <w:t>Simple OutSystems investor form and reusable Angular Back Office screens</w:t>
      </w:r>
    </w:p>
    <w:p>
      <w:pPr>
        <w:spacing w:before="360"/>
        <w:jc w:val="center"/>
      </w:pPr>
      <w:r>
        <w:rPr>
          <w:b/>
          <w:color w:val="0E6874"/>
          <w:sz w:val="20"/>
        </w:rPr>
        <w:t>Version 4.0 | September 2026</w:t>
      </w:r>
    </w:p>
    <w:p>
      <w:r>
        <w:br w:type="page"/>
      </w:r>
    </w:p>
    <w:p>
      <w:pPr>
        <w:pStyle w:val="Heading1"/>
        <w:keepNext/>
      </w:pPr>
      <w:r>
        <w:t>1. UI Scope</w:t>
      </w:r>
    </w:p>
    <w:p>
      <w:pPr>
        <w:spacing w:after="80"/>
      </w:pPr>
      <w:r>
        <w:t>The UI is intentionally small. OutSystems is only the investor-facing ServiceForm inside IID. All five internal roles - Admin, L1 Approver, L2 Approver, Investor Facility Admin and Purchasing Department - belong to the Angular Back Office, not OutSystems.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760720" cy="73191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19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>2. OutSystems / IID</w:t>
      </w:r>
    </w:p>
    <w:p>
      <w:pPr>
        <w:pStyle w:val="Heading2"/>
        <w:keepNext/>
      </w:pPr>
      <w:r>
        <w:t>2.1 One ServiceForm module, one V1 screen</w:t>
      </w:r>
    </w:p>
    <w:p>
      <w:pPr>
        <w:pStyle w:val="ListBullet"/>
        <w:spacing w:after="40"/>
      </w:pPr>
      <w:r>
        <w:t>Use the DET ServiceForm template and default V1 screen/route pattern defined by the Developer Guide.</w:t>
      </w:r>
    </w:p>
    <w:p>
      <w:pPr>
        <w:pStyle w:val="ListBullet"/>
        <w:spacing w:after="40"/>
      </w:pPr>
      <w:r>
        <w:t>Configure ApplicationObject_V1 with camelCase attributes and register the application schema for the service version.</w:t>
      </w:r>
    </w:p>
    <w:p>
      <w:pPr>
        <w:pStyle w:val="ListBullet"/>
        <w:spacing w:after="40"/>
      </w:pPr>
      <w:r>
        <w:t>Use AppSteps only for simple form sections; do not create separate physical pages unless needed by the template.</w:t>
      </w:r>
    </w:p>
    <w:p>
      <w:pPr>
        <w:pStyle w:val="ListBullet"/>
        <w:spacing w:after="40"/>
      </w:pPr>
      <w:r>
        <w:t>Use adaptive/responsive DET layouts and translate all labels to Arabic through Multilingual Locales.</w:t>
      </w:r>
    </w:p>
    <w:p>
      <w:pPr>
        <w:pStyle w:val="ListBullet"/>
        <w:spacing w:after="40"/>
      </w:pPr>
      <w:r>
        <w:t>Use the template read-only logic for DUL/applicant fields and read mode.</w:t>
      </w:r>
    </w:p>
    <w:p>
      <w:pPr>
        <w:pStyle w:val="Heading2"/>
        <w:keepNext/>
      </w:pPr>
      <w:r>
        <w:t>2.2 Recommended V1 form sections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shd w:fill="0E687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6912"/>
            <w:shd w:fill="0E687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Content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1. Facility Information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Facility Type, Facility Name, DHA License No., Number of Beds, Medical Specialties, Lab Medical Director License No.</w:t>
            </w:r>
          </w:p>
        </w:tc>
      </w:tr>
      <w:tr>
        <w:tc>
          <w:tcPr>
            <w:tcW w:type="dxa" w:w="2880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2. Documents</w:t>
            </w:r>
          </w:p>
        </w:tc>
        <w:tc>
          <w:tcPr>
            <w:tcW w:type="dxa" w:w="6912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DHA License attachment and Lab Medical Director License attachment using the DET attachment component/pattern.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3. Read-only Licence / Applicant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Trade Licence No., business name, issue authority, address, phone/email, licence dates/activities, applicant name/mobile/email.</w:t>
            </w:r>
          </w:p>
        </w:tc>
      </w:tr>
      <w:tr>
        <w:tc>
          <w:tcPr>
            <w:tcW w:type="dxa" w:w="2880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4. Review &amp; Submit</w:t>
            </w:r>
          </w:p>
        </w:tc>
        <w:tc>
          <w:tcPr>
            <w:tcW w:type="dxa" w:w="6912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Summary of entered data, required validation messages, Submit/Resubmit action.</w:t>
            </w:r>
          </w:p>
        </w:tc>
      </w:tr>
    </w:tbl>
    <w:p>
      <w:pPr>
        <w:pStyle w:val="Heading2"/>
        <w:keepNext/>
      </w:pPr>
      <w:r>
        <w:t>2.3 More Information / Resubmission</w:t>
      </w:r>
    </w:p>
    <w:p>
      <w:pPr>
        <w:spacing w:after="80"/>
      </w:pPr>
      <w:r>
        <w:t>Do not build a second form. Reuse the same V1 screen in edit mode when the application is returned for More Information. Display the latest request/comment, allow the investor to update the permitted fields/documents, and expose Resubmit. After successful resubmission, the Back Office workflow returns to L1.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4D5"/>
          </w:tcPr>
          <w:p>
            <w:pPr>
              <w:spacing w:after="0"/>
            </w:pPr>
            <w:r/>
            <w:r>
              <w:rPr>
                <w:b/>
                <w:color w:val="17324D"/>
                <w:sz w:val="19"/>
              </w:rPr>
              <w:t xml:space="preserve">TBC. </w:t>
            </w:r>
            <w:r>
              <w:rPr>
                <w:sz w:val="18"/>
              </w:rPr>
              <w:t>Exactly which fields/documents are editable during More Information is not specified in the PRD/Developer Guide. Keep this configurable until business confirms it.</w:t>
            </w:r>
          </w:p>
        </w:tc>
      </w:tr>
    </w:tbl>
    <w:p>
      <w:pPr>
        <w:pStyle w:val="Heading2"/>
        <w:keepNext/>
      </w:pPr>
      <w:r>
        <w:t>2.4 OutSystems validation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3456"/>
            <w:shd w:fill="0E687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Field / action</w:t>
            </w:r>
          </w:p>
        </w:tc>
        <w:tc>
          <w:tcPr>
            <w:tcW w:type="dxa" w:w="6336"/>
            <w:shd w:fill="0E687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Client-side behavior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Facility Type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Required; Government/Private only.</w:t>
            </w:r>
          </w:p>
        </w:tc>
      </w:tr>
      <w:tr>
        <w:tc>
          <w:tcPr>
            <w:tcW w:type="dxa" w:w="3456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Facility Name</w:t>
            </w:r>
          </w:p>
        </w:tc>
        <w:tc>
          <w:tcPr>
            <w:tcW w:type="dxa" w:w="6336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Required; trim; max 200.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DHA License No.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Required; max 50; exact pattern TBC.</w:t>
            </w:r>
          </w:p>
        </w:tc>
      </w:tr>
      <w:tr>
        <w:tc>
          <w:tcPr>
            <w:tcW w:type="dxa" w:w="3456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Number of Beds</w:t>
            </w:r>
          </w:p>
        </w:tc>
        <w:tc>
          <w:tcPr>
            <w:tcW w:type="dxa" w:w="6336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Required integer; no decimals; &gt;= 0.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Medical Specialties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At least one.</w:t>
            </w:r>
          </w:p>
        </w:tc>
      </w:tr>
      <w:tr>
        <w:tc>
          <w:tcPr>
            <w:tcW w:type="dxa" w:w="3456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Lab Medical Director License No.</w:t>
            </w:r>
          </w:p>
        </w:tc>
        <w:tc>
          <w:tcPr>
            <w:tcW w:type="dxa" w:w="6336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Required; max 50; exact pattern TBC.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Both attachments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Required before submit; early client size/type feedback from configuration.</w:t>
            </w:r>
          </w:p>
        </w:tc>
      </w:tr>
      <w:tr>
        <w:tc>
          <w:tcPr>
            <w:tcW w:type="dxa" w:w="3456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Read-only DUL/applicant values</w:t>
            </w:r>
          </w:p>
        </w:tc>
        <w:tc>
          <w:tcPr>
            <w:tcW w:type="dxa" w:w="6336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Never editable in UI.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Submit / Resubmit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Run full client validation, disable while pending, display server/business errors clearly.</w:t>
            </w:r>
          </w:p>
        </w:tc>
      </w:tr>
    </w:tbl>
    <w:p>
      <w:pPr>
        <w:spacing w:after="80"/>
      </w:pPr>
      <w:r>
        <w:t>The Developer Guide explicitly requires the same form input validation approach on both client side and server side. The .NET/API boundary remains authoritative for business/security validation.</w:t>
      </w:r>
    </w:p>
    <w:p>
      <w:pPr>
        <w:pStyle w:val="Heading2"/>
        <w:keepNext/>
      </w:pPr>
      <w:r>
        <w:t>2.5 OutSystems back-office integration rule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8F4EA"/>
          </w:tcPr>
          <w:p>
            <w:pPr>
              <w:spacing w:after="0"/>
            </w:pPr>
            <w:r/>
            <w:r>
              <w:rPr>
                <w:b/>
                <w:color w:val="17324D"/>
                <w:sz w:val="19"/>
              </w:rPr>
              <w:t xml:space="preserve">Developer Guide rule. </w:t>
            </w:r>
            <w:r>
              <w:rPr>
                <w:sz w:val="18"/>
              </w:rPr>
              <w:t>Custom calls from the ServiceForm to our Back Office are GET REST calls registered in the Services 360 integration layer and consumed through BackofficeGetRequest. Do not call our POST decision/submission endpoints directly from the OutSystems form.</w:t>
            </w:r>
          </w:p>
        </w:tc>
      </w:tr>
    </w:tbl>
    <w:p>
      <w:pPr>
        <w:pStyle w:val="Heading1"/>
        <w:keepNext/>
      </w:pPr>
      <w:r>
        <w:t>3. Angular Back Office</w:t>
      </w:r>
    </w:p>
    <w:p>
      <w:pPr>
        <w:spacing w:after="80"/>
      </w:pPr>
      <w:r>
        <w:t>Use two primary routed screens plus small dialogs/sections. This is enough for the registration workflow and avoids duplicating pages for every role.</w:t>
      </w:r>
    </w:p>
    <w:p>
      <w:pPr>
        <w:pStyle w:val="Heading2"/>
        <w:keepNext/>
      </w:pPr>
      <w:r>
        <w:t>3.1 Screen A - Application Queue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shd w:fill="0E687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6912"/>
            <w:shd w:fill="0E687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Queue behavior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Admin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Can view the permitted overall queue; exact admin scope follows final authorization policy.</w:t>
            </w:r>
          </w:p>
        </w:tc>
      </w:tr>
      <w:tr>
        <w:tc>
          <w:tcPr>
            <w:tcW w:type="dxa" w:w="2880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L1 Approver</w:t>
            </w:r>
          </w:p>
        </w:tc>
        <w:tc>
          <w:tcPr>
            <w:tcW w:type="dxa" w:w="6912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Defaults to SUBMITTED / L1 requests.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L2 Approver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Defaults to SUBMITTED / L2 requests.</w:t>
            </w:r>
          </w:p>
        </w:tc>
      </w:tr>
      <w:tr>
        <w:tc>
          <w:tcPr>
            <w:tcW w:type="dxa" w:w="2880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Purchasing Department</w:t>
            </w:r>
          </w:p>
        </w:tc>
        <w:tc>
          <w:tcPr>
            <w:tcW w:type="dxa" w:w="6912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Defaults to APPROVED requests awaiting/containing contract.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Investor Facility Admin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Role exists; exact queue/actions in this registration scope remain TBC.</w:t>
            </w:r>
          </w:p>
        </w:tc>
      </w:tr>
    </w:tbl>
    <w:p>
      <w:pPr>
        <w:pStyle w:val="ListBullet"/>
        <w:spacing w:after="40"/>
      </w:pPr>
      <w:r>
        <w:t>Columns: Reference/Application ID, Trade Licence, Facility Name, Facility Type, Status, Stage, Submitted/Updated date.</w:t>
      </w:r>
    </w:p>
    <w:p>
      <w:pPr>
        <w:pStyle w:val="ListBullet"/>
        <w:spacing w:after="40"/>
      </w:pPr>
      <w:r>
        <w:t>Filters: Trade Licence, Facility Name, Status, Stage and date range. Do not build a large dashboard unless business asks for it.</w:t>
      </w:r>
    </w:p>
    <w:p>
      <w:pPr>
        <w:pStyle w:val="ListBullet"/>
        <w:spacing w:after="40"/>
      </w:pPr>
      <w:r>
        <w:t>Server-side pagination; default 25, maximum 100. Debounce text search.</w:t>
      </w:r>
    </w:p>
    <w:p>
      <w:pPr>
        <w:pStyle w:val="Heading2"/>
        <w:keepNext/>
      </w:pPr>
      <w:r>
        <w:t>3.2 Screen B - Application Detail</w:t>
      </w:r>
    </w:p>
    <w:p>
      <w:pPr>
        <w:spacing w:after="80"/>
      </w:pPr>
      <w:r>
        <w:t>One reusable detail screen for Admin, L1, L2 and Purchasing. The server returns allowed actions; the UI shows only what the current role/state permits.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448"/>
            <w:shd w:fill="0E687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Section / tab</w:t>
            </w:r>
          </w:p>
        </w:tc>
        <w:tc>
          <w:tcPr>
            <w:tcW w:type="dxa" w:w="7344"/>
            <w:shd w:fill="0E687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Content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Summary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Facility, trade licence, applicant and selected specialties.</w:t>
            </w:r>
          </w:p>
        </w:tc>
      </w:tr>
      <w:tr>
        <w:tc>
          <w:tcPr>
            <w:tcW w:type="dxa" w:w="2448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Documents</w:t>
            </w:r>
          </w:p>
        </w:tc>
        <w:tc>
          <w:tcPr>
            <w:tcW w:type="dxa" w:w="7344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DHA License and Lab Medical Director License with secure view/download actions.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Workflow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Simple timeline from WorkflowHistory: Submit, More Info, Resubmit, L1/L2 decisions, Letter Generated, Contract Uploaded.</w:t>
            </w:r>
          </w:p>
        </w:tc>
      </w:tr>
      <w:tr>
        <w:tc>
          <w:tcPr>
            <w:tcW w:type="dxa" w:w="2448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Contract</w:t>
            </w:r>
          </w:p>
        </w:tc>
        <w:tc>
          <w:tcPr>
            <w:tcW w:type="dxa" w:w="7344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Visible/editable to Purchasing after L2 approval; read-only to other authorized roles as required.</w:t>
            </w:r>
          </w:p>
        </w:tc>
      </w:tr>
    </w:tbl>
    <w:p>
      <w:pPr>
        <w:pStyle w:val="Heading2"/>
        <w:keepNext/>
      </w:pPr>
      <w:r>
        <w:t>3.3 Decision dialog</w:t>
      </w:r>
    </w:p>
    <w:p>
      <w:pPr>
        <w:pStyle w:val="ListBullet"/>
        <w:spacing w:after="40"/>
      </w:pPr>
      <w:r>
        <w:t>Available only to L1 or L2 when the application is currently at that stage.</w:t>
      </w:r>
    </w:p>
    <w:p>
      <w:pPr>
        <w:pStyle w:val="ListBullet"/>
        <w:spacing w:after="40"/>
      </w:pPr>
      <w:r>
        <w:t>Actions: Approve, Reject, Request More Information.</w:t>
      </w:r>
    </w:p>
    <w:p>
      <w:pPr>
        <w:pStyle w:val="ListBullet"/>
        <w:spacing w:after="40"/>
      </w:pPr>
      <w:r>
        <w:t>More Information comment is required because the investor needs to know what to change.</w:t>
      </w:r>
    </w:p>
    <w:p>
      <w:pPr>
        <w:pStyle w:val="ListBullet"/>
        <w:spacing w:after="40"/>
      </w:pPr>
      <w:r>
        <w:t>Reject reason mandatory/optional remains TBC unless business confirms it.</w:t>
      </w:r>
    </w:p>
    <w:p>
      <w:pPr>
        <w:pStyle w:val="ListBullet"/>
        <w:spacing w:after="40"/>
      </w:pPr>
      <w:r>
        <w:t>Confirmation before Approve/Reject. Buttons disable while request is in progress.</w:t>
      </w:r>
    </w:p>
    <w:p>
      <w:pPr>
        <w:pStyle w:val="ListBullet"/>
        <w:spacing w:after="40"/>
      </w:pPr>
      <w:r>
        <w:t>If server returns a concurrency conflict, refresh the application and show that another user already changed it.</w:t>
      </w:r>
    </w:p>
    <w:p>
      <w:pPr>
        <w:pStyle w:val="Heading2"/>
        <w:keepNext/>
      </w:pPr>
      <w:r>
        <w:t>3.4 Purchasing contract section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shd w:fill="0E687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6912"/>
            <w:shd w:fill="0E687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Contract Number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Required, max 100.</w:t>
            </w:r>
          </w:p>
        </w:tc>
      </w:tr>
      <w:tr>
        <w:tc>
          <w:tcPr>
            <w:tcW w:type="dxa" w:w="2880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Start Date</w:t>
            </w:r>
          </w:p>
        </w:tc>
        <w:tc>
          <w:tcPr>
            <w:tcW w:type="dxa" w:w="6912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Required.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End Date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Required; cannot be earlier than Start Date.</w:t>
            </w:r>
          </w:p>
        </w:tc>
      </w:tr>
      <w:tr>
        <w:tc>
          <w:tcPr>
            <w:tcW w:type="dxa" w:w="2880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Signed Contract</w:t>
            </w:r>
          </w:p>
        </w:tc>
        <w:tc>
          <w:tcPr>
            <w:tcW w:type="dxa" w:w="6912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Required; early file validation in UI, authoritative validation on server.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Upload Contract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Enabled only for Purchasing and only after L2 approval.</w:t>
            </w:r>
          </w:p>
        </w:tc>
      </w:tr>
    </w:tbl>
    <w:p>
      <w:pPr>
        <w:spacing w:after="80"/>
      </w:pPr>
      <w:r>
        <w:t>After successful upload, show a clear success state and onboarding-notification status only if the final integration exposes that status. Do not ask Purchasing to upload again if only the notification integration fails.</w:t>
      </w:r>
    </w:p>
    <w:p>
      <w:r>
        <w:br w:type="page"/>
      </w:r>
    </w:p>
    <w:p>
      <w:pPr>
        <w:pStyle w:val="Heading1"/>
        <w:keepNext/>
      </w:pPr>
      <w:r>
        <w:t>4. Role / Action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2232"/>
            <w:shd w:fill="0E687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Role</w:t>
            </w:r>
          </w:p>
        </w:tc>
        <w:tc>
          <w:tcPr>
            <w:tcW w:type="dxa" w:w="2088"/>
            <w:shd w:fill="0E687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View applications</w:t>
            </w:r>
          </w:p>
        </w:tc>
        <w:tc>
          <w:tcPr>
            <w:tcW w:type="dxa" w:w="1440"/>
            <w:shd w:fill="0E687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Approve</w:t>
            </w:r>
          </w:p>
        </w:tc>
        <w:tc>
          <w:tcPr>
            <w:tcW w:type="dxa" w:w="1440"/>
            <w:shd w:fill="0E687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Reject</w:t>
            </w:r>
          </w:p>
        </w:tc>
        <w:tc>
          <w:tcPr>
            <w:tcW w:type="dxa" w:w="1512"/>
            <w:shd w:fill="0E687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More Info</w:t>
            </w:r>
          </w:p>
        </w:tc>
        <w:tc>
          <w:tcPr>
            <w:tcW w:type="dxa" w:w="2016"/>
            <w:shd w:fill="0E687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Upload contract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5"/>
              </w:rPr>
              <w:t>Admin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5"/>
              </w:rPr>
              <w:t>Per policy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5"/>
              </w:rPr>
              <w:t>Per policy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5"/>
              </w:rPr>
              <w:t>Per policy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5"/>
              </w:rPr>
              <w:t>Per policy</w:t>
            </w:r>
          </w:p>
        </w:tc>
      </w:tr>
      <w:tr>
        <w:tc>
          <w:tcPr>
            <w:tcW w:type="dxa" w:w="2232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5"/>
              </w:rPr>
              <w:t>L1 Approver</w:t>
            </w:r>
          </w:p>
        </w:tc>
        <w:tc>
          <w:tcPr>
            <w:tcW w:type="dxa" w:w="2088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5"/>
              </w:rPr>
              <w:t>L1 queue</w:t>
            </w:r>
          </w:p>
        </w:tc>
        <w:tc>
          <w:tcPr>
            <w:tcW w:type="dxa" w:w="1440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5"/>
              </w:rPr>
              <w:t>Yes - L1</w:t>
            </w:r>
          </w:p>
        </w:tc>
        <w:tc>
          <w:tcPr>
            <w:tcW w:type="dxa" w:w="1440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5"/>
              </w:rPr>
              <w:t>Yes - L1</w:t>
            </w:r>
          </w:p>
        </w:tc>
        <w:tc>
          <w:tcPr>
            <w:tcW w:type="dxa" w:w="1512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5"/>
              </w:rPr>
              <w:t>Yes - L1</w:t>
            </w:r>
          </w:p>
        </w:tc>
        <w:tc>
          <w:tcPr>
            <w:tcW w:type="dxa" w:w="2016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5"/>
              </w:rPr>
              <w:t>No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5"/>
              </w:rPr>
              <w:t>L2 Approver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5"/>
              </w:rPr>
              <w:t>L2 queue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5"/>
              </w:rPr>
              <w:t>Yes - L2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5"/>
              </w:rPr>
              <w:t>Yes - L2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5"/>
              </w:rPr>
              <w:t>Yes - L2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5"/>
              </w:rPr>
              <w:t>No</w:t>
            </w:r>
          </w:p>
        </w:tc>
      </w:tr>
      <w:tr>
        <w:tc>
          <w:tcPr>
            <w:tcW w:type="dxa" w:w="2232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5"/>
              </w:rPr>
              <w:t>Purchasing</w:t>
            </w:r>
          </w:p>
        </w:tc>
        <w:tc>
          <w:tcPr>
            <w:tcW w:type="dxa" w:w="2088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5"/>
              </w:rPr>
              <w:t>Approved queue</w:t>
            </w:r>
          </w:p>
        </w:tc>
        <w:tc>
          <w:tcPr>
            <w:tcW w:type="dxa" w:w="1440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440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512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2016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5"/>
              </w:rPr>
              <w:t>Yes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5"/>
              </w:rPr>
              <w:t>Investor Facility Admin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5"/>
              </w:rPr>
              <w:t>TBC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5"/>
              </w:rPr>
              <w:t>TBC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5"/>
              </w:rPr>
              <w:t>TBC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5"/>
              </w:rPr>
              <w:t>TBC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5"/>
              </w:rPr>
              <w:t>TBC</w:t>
            </w:r>
          </w:p>
        </w:tc>
      </w:tr>
    </w:tbl>
    <w:p>
      <w:pPr>
        <w:pStyle w:val="Heading1"/>
        <w:keepNext/>
      </w:pPr>
      <w:r>
        <w:t>5. Common Client-Side UX Rules</w:t>
      </w:r>
    </w:p>
    <w:p>
      <w:pPr>
        <w:pStyle w:val="ListBullet"/>
        <w:spacing w:after="40"/>
      </w:pPr>
      <w:r>
        <w:t>Client validation improves UX only; every rule is repeated server-side.</w:t>
      </w:r>
    </w:p>
    <w:p>
      <w:pPr>
        <w:pStyle w:val="ListBullet"/>
        <w:spacing w:after="40"/>
      </w:pPr>
      <w:r>
        <w:t>Use inline field errors plus one page-level business error area.</w:t>
      </w:r>
    </w:p>
    <w:p>
      <w:pPr>
        <w:pStyle w:val="ListBullet"/>
        <w:spacing w:after="40"/>
      </w:pPr>
      <w:r>
        <w:t>Encode filenames/comments/text; never render server text as raw HTML.</w:t>
      </w:r>
    </w:p>
    <w:p>
      <w:pPr>
        <w:pStyle w:val="ListBullet"/>
        <w:spacing w:after="40"/>
      </w:pPr>
      <w:r>
        <w:t>Disable state-changing buttons while a request is pending to prevent duplicate actions.</w:t>
      </w:r>
    </w:p>
    <w:p>
      <w:pPr>
        <w:pStyle w:val="ListBullet"/>
        <w:spacing w:after="40"/>
      </w:pPr>
      <w:r>
        <w:t>Lazy-load Workflow and document content from the detail screen instead of loading everything in the queue.</w:t>
      </w:r>
    </w:p>
    <w:p>
      <w:pPr>
        <w:pStyle w:val="ListBullet"/>
        <w:spacing w:after="40"/>
      </w:pPr>
      <w:r>
        <w:t>Do not store tokens, secrets, contract files or application payloads in browser localStorage.</w:t>
      </w:r>
    </w:p>
    <w:p>
      <w:pPr>
        <w:pStyle w:val="ListBullet"/>
        <w:spacing w:after="40"/>
      </w:pPr>
      <w:r>
        <w:t>Use keyboard-accessible labels, visible focus, meaningful required indicators and readable contrast.</w:t>
      </w:r>
    </w:p>
    <w:p>
      <w:pPr>
        <w:pStyle w:val="ListBullet"/>
        <w:spacing w:after="40"/>
      </w:pPr>
      <w:r>
        <w:t>Use the current server status/stage after every action rather than assuming the transition succeeded.</w:t>
      </w:r>
    </w:p>
    <w:p>
      <w:pPr>
        <w:pStyle w:val="Heading1"/>
        <w:keepNext/>
      </w:pPr>
      <w:r>
        <w:t>6. What Is Not a Separate Screen</w:t>
      </w:r>
    </w:p>
    <w:p>
      <w:pPr>
        <w:pStyle w:val="ListBullet"/>
        <w:spacing w:after="40"/>
      </w:pPr>
      <w:r>
        <w:t>No separate L1 screen and L2 screen: both use the same Application Detail screen with role/state-based actions.</w:t>
      </w:r>
    </w:p>
    <w:p>
      <w:pPr>
        <w:pStyle w:val="ListBullet"/>
        <w:spacing w:after="40"/>
      </w:pPr>
      <w:r>
        <w:t>No separate More Information page in Angular: use the decision dialog.</w:t>
      </w:r>
    </w:p>
    <w:p>
      <w:pPr>
        <w:pStyle w:val="ListBullet"/>
        <w:spacing w:after="40"/>
      </w:pPr>
      <w:r>
        <w:t>No separate Service Output management page unless business later requires manual regeneration/versioning; letter generation follows final L2 approval.</w:t>
      </w:r>
    </w:p>
    <w:p>
      <w:pPr>
        <w:pStyle w:val="ListBullet"/>
        <w:spacing w:after="40"/>
      </w:pPr>
      <w:r>
        <w:t>No separate Integration Logs business screen in the initial scope. Technical monitoring belongs to platform logging/Service Center and the .NET observability solution.</w:t>
      </w:r>
    </w:p>
    <w:p>
      <w:pPr>
        <w:pStyle w:val="ListBullet"/>
        <w:spacing w:after="40"/>
      </w:pPr>
      <w:r>
        <w:t>No dedicated Investor Facility Admin screen until its exact post-onboarding responsibilities are confirmed.</w:t>
      </w:r>
    </w:p>
    <w:p>
      <w:pPr>
        <w:pStyle w:val="Heading1"/>
        <w:keepNext/>
      </w:pPr>
      <w:r>
        <w:t>7. TBC Before Final UI Build</w:t>
      </w:r>
    </w:p>
    <w:p>
      <w:pPr>
        <w:pStyle w:val="ListBullet"/>
        <w:spacing w:after="40"/>
      </w:pPr>
      <w:r>
        <w:t>Exact Back Office permissions for Admin and Investor Facility Admin.</w:t>
      </w:r>
    </w:p>
    <w:p>
      <w:pPr>
        <w:pStyle w:val="ListBullet"/>
        <w:spacing w:after="40"/>
      </w:pPr>
      <w:r>
        <w:t>Exact investor-editable fields during More Information.</w:t>
      </w:r>
    </w:p>
    <w:p>
      <w:pPr>
        <w:pStyle w:val="ListBullet"/>
        <w:spacing w:after="40"/>
      </w:pPr>
      <w:r>
        <w:t>Final Arabic labels/content approval and Pre-Approval Letter template/checklist.</w:t>
      </w:r>
    </w:p>
    <w:p>
      <w:pPr>
        <w:pStyle w:val="ListBullet"/>
        <w:spacing w:after="40"/>
      </w:pPr>
      <w:r>
        <w:t>Official IID behaviour for displaying/downloading the Pre-Approval Letter.</w:t>
      </w:r>
    </w:p>
    <w:p>
      <w:pPr>
        <w:pStyle w:val="ListBullet"/>
        <w:spacing w:after="40"/>
      </w:pPr>
      <w:r>
        <w:t>File limits/types and attachment/contract storage/scanning integration.</w:t>
      </w:r>
    </w:p>
    <w:p>
      <w:pPr>
        <w:pStyle w:val="ListBullet"/>
        <w:spacing w:after="40"/>
      </w:pPr>
      <w:r>
        <w:t>Authentication/SSO claims supplied to Angular/.NET and any role mapping source.</w:t>
      </w:r>
    </w:p>
    <w:sectPr>
      <w:footerReference w:type="default" r:id="rId9"/>
      <w:pgSz w:w="12240" w:h="15840"/>
      <w:pgMar w:top="749" w:right="792" w:bottom="749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9757D"/>
        <w:sz w:val="16"/>
      </w:rPr>
      <w:t xml:space="preserve">AL WATEEN | v4.0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E687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E687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D6B7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D6B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 Wateen UI UX Screens v4.0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