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bin" ContentType="application/vnd.openxmlformats-officedocument.oleObject"/>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20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2F70"/>
          <w:spacing w:val="0"/>
          <w:position w:val="0"/>
          <w:sz w:val="52"/>
          <w:shd w:fill="auto" w:val="clear"/>
        </w:rPr>
        <w:t xml:space="preserve">DUBAI HEALTH</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00A79D"/>
          <w:spacing w:val="0"/>
          <w:position w:val="0"/>
          <w:sz w:val="24"/>
          <w:shd w:fill="auto" w:val="clear"/>
        </w:rPr>
        <w:t xml:space="preserve">Internal Technical Reference | Architecture Proposal</w:t>
      </w:r>
    </w:p>
    <w:p>
      <w:pPr>
        <w:spacing w:before="240" w:after="24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2F70"/>
          <w:spacing w:val="0"/>
          <w:position w:val="0"/>
          <w:sz w:val="60"/>
          <w:shd w:fill="auto" w:val="clear"/>
        </w:rPr>
        <w:t xml:space="preserve">Error Management Hub</w:t>
      </w:r>
    </w:p>
    <w:p>
      <w:pPr>
        <w:spacing w:before="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4590"/>
          <w:spacing w:val="0"/>
          <w:position w:val="0"/>
          <w:sz w:val="28"/>
          <w:shd w:fill="auto" w:val="clear"/>
        </w:rPr>
        <w:t>Unified Support Workspace — Architecture Proposal Package</w:t>
      </w:r>
    </w:p>
    <w:p>
      <w:pPr>
        <w:spacing w:before="240" w:after="240" w:line="240"/>
        <w:ind w:right="0" w:left="0" w:firstLine="0"/>
        <w:jc w:val="left"/>
        <w:rPr>
          <w:rFonts w:ascii="Arial" w:hAnsi="Arial" w:cs="Arial" w:eastAsia="Arial"/>
          <w:color w:val="auto"/>
          <w:spacing w:val="0"/>
          <w:position w:val="0"/>
          <w:sz w:val="22"/>
          <w:shd w:fill="auto" w:val="clear"/>
        </w:rPr>
      </w:pPr>
    </w:p>
    <w:p>
      <w:pPr>
        <w:spacing w:before="12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718096"/>
          <w:spacing w:val="0"/>
          <w:position w:val="0"/>
          <w:sz w:val="20"/>
          <w:shd w:fill="auto" w:val="clear"/>
        </w:rPr>
        <w:t xml:space="preserve">Version: 1.0   |   Status: Pending Solution Architect Approval</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718096"/>
          <w:spacing w:val="0"/>
          <w:position w:val="0"/>
          <w:sz w:val="20"/>
          <w:shd w:fill="auto" w:val="clear"/>
        </w:rPr>
        <w:t xml:space="preserve">Audience: Solution Architect, Technical Management</w:t>
      </w:r>
    </w:p>
    <w:p>
      <w:pPr>
        <w:spacing w:before="6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718096"/>
          <w:spacing w:val="0"/>
          <w:position w:val="0"/>
          <w:sz w:val="20"/>
          <w:shd w:fill="auto" w:val="clear"/>
        </w:rPr>
        <w:t>Classification: Confidential — Internal Use Only</w:t>
      </w:r>
      <w:r>
        <w:rPr>
          <w:rFonts w:ascii="Arial" w:hAnsi="Arial" w:cs="Arial" w:eastAsia="Arial"/>
          <w:color w:val="auto"/>
          <w:spacing w:val="0"/>
          <w:position w:val="0"/>
          <w:sz w:val="22"/>
          <w:shd w:fill="auto" w:val="clear"/>
        </w:rPr>
        <w:t xml:space="preserve"> </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1. Executive Summary</w:t>
      </w:r>
    </w:p>
    <w:p>
      <w:pPr>
        <w:spacing w:before="0" w:after="0" w:line="240"/>
        <w:ind w:right="0" w:left="0" w:firstLine="0"/>
        <w:jc w:val="left"/>
        <w:rPr>
          <w:rFonts w:ascii="Arial" w:hAnsi="Arial" w:cs="Arial" w:eastAsia="Arial"/>
          <w:color w:val="4A5568"/>
          <w:spacing w:val="0"/>
          <w:position w:val="0"/>
          <w:sz w:val="22"/>
          <w:shd w:fill="auto" w:val="clear"/>
        </w:rPr>
      </w:pPr>
      <w:r>
        <w:rPr>
          <w:rFonts w:ascii="Arial" w:hAnsi="Arial" w:cs="Arial" w:eastAsia="Arial"/>
          <w:color w:val="4A5568"/>
          <w:spacing w:val="0"/>
          <w:position w:val="0"/>
          <w:sz w:val="22"/>
          <w:shd w:fill="auto" w:val="clear"/>
        </w:rPr>
        <w:t xml:space="preserve">The Error Management Hub (EMH) is a centralized support workspace designed to solve a critical operational problem: support team at Dubai Health must currently access the db or call apis and navigate multiple disconnected systems/places to investigate and resolve support tickets. This fragmentation causes slow ticket resolution.</w:t>
      </w:r>
    </w:p>
    <w:p>
      <w:pPr>
        <w:spacing w:before="60" w:after="100" w:line="240"/>
        <w:ind w:right="0" w:left="0" w:firstLine="0"/>
        <w:jc w:val="left"/>
        <w:rPr>
          <w:rFonts w:ascii="Arial" w:hAnsi="Arial" w:cs="Arial" w:eastAsia="Arial"/>
          <w:color w:val="auto"/>
          <w:spacing w:val="0"/>
          <w:position w:val="0"/>
          <w:sz w:val="22"/>
          <w:shd w:fill="auto" w:val="clear"/>
        </w:rPr>
      </w:pP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The EMH replaces this fragmented landscape with a single App. The system dynamically presents application cards and navigation menus based on each user's roles and permissions — all controlled by the backend. Four initial applications/modules are in scope for Phase 1:</w:t>
      </w:r>
    </w:p>
    <w:p>
      <w:pPr>
        <w:numPr>
          <w:ilvl w:val="0"/>
          <w:numId w:val="1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User Management — Internal and external users’ details</w:t>
      </w:r>
    </w:p>
    <w:p>
      <w:pPr>
        <w:numPr>
          <w:ilvl w:val="0"/>
          <w:numId w:val="1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Clinical Attachment — Training application error investigation</w:t>
      </w:r>
    </w:p>
    <w:p>
      <w:pPr>
        <w:numPr>
          <w:ilvl w:val="0"/>
          <w:numId w:val="1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Premarital — Status Details and payment verification support</w:t>
      </w:r>
    </w:p>
    <w:p>
      <w:pPr>
        <w:numPr>
          <w:ilvl w:val="0"/>
          <w:numId w:val="1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Patient Services — Health card, sick leave, and medical report support</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The architecture is a Modular Monolith following Vertical Slice Architecture (VSA), using MediatR for request handling, EF Core (Database First) with SQL Server. IDAM for authentication (SSO) in Phase 1.</w:t>
      </w: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2. Phase 1 Scope vs. Future Scope</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Phase 1 — In Scope</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IDAM Integration (identity provider, lifecycle management)</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Applications Hub — Dynamic application cards returned from backend based on user roles</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Dynamic Sidebar Navigation — Per-application menu tree from backend, permission-filtered</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Page-Level Access Control — Route guards (UX) + backend API 403 enforcement(Forbidden)</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Action-Level Access Control — View, Create, Edit, Delete, Assign, Approve, Close, Export</w:t>
      </w:r>
    </w:p>
    <w:p>
      <w:pPr>
        <w:numPr>
          <w:ilvl w:val="0"/>
          <w:numId w:val="16"/>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Global Authorization Default— all endpoints require authentication; [AllowAnonymous] is explicit opt-out only</w:t>
      </w:r>
    </w:p>
    <w:p>
      <w:pPr>
        <w:numPr>
          <w:ilvl w:val="0"/>
          <w:numId w:val="16"/>
        </w:numPr>
        <w:spacing w:before="0" w:after="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 xml:space="preserve">User Management, Clinical Attachment, Premarital, Patient Services modules</w:t>
      </w:r>
    </w:p>
    <w:p>
      <w:pPr>
        <w:numPr>
          <w:ilvl w:val="0"/>
          <w:numId w:val="16"/>
        </w:numPr>
        <w:spacing w:before="0" w:after="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External Integration Layer — all external data via owned REST APIs</w:t>
      </w:r>
    </w:p>
    <w:p>
      <w:pPr>
        <w:numPr>
          <w:ilvl w:val="0"/>
          <w:numId w:val="16"/>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Centralized Audit Logs — All user actions logged with IP, action category, timestamp, entity, old/new value</w:t>
      </w:r>
    </w:p>
    <w:p>
      <w:pPr>
        <w:numPr>
          <w:ilvl w:val="0"/>
          <w:numId w:val="16"/>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Admin Management — User, role, permission, application, menu management UI</w:t>
      </w:r>
    </w:p>
    <w:p>
      <w:pPr>
        <w:numPr>
          <w:ilvl w:val="0"/>
          <w:numId w:val="16"/>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EF Core Database First + SQL Server — Models generated from DB, mapped to DTOs via explicit mapping</w:t>
      </w:r>
    </w:p>
    <w:p>
      <w:pPr>
        <w:numPr>
          <w:ilvl w:val="0"/>
          <w:numId w:val="16"/>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 xml:space="preserve">Secure REST APIs (HTTPS TLS 1.3 + Input Validation + security Headers + CORS, Rate Limiting)</w:t>
      </w:r>
    </w:p>
    <w:p>
      <w:pPr>
        <w:numPr>
          <w:ilvl w:val="0"/>
          <w:numId w:val="16"/>
        </w:numPr>
        <w:spacing w:before="0" w:after="0" w:line="240"/>
        <w:ind w:right="0" w:left="720" w:hanging="360"/>
        <w:jc w:val="left"/>
        <w:rPr>
          <w:rFonts w:ascii="Arial" w:hAnsi="Arial" w:cs="Arial" w:eastAsia="Arial"/>
          <w:color w:val="1A1A2E"/>
          <w:spacing w:val="0"/>
          <w:position w:val="0"/>
          <w:sz w:val="19"/>
          <w:shd w:fill="auto" w:val="clear"/>
        </w:rPr>
      </w:pPr>
      <w:r>
        <w:rPr>
          <w:rFonts w:ascii="Arial" w:hAnsi="Arial" w:cs="Arial" w:eastAsia="Arial"/>
          <w:color w:val="4A5568"/>
          <w:spacing w:val="0"/>
          <w:position w:val="0"/>
          <w:sz w:val="21"/>
          <w:shd w:fill="auto" w:val="clear"/>
        </w:rPr>
        <w:t xml:space="preserve">Angular SPA with Route Guards standalone components, Zoneless, lazy-loaded routes, Signals, functional DI (instead of constructor inhection) </w:t>
      </w:r>
    </w:p>
    <w:p>
      <w:pPr>
        <w:numPr>
          <w:ilvl w:val="0"/>
          <w:numId w:val="16"/>
        </w:numPr>
        <w:spacing w:before="0" w:after="0" w:line="240"/>
        <w:ind w:right="0" w:left="720" w:hanging="360"/>
        <w:jc w:val="left"/>
        <w:rPr>
          <w:rFonts w:ascii="Arial" w:hAnsi="Arial" w:cs="Arial" w:eastAsia="Arial"/>
          <w:color w:val="1A1A2E"/>
          <w:spacing w:val="0"/>
          <w:position w:val="0"/>
          <w:sz w:val="19"/>
          <w:shd w:fill="auto" w:val="clear"/>
        </w:rPr>
      </w:pPr>
      <w:r>
        <w:rPr>
          <w:rFonts w:ascii="Arial" w:hAnsi="Arial" w:cs="Arial" w:eastAsia="Arial"/>
          <w:color w:val="4A5568"/>
          <w:spacing w:val="0"/>
          <w:position w:val="0"/>
          <w:sz w:val="21"/>
          <w:shd w:fill="auto" w:val="clear"/>
        </w:rPr>
        <w:t>Environment configuration — environment.ts (dev), environment.staging.ts (staging), and environment.prod.ts (prod)</w:t>
      </w:r>
    </w:p>
    <w:p>
      <w:pPr>
        <w:numPr>
          <w:ilvl w:val="0"/>
          <w:numId w:val="16"/>
        </w:numPr>
        <w:spacing w:before="0" w:after="0" w:line="240"/>
        <w:ind w:right="0" w:left="720" w:hanging="360"/>
        <w:jc w:val="left"/>
        <w:rPr>
          <w:rFonts w:ascii="Arial" w:hAnsi="Arial" w:cs="Arial" w:eastAsia="Arial"/>
          <w:color w:val="1A1A2E"/>
          <w:spacing w:val="0"/>
          <w:position w:val="0"/>
          <w:sz w:val="19"/>
          <w:shd w:fill="auto" w:val="clear"/>
        </w:rPr>
      </w:pPr>
      <w:r>
        <w:rPr>
          <w:rFonts w:ascii="Arial" w:hAnsi="Arial" w:cs="Arial" w:eastAsia="Arial"/>
          <w:color w:val="4A5568"/>
          <w:spacing w:val="0"/>
          <w:position w:val="0"/>
          <w:sz w:val="21"/>
          <w:shd w:fill="auto" w:val="clear"/>
        </w:rPr>
        <w:t xml:space="preserve">Structured Logging — Serilog with Seq sink (dev/staging) and file/Azure Monitor sink (prod). </w:t>
      </w:r>
    </w:p>
    <w:p>
      <w:pPr>
        <w:spacing w:before="40" w:after="40" w:line="240"/>
        <w:ind w:right="0" w:left="720" w:firstLine="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Health Check Endpoints — /health (full), /health/live (liveness), /health/ready (readiness).</w:t>
      </w:r>
    </w:p>
    <w:p>
      <w:pPr>
        <w:spacing w:before="24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2F70"/>
          <w:spacing w:val="0"/>
          <w:position w:val="0"/>
          <w:sz w:val="28"/>
          <w:shd w:fill="auto" w:val="clear"/>
        </w:rPr>
        <w:t>Future Scope — Deferred</w:t>
      </w:r>
    </w:p>
    <w:p>
      <w:pPr>
        <w:numPr>
          <w:ilvl w:val="0"/>
          <w:numId w:val="2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Admin management UI for Users, Roles, Permissions</w:t>
      </w:r>
    </w:p>
    <w:p>
      <w:pPr>
        <w:numPr>
          <w:ilvl w:val="0"/>
          <w:numId w:val="2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Multi-Factor Authentication (SMS OTP)</w:t>
      </w:r>
    </w:p>
    <w:p>
      <w:pPr>
        <w:numPr>
          <w:ilvl w:val="0"/>
          <w:numId w:val="22"/>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Monitoring &amp; Alerts — Appdynamics</w:t>
      </w: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3. Applications Analysis Matrix</w:t>
      </w:r>
    </w:p>
    <w:p>
      <w:pPr>
        <w:spacing w:before="0" w:after="0" w:line="240"/>
        <w:ind w:right="0" w:left="0" w:firstLine="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 xml:space="preserve">All modules integrate with external systems via REST API. EMH never reads from external databases directly. The "API Exists" column indicates whether the API exists or needs to be imlemented</w:t>
      </w:r>
    </w:p>
    <w:p>
      <w:pPr>
        <w:spacing w:before="0" w:after="0" w:line="240"/>
        <w:ind w:right="0" w:left="0" w:firstLine="0"/>
        <w:jc w:val="left"/>
        <w:rPr>
          <w:rFonts w:ascii="Arial" w:hAnsi="Arial" w:cs="Arial" w:eastAsia="Arial"/>
          <w:color w:val="4A5568"/>
          <w:spacing w:val="0"/>
          <w:position w:val="0"/>
          <w:sz w:val="21"/>
          <w:shd w:fill="auto" w:val="clear"/>
        </w:rPr>
      </w:pPr>
    </w:p>
    <w:tbl>
      <w:tblPr/>
      <w:tblGrid>
        <w:gridCol w:w="9260"/>
      </w:tblGrid>
      <w:tr>
        <w:trPr>
          <w:trHeight w:val="1" w:hRule="atLeast"/>
          <w:jc w:val="left"/>
        </w:trPr>
        <w:tc>
          <w:tcPr>
            <w:tcW w:w="9260" w:type="dxa"/>
            <w:tcBorders>
              <w:top w:val="single" w:color="1e4d8c" w:sz="1"/>
              <w:left w:val="single" w:color="1e4d8c" w:sz="8"/>
              <w:bottom w:val="single" w:color="1e4d8c" w:sz="1"/>
              <w:right w:val="single" w:color="1e4d8c" w:sz="1"/>
            </w:tcBorders>
            <w:shd w:color="auto" w:fill="e3f2fd" w:val="clear"/>
            <w:tcMar>
              <w:left w:w="180" w:type="dxa"/>
              <w:right w:w="18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21"/>
                <w:shd w:fill="auto" w:val="clear"/>
              </w:rPr>
              <w:t>Integration Rule: All external data flows through owned API clients only. Direct database readings from any external system are not allowed. Timeout: 15 seconds per call. Unavailable external services return "Service Unavailable" message — other modules remain functional.</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3.1 User Managment</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Internal and External user management. Support in investigating usrs(access/login) errors, user status issues.</w:t>
      </w:r>
    </w:p>
    <w:p>
      <w:pPr>
        <w:tabs>
          <w:tab w:val="left" w:pos="8760" w:leader="none"/>
        </w:tabs>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A5568"/>
          <w:spacing w:val="0"/>
          <w:position w:val="0"/>
          <w:sz w:val="22"/>
          <w:shd w:fill="auto" w:val="clear"/>
        </w:rPr>
        <w:t xml:space="preserve">Primary Search Keys: Email . Username . EID</w:t>
        <w:tab/>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View Attributes: Full User Details</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Backend Owner: Imtias   |   Frontend Owner: AboBakar   </w:t>
      </w:r>
    </w:p>
    <w:tbl>
      <w:tblPr/>
      <w:tblGrid>
        <w:gridCol w:w="2000"/>
        <w:gridCol w:w="2200"/>
        <w:gridCol w:w="3760"/>
        <w:gridCol w:w="1300"/>
      </w:tblGrid>
      <w:tr>
        <w:trPr>
          <w:trHeight w:val="1" w:hRule="atLeast"/>
          <w:jc w:val="left"/>
        </w:trPr>
        <w:tc>
          <w:tcPr>
            <w:tcW w:w="20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Module / Feature</w:t>
            </w:r>
          </w:p>
        </w:tc>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Search Parameters</w:t>
            </w:r>
          </w:p>
        </w:tc>
        <w:tc>
          <w:tcPr>
            <w:tcW w:w="37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Returned Attributes</w:t>
            </w:r>
          </w:p>
        </w:tc>
        <w:tc>
          <w:tcPr>
            <w:tcW w:w="13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API Exists</w:t>
            </w:r>
          </w:p>
        </w:tc>
      </w:tr>
      <w:tr>
        <w:trPr>
          <w:trHeight w:val="1" w:hRule="atLeast"/>
          <w:jc w:val="left"/>
        </w:trPr>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Internal User Search</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Username, Email, Emirates ID</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loginId, email, username, firstName, lastName, nationality, employeeType, mobile, fullName, middleName, emiratesId, hcNumber, uaePassUserUuid, uaePassUserType, countryCode, dhaReferenceNumber, myChartLinked, accountStatus, channel, dob, gender, emiratesExpiryDate, eServiceApplication, userVerifiedStatus, userLockedStatus, facebookId, googleId, passportNumber</w:t>
            </w:r>
          </w:p>
        </w:tc>
        <w:tc>
          <w:tcPr>
            <w:tcW w:w="1300" w:type="dxa"/>
            <w:tcBorders>
              <w:top w:val="single" w:color="bfcde0" w:sz="1"/>
              <w:left w:val="single" w:color="bfcde0" w:sz="1"/>
              <w:bottom w:val="single" w:color="bfcde0" w:sz="1"/>
              <w:right w:val="single" w:color="bfcde0" w:sz="1"/>
            </w:tcBorders>
            <w:shd w:color="auto" w:fill="e8f5e9"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External User Search</w:t>
            </w: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Username, Email, Emirates ID</w:t>
            </w:r>
          </w:p>
        </w:tc>
        <w:tc>
          <w:tcPr>
            <w:tcW w:w="37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Same attributes as Internal User Search</w:t>
            </w:r>
          </w:p>
        </w:tc>
        <w:tc>
          <w:tcPr>
            <w:tcW w:w="1300" w:type="dxa"/>
            <w:tcBorders>
              <w:top w:val="single" w:color="bfcde0" w:sz="1"/>
              <w:left w:val="single" w:color="bfcde0" w:sz="1"/>
              <w:bottom w:val="single" w:color="bfcde0" w:sz="1"/>
              <w:right w:val="single" w:color="bfcde0" w:sz="1"/>
            </w:tcBorders>
            <w:shd w:color="auto" w:fill="auto"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User Roles</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Username, Email, Mobile Number</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 role assignments (roles per system)</w:t>
            </w:r>
          </w:p>
        </w:tc>
        <w:tc>
          <w:tcPr>
            <w:tcW w:w="13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API does not exist in IDAM — must be built</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3.2 Clinical Attachment</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Training applications management. Support in investigating users’ errors, status issues, and payment problems for clinical/medical staff seeking attachment at Dubai Health facilities.</w:t>
      </w:r>
    </w:p>
    <w:p>
      <w:pPr>
        <w:spacing w:before="60" w:after="100" w:line="240"/>
        <w:ind w:right="0" w:left="0" w:firstLine="0"/>
        <w:jc w:val="left"/>
        <w:rPr>
          <w:rFonts w:ascii="Arial" w:hAnsi="Arial" w:cs="Arial" w:eastAsia="Arial"/>
          <w:color w:val="4A5568"/>
          <w:spacing w:val="0"/>
          <w:position w:val="0"/>
          <w:sz w:val="22"/>
          <w:shd w:fill="auto" w:val="clear"/>
        </w:rPr>
      </w:pPr>
      <w:r>
        <w:rPr>
          <w:rFonts w:ascii="Arial" w:hAnsi="Arial" w:cs="Arial" w:eastAsia="Arial"/>
          <w:color w:val="4A5568"/>
          <w:spacing w:val="0"/>
          <w:position w:val="0"/>
          <w:sz w:val="22"/>
          <w:shd w:fill="auto" w:val="clear"/>
        </w:rPr>
        <w:t xml:space="preserve">Backend Owner: Shabeer   |   Frontend Owner: Safaa</w:t>
      </w:r>
    </w:p>
    <w:tbl>
      <w:tblPr/>
      <w:tblGrid>
        <w:gridCol w:w="2200"/>
        <w:gridCol w:w="2000"/>
        <w:gridCol w:w="3760"/>
        <w:gridCol w:w="1300"/>
      </w:tblGrid>
      <w:tr>
        <w:trPr>
          <w:trHeight w:val="1" w:hRule="atLeast"/>
          <w:jc w:val="left"/>
        </w:trPr>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Module / Feature</w:t>
            </w:r>
          </w:p>
        </w:tc>
        <w:tc>
          <w:tcPr>
            <w:tcW w:w="20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Search Parameters</w:t>
            </w:r>
          </w:p>
        </w:tc>
        <w:tc>
          <w:tcPr>
            <w:tcW w:w="37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Actions / View Attributes</w:t>
            </w:r>
          </w:p>
        </w:tc>
        <w:tc>
          <w:tcPr>
            <w:tcW w:w="13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API Exists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Check User Applications</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EID, Application No, Mobile, Email</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View application list and summary</w:t>
            </w:r>
          </w:p>
        </w:tc>
        <w:tc>
          <w:tcPr>
            <w:tcW w:w="1300" w:type="dxa"/>
            <w:tcBorders>
              <w:top w:val="single" w:color="bfcde0" w:sz="1"/>
              <w:left w:val="single" w:color="bfcde0" w:sz="1"/>
              <w:bottom w:val="single" w:color="bfcde0" w:sz="1"/>
              <w:right w:val="single" w:color="bfcde0" w:sz="1"/>
            </w:tcBorders>
            <w:shd w:color="auto" w:fill="e8f5e9"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Checking Application Details &amp; Payment</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From applications result</w:t>
            </w:r>
          </w:p>
        </w:tc>
        <w:tc>
          <w:tcPr>
            <w:tcW w:w="37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Full application details including payment status</w:t>
            </w:r>
          </w:p>
        </w:tc>
        <w:tc>
          <w:tcPr>
            <w:tcW w:w="1300" w:type="dxa"/>
            <w:tcBorders>
              <w:top w:val="single" w:color="bfcde0" w:sz="1"/>
              <w:left w:val="single" w:color="bfcde0" w:sz="1"/>
              <w:bottom w:val="single" w:color="bfcde0" w:sz="1"/>
              <w:right w:val="single" w:color="bfcde0" w:sz="1"/>
            </w:tcBorders>
            <w:shd w:color="auto" w:fill="auto"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Check User ICP Data</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EID</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Applicant ICP data</w:t>
            </w:r>
          </w:p>
        </w:tc>
        <w:tc>
          <w:tcPr>
            <w:tcW w:w="1300" w:type="dxa"/>
            <w:tcBorders>
              <w:top w:val="single" w:color="bfcde0" w:sz="1"/>
              <w:left w:val="single" w:color="bfcde0" w:sz="1"/>
              <w:bottom w:val="single" w:color="bfcde0" w:sz="1"/>
              <w:right w:val="single" w:color="bfcde0" w:sz="1"/>
            </w:tcBorders>
            <w:shd w:color="auto" w:fill="e8f5e9"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Facilities &amp; Specialities</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Facility name, Speciality name</w:t>
            </w:r>
          </w:p>
        </w:tc>
        <w:tc>
          <w:tcPr>
            <w:tcW w:w="37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Mapped facilities and specialities list</w:t>
            </w:r>
          </w:p>
        </w:tc>
        <w:tc>
          <w:tcPr>
            <w:tcW w:w="1300" w:type="dxa"/>
            <w:tcBorders>
              <w:top w:val="single" w:color="bfcde0" w:sz="1"/>
              <w:left w:val="single" w:color="bfcde0" w:sz="1"/>
              <w:bottom w:val="single" w:color="bfcde0" w:sz="1"/>
              <w:right w:val="single" w:color="bfcde0" w:sz="1"/>
            </w:tcBorders>
            <w:shd w:color="auto" w:fill="auto"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Check Application Responsibility</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Reference No</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Who is currently responsible for the application</w:t>
            </w:r>
          </w:p>
        </w:tc>
        <w:tc>
          <w:tcPr>
            <w:tcW w:w="1300" w:type="dxa"/>
            <w:tcBorders>
              <w:top w:val="single" w:color="bfcde0" w:sz="1"/>
              <w:left w:val="single" w:color="bfcde0" w:sz="1"/>
              <w:bottom w:val="single" w:color="bfcde0" w:sz="1"/>
              <w:right w:val="single" w:color="bfcde0" w:sz="1"/>
            </w:tcBorders>
            <w:shd w:color="auto" w:fill="ffebee"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991111"/>
                <w:spacing w:val="0"/>
                <w:position w:val="0"/>
                <w:sz w:val="17"/>
                <w:shd w:fill="auto" w:val="clear"/>
              </w:rPr>
              <w:t xml:space="preserve">✗</w:t>
            </w:r>
            <w:r>
              <w:rPr>
                <w:rFonts w:ascii="Arial" w:hAnsi="Arial" w:cs="Arial" w:eastAsia="Arial"/>
                <w:b/>
                <w:color w:val="991111"/>
                <w:spacing w:val="0"/>
                <w:position w:val="0"/>
                <w:sz w:val="17"/>
                <w:shd w:fill="auto" w:val="clear"/>
              </w:rPr>
              <w:t xml:space="preserve"> No</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3.3 Premarital</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Mandatory health screening certificates for marriage in Dubai. Support team investigate application status, payment issues, and application problems(missing data).</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Backend Owner: Shabeer   |   Frontend Owner: Safaa</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2200"/>
        <w:gridCol w:w="2000"/>
        <w:gridCol w:w="3760"/>
        <w:gridCol w:w="1300"/>
      </w:tblGrid>
      <w:tr>
        <w:trPr>
          <w:trHeight w:val="1" w:hRule="atLeast"/>
          <w:jc w:val="left"/>
        </w:trPr>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Module / Feature</w:t>
            </w:r>
          </w:p>
        </w:tc>
        <w:tc>
          <w:tcPr>
            <w:tcW w:w="20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Search Parameters</w:t>
            </w:r>
          </w:p>
        </w:tc>
        <w:tc>
          <w:tcPr>
            <w:tcW w:w="37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Actions / View Attributes</w:t>
            </w:r>
          </w:p>
        </w:tc>
        <w:tc>
          <w:tcPr>
            <w:tcW w:w="13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API Exists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Application Lookup</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MRN, EID, Email</w:t>
            </w:r>
          </w:p>
        </w:tc>
        <w:tc>
          <w:tcPr>
            <w:tcW w:w="37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Application status, payment status, Name, EID, Nationality, MRN</w:t>
            </w:r>
          </w:p>
        </w:tc>
        <w:tc>
          <w:tcPr>
            <w:tcW w:w="1300" w:type="dxa"/>
            <w:tcBorders>
              <w:top w:val="single" w:color="bfcde0" w:sz="1"/>
              <w:left w:val="single" w:color="bfcde0" w:sz="1"/>
              <w:bottom w:val="single" w:color="bfcde0" w:sz="1"/>
              <w:right w:val="single" w:color="bfcde0" w:sz="1"/>
            </w:tcBorders>
            <w:shd w:color="auto" w:fill="fff3cd"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7A5500"/>
                <w:spacing w:val="0"/>
                <w:position w:val="0"/>
                <w:sz w:val="17"/>
                <w:shd w:fill="auto" w:val="clear"/>
              </w:rPr>
              <w:t xml:space="preserve">? </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Payment Validation</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From application result</w:t>
            </w:r>
          </w:p>
        </w:tc>
        <w:tc>
          <w:tcPr>
            <w:tcW w:w="37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Payment details and current status</w:t>
            </w:r>
          </w:p>
        </w:tc>
        <w:tc>
          <w:tcPr>
            <w:tcW w:w="1300" w:type="dxa"/>
            <w:tcBorders>
              <w:top w:val="single" w:color="bfcde0" w:sz="1"/>
              <w:left w:val="single" w:color="bfcde0" w:sz="1"/>
              <w:bottom w:val="single" w:color="bfcde0" w:sz="1"/>
              <w:right w:val="single" w:color="bfcde0" w:sz="1"/>
            </w:tcBorders>
            <w:shd w:color="auto" w:fill="auto"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7A5500"/>
                <w:spacing w:val="0"/>
                <w:position w:val="0"/>
                <w:sz w:val="17"/>
                <w:shd w:fill="auto" w:val="clear"/>
              </w:rPr>
              <w:t xml:space="preserve">? </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3.4 Patient Services</w:t>
      </w:r>
    </w:p>
    <w:p>
      <w:pPr>
        <w:spacing w:before="0" w:after="0" w:line="240"/>
        <w:ind w:right="0" w:left="0" w:firstLine="0"/>
        <w:jc w:val="left"/>
        <w:rPr>
          <w:rFonts w:ascii="Arial" w:hAnsi="Arial" w:cs="Arial" w:eastAsia="Arial"/>
          <w:color w:val="4A5568"/>
          <w:spacing w:val="0"/>
          <w:position w:val="0"/>
          <w:sz w:val="22"/>
          <w:shd w:fill="auto" w:val="clear"/>
        </w:rPr>
      </w:pPr>
      <w:r>
        <w:rPr>
          <w:rFonts w:ascii="Arial" w:hAnsi="Arial" w:cs="Arial" w:eastAsia="Arial"/>
          <w:color w:val="4A5568"/>
          <w:spacing w:val="0"/>
          <w:position w:val="0"/>
          <w:sz w:val="22"/>
          <w:shd w:fill="auto" w:val="clear"/>
        </w:rPr>
        <w:t xml:space="preserve">The core operational hub (Dubai Health Portal). Manages health card coverage, sick leave certificates, and medical report requests. The patient is the primary search entity.</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Backend Owner: Eng Mind   |   Frontend Owner: Abobakar</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1600"/>
        <w:gridCol w:w="2400"/>
        <w:gridCol w:w="4160"/>
        <w:gridCol w:w="1100"/>
      </w:tblGrid>
      <w:tr>
        <w:trPr>
          <w:trHeight w:val="1" w:hRule="atLeast"/>
          <w:jc w:val="left"/>
        </w:trPr>
        <w:tc>
          <w:tcPr>
            <w:tcW w:w="1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Sub-Module</w:t>
            </w:r>
          </w:p>
        </w:tc>
        <w:tc>
          <w:tcPr>
            <w:tcW w:w="24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Search Parameters</w:t>
            </w:r>
          </w:p>
        </w:tc>
        <w:tc>
          <w:tcPr>
            <w:tcW w:w="41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View Attributes</w:t>
            </w:r>
          </w:p>
        </w:tc>
        <w:tc>
          <w:tcPr>
            <w:tcW w:w="11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API Exists</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Health Card</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MRN, EID, SPTRN, TransactionId, Mobile Number</w:t>
            </w:r>
          </w:p>
        </w:tc>
        <w:tc>
          <w:tcPr>
            <w:tcW w:w="41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MRN, Patient Name, EID, Start/End Date, Patient Status, Nationality, Coverage Name, Digital Card, Online Renewal Eligibility, Payment Status, TransactionId, SPTRN, Amount</w:t>
            </w:r>
          </w:p>
        </w:tc>
        <w:tc>
          <w:tcPr>
            <w:tcW w:w="1100" w:type="dxa"/>
            <w:tcBorders>
              <w:top w:val="single" w:color="bfcde0" w:sz="1"/>
              <w:left w:val="single" w:color="bfcde0" w:sz="1"/>
              <w:bottom w:val="single" w:color="bfcde0" w:sz="1"/>
              <w:right w:val="single" w:color="bfcde0" w:sz="1"/>
            </w:tcBorders>
            <w:shd w:color="auto" w:fill="e8f5e9"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Sick Leave</w:t>
            </w:r>
          </w:p>
        </w:tc>
        <w:tc>
          <w:tcPr>
            <w:tcW w:w="24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MRN, Certificate No, TransactionId, SPTRN, EID, Mobile Number</w:t>
            </w:r>
          </w:p>
        </w:tc>
        <w:tc>
          <w:tcPr>
            <w:tcW w:w="41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MRN, Patient Name, Certificate No, EID, Nationality, Leave Start/End Date, Doctor Name, Facility Name, Sick Leave Status, TransactionId, SPTRN, Created/Modified Date</w:t>
            </w:r>
          </w:p>
        </w:tc>
        <w:tc>
          <w:tcPr>
            <w:tcW w:w="1100" w:type="dxa"/>
            <w:tcBorders>
              <w:top w:val="single" w:color="bfcde0" w:sz="1"/>
              <w:left w:val="single" w:color="bfcde0" w:sz="1"/>
              <w:bottom w:val="single" w:color="bfcde0" w:sz="1"/>
              <w:right w:val="single" w:color="bfcde0" w:sz="1"/>
            </w:tcBorders>
            <w:shd w:color="auto" w:fill="auto"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Medical Report</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RefNumber, MRN, TransactionId, Specialty, EID, Mobile, SPTRN</w:t>
            </w:r>
          </w:p>
        </w:tc>
        <w:tc>
          <w:tcPr>
            <w:tcW w:w="41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RefNumber, MRN, Patient Name, EID, Nationality, Facility Name, Specialty, Report Status, Doctor Name, FilenetVSID, Visit Date, Created Date, TransactionId, Request Date</w:t>
            </w:r>
          </w:p>
        </w:tc>
        <w:tc>
          <w:tcPr>
            <w:tcW w:w="1100" w:type="dxa"/>
            <w:tcBorders>
              <w:top w:val="single" w:color="bfcde0" w:sz="1"/>
              <w:left w:val="single" w:color="bfcde0" w:sz="1"/>
              <w:bottom w:val="single" w:color="bfcde0" w:sz="1"/>
              <w:right w:val="single" w:color="bfcde0" w:sz="1"/>
            </w:tcBorders>
            <w:shd w:color="auto" w:fill="e8f5e9"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b/>
                <w:color w:val="1B6B2F"/>
                <w:spacing w:val="0"/>
                <w:position w:val="0"/>
                <w:sz w:val="17"/>
                <w:shd w:fill="auto" w:val="clear"/>
              </w:rPr>
              <w:t xml:space="preserve">✓</w:t>
            </w:r>
            <w:r>
              <w:rPr>
                <w:rFonts w:ascii="Arial" w:hAnsi="Arial" w:cs="Arial" w:eastAsia="Arial"/>
                <w:b/>
                <w:color w:val="1B6B2F"/>
                <w:spacing w:val="0"/>
                <w:position w:val="0"/>
                <w:sz w:val="17"/>
                <w:shd w:fill="auto" w:val="clear"/>
              </w:rPr>
              <w:t xml:space="preserve"> Yes</w:t>
            </w:r>
          </w:p>
        </w:tc>
      </w:tr>
    </w:tbl>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4. User Roles &amp; Permission Model (Management Hub)</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4.1 Proposed User Roles</w:t>
      </w:r>
    </w:p>
    <w:tbl>
      <w:tblPr/>
      <w:tblGrid>
        <w:gridCol w:w="2000"/>
        <w:gridCol w:w="3500"/>
        <w:gridCol w:w="3860"/>
      </w:tblGrid>
      <w:tr>
        <w:trPr>
          <w:trHeight w:val="1" w:hRule="atLeast"/>
          <w:jc w:val="left"/>
        </w:trPr>
        <w:tc>
          <w:tcPr>
            <w:tcW w:w="200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Role</w:t>
            </w:r>
          </w:p>
        </w:tc>
        <w:tc>
          <w:tcPr>
            <w:tcW w:w="350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Description</w:t>
            </w:r>
          </w:p>
        </w:tc>
        <w:tc>
          <w:tcPr>
            <w:tcW w:w="386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Scope</w:t>
            </w:r>
          </w:p>
        </w:tc>
      </w:tr>
      <w:tr>
        <w:trPr>
          <w:trHeight w:val="1" w:hRule="atLeast"/>
          <w:jc w:val="left"/>
        </w:trPr>
        <w:tc>
          <w:tcPr>
            <w:tcW w:w="20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Super Admin</w:t>
            </w:r>
          </w:p>
        </w:tc>
        <w:tc>
          <w:tcPr>
            <w:tcW w:w="35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Full access to all applications, modules, pages, and actions. Manages users, roles, permissions, applications, and menu structure.</w:t>
            </w:r>
          </w:p>
        </w:tc>
        <w:tc>
          <w:tcPr>
            <w:tcW w:w="386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All Applications</w:t>
            </w:r>
          </w:p>
        </w:tc>
      </w:tr>
      <w:tr>
        <w:trPr>
          <w:trHeight w:val="1" w:hRule="atLeast"/>
          <w:jc w:val="left"/>
        </w:trPr>
        <w:tc>
          <w:tcPr>
            <w:tcW w:w="200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Application Admin</w:t>
            </w:r>
          </w:p>
        </w:tc>
        <w:tc>
          <w:tcPr>
            <w:tcW w:w="350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Full access within assigned applications. Can manage users within their scope, view details, and perform all operational actions.</w:t>
            </w:r>
          </w:p>
        </w:tc>
        <w:tc>
          <w:tcPr>
            <w:tcW w:w="386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Per-Application</w:t>
            </w:r>
          </w:p>
        </w:tc>
      </w:tr>
      <w:tr>
        <w:trPr>
          <w:trHeight w:val="1" w:hRule="atLeast"/>
          <w:jc w:val="left"/>
        </w:trPr>
        <w:tc>
          <w:tcPr>
            <w:tcW w:w="20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Viewer / Read-Only</w:t>
            </w:r>
          </w:p>
        </w:tc>
        <w:tc>
          <w:tcPr>
            <w:tcW w:w="35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View-only access to permitted applications and pages. Cannot create, edit, delete, assign, or export.</w:t>
            </w:r>
          </w:p>
        </w:tc>
        <w:tc>
          <w:tcPr>
            <w:tcW w:w="386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Read Only</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4.2 Permission Level Hierarchy</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Permissions are applied at four levels, from broadest to most granular:</w:t>
      </w:r>
    </w:p>
    <w:p>
      <w:pPr>
        <w:numPr>
          <w:ilvl w:val="0"/>
          <w:numId w:val="11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Level 1 — Application: Can the user see and access this application at all?</w:t>
      </w:r>
    </w:p>
    <w:p>
      <w:pPr>
        <w:numPr>
          <w:ilvl w:val="0"/>
          <w:numId w:val="11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Level 2 — Module: Can the user access this module or sub-application?</w:t>
      </w:r>
    </w:p>
    <w:p>
      <w:pPr>
        <w:numPr>
          <w:ilvl w:val="0"/>
          <w:numId w:val="11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Level 3 — Page: Can the user open this page or menu item?</w:t>
      </w:r>
    </w:p>
    <w:p>
      <w:pPr>
        <w:numPr>
          <w:ilvl w:val="0"/>
          <w:numId w:val="110"/>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Level 4 — Action: Can the user perform this specific action (View / Create / Edit / Delete / Assign / Approve / Close / Export)?</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4.3 Permission Naming Convention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19"/>
          <w:shd w:fill="auto" w:val="clear"/>
        </w:rPr>
        <w:t xml:space="preserve">Format: </w:t>
      </w:r>
      <w:r>
        <w:rPr>
          <w:rFonts w:ascii="Courier New" w:hAnsi="Courier New" w:cs="Courier New" w:eastAsia="Courier New"/>
          <w:color w:val="1E4D8C"/>
          <w:spacing w:val="0"/>
          <w:position w:val="0"/>
          <w:sz w:val="19"/>
          <w:shd w:fill="auto" w:val="clear"/>
        </w:rPr>
        <w:t xml:space="preserve">[application_code].[module].[page].[action]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1A2E"/>
          <w:spacing w:val="0"/>
          <w:position w:val="0"/>
          <w:sz w:val="19"/>
          <w:shd w:fill="auto" w:val="clear"/>
        </w:rPr>
        <w:t xml:space="preserve">Example: </w:t>
      </w:r>
      <w:r>
        <w:rPr>
          <w:rFonts w:ascii="Courier New" w:hAnsi="Courier New" w:cs="Courier New" w:eastAsia="Courier New"/>
          <w:color w:val="1B6B2F"/>
          <w:spacing w:val="0"/>
          <w:position w:val="0"/>
          <w:sz w:val="19"/>
          <w:shd w:fill="auto" w:val="clear"/>
        </w:rPr>
        <w:t xml:space="preserve">ca.applications.detail.view</w:t>
      </w:r>
    </w:p>
    <w:p>
      <w:pPr>
        <w:spacing w:before="60" w:after="100" w:line="240"/>
        <w:ind w:right="0" w:left="0" w:firstLine="0"/>
        <w:jc w:val="left"/>
        <w:rPr>
          <w:rFonts w:ascii="Arial" w:hAnsi="Arial" w:cs="Arial" w:eastAsia="Arial"/>
          <w:b/>
          <w:color w:val="4A5568"/>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FF0000"/>
          <w:spacing w:val="0"/>
          <w:position w:val="0"/>
          <w:sz w:val="28"/>
          <w:shd w:fill="auto" w:val="clear"/>
        </w:rPr>
        <w:t xml:space="preserve">4.4 </w:t>
      </w:r>
      <w:r>
        <w:rPr>
          <w:rFonts w:ascii="Arial" w:hAnsi="Arial" w:cs="Arial" w:eastAsia="Arial"/>
          <w:b/>
          <w:color w:val="002F70"/>
          <w:spacing w:val="0"/>
          <w:position w:val="0"/>
          <w:sz w:val="28"/>
          <w:shd w:fill="auto" w:val="clear"/>
        </w:rPr>
        <w:t xml:space="preserve">Role × Permission Matrix</w:t>
      </w:r>
    </w:p>
    <w:tbl>
      <w:tblPr/>
      <w:tblGrid>
        <w:gridCol w:w="3450"/>
        <w:gridCol w:w="1800"/>
        <w:gridCol w:w="1605"/>
        <w:gridCol w:w="1830"/>
      </w:tblGrid>
      <w:tr>
        <w:trPr>
          <w:trHeight w:val="1" w:hRule="atLeast"/>
          <w:jc w:val="left"/>
        </w:trPr>
        <w:tc>
          <w:tcPr>
            <w:tcW w:w="345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Permission / Feature</w:t>
            </w:r>
          </w:p>
        </w:tc>
        <w:tc>
          <w:tcPr>
            <w:tcW w:w="180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Super Admin</w:t>
            </w:r>
          </w:p>
        </w:tc>
        <w:tc>
          <w:tcPr>
            <w:tcW w:w="1605"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App Admin</w:t>
            </w:r>
          </w:p>
        </w:tc>
        <w:tc>
          <w:tcPr>
            <w:tcW w:w="183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Viewer</w:t>
            </w:r>
          </w:p>
        </w:tc>
      </w:tr>
      <w:tr>
        <w:trPr>
          <w:trHeight w:val="1" w:hRule="atLeast"/>
          <w:jc w:val="left"/>
        </w:trPr>
        <w:tc>
          <w:tcPr>
            <w:tcW w:w="345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View Applications Hub</w:t>
            </w:r>
          </w:p>
        </w:tc>
        <w:tc>
          <w:tcPr>
            <w:tcW w:w="18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All</w:t>
            </w:r>
          </w:p>
        </w:tc>
        <w:tc>
          <w:tcPr>
            <w:tcW w:w="160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Assigned</w:t>
            </w:r>
          </w:p>
        </w:tc>
        <w:tc>
          <w:tcPr>
            <w:tcW w:w="183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Assigned</w:t>
            </w:r>
          </w:p>
        </w:tc>
      </w:tr>
      <w:tr>
        <w:trPr>
          <w:trHeight w:val="264" w:hRule="auto"/>
          <w:jc w:val="left"/>
        </w:trPr>
        <w:tc>
          <w:tcPr>
            <w:tcW w:w="34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View Module Pages</w:t>
            </w:r>
          </w:p>
        </w:tc>
        <w:tc>
          <w:tcPr>
            <w:tcW w:w="180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D6B3E"/>
                <w:spacing w:val="0"/>
                <w:position w:val="0"/>
                <w:sz w:val="17"/>
                <w:shd w:fill="auto" w:val="clear"/>
              </w:rPr>
              <w:t>All</w:t>
            </w:r>
          </w:p>
        </w:tc>
        <w:tc>
          <w:tcPr>
            <w:tcW w:w="1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D6B3E"/>
                <w:spacing w:val="0"/>
                <w:position w:val="0"/>
                <w:sz w:val="17"/>
                <w:shd w:fill="auto" w:val="clear"/>
              </w:rPr>
              <w:t>Assigned</w:t>
            </w:r>
          </w:p>
        </w:tc>
        <w:tc>
          <w:tcPr>
            <w:tcW w:w="183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D6B3E"/>
                <w:spacing w:val="0"/>
                <w:position w:val="0"/>
                <w:sz w:val="17"/>
                <w:shd w:fill="auto" w:val="clear"/>
              </w:rPr>
              <w:t>Assigned</w:t>
            </w:r>
          </w:p>
        </w:tc>
      </w:tr>
      <w:tr>
        <w:trPr>
          <w:trHeight w:val="240" w:hRule="auto"/>
          <w:jc w:val="left"/>
        </w:trPr>
        <w:tc>
          <w:tcPr>
            <w:tcW w:w="345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Create Error Case</w:t>
            </w:r>
          </w:p>
        </w:tc>
        <w:tc>
          <w:tcPr>
            <w:tcW w:w="18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60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83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r>
      <w:tr>
        <w:trPr>
          <w:trHeight w:val="1" w:hRule="atLeast"/>
          <w:jc w:val="left"/>
        </w:trPr>
        <w:tc>
          <w:tcPr>
            <w:tcW w:w="34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Edit / Update Case</w:t>
            </w:r>
          </w:p>
        </w:tc>
        <w:tc>
          <w:tcPr>
            <w:tcW w:w="180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83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r>
      <w:tr>
        <w:trPr>
          <w:trHeight w:val="1" w:hRule="atLeast"/>
          <w:jc w:val="left"/>
        </w:trPr>
        <w:tc>
          <w:tcPr>
            <w:tcW w:w="345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Manage Users</w:t>
            </w:r>
          </w:p>
        </w:tc>
        <w:tc>
          <w:tcPr>
            <w:tcW w:w="18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60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Scoped</w:t>
            </w:r>
          </w:p>
        </w:tc>
        <w:tc>
          <w:tcPr>
            <w:tcW w:w="183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r>
      <w:tr>
        <w:trPr>
          <w:trHeight w:val="252" w:hRule="auto"/>
          <w:jc w:val="left"/>
        </w:trPr>
        <w:tc>
          <w:tcPr>
            <w:tcW w:w="34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Manage Roles &amp; Permissions</w:t>
            </w:r>
          </w:p>
        </w:tc>
        <w:tc>
          <w:tcPr>
            <w:tcW w:w="180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c>
          <w:tcPr>
            <w:tcW w:w="183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r>
      <w:tr>
        <w:trPr>
          <w:trHeight w:val="1" w:hRule="atLeast"/>
          <w:jc w:val="left"/>
        </w:trPr>
        <w:tc>
          <w:tcPr>
            <w:tcW w:w="345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D1B3E"/>
                <w:spacing w:val="0"/>
                <w:position w:val="0"/>
                <w:sz w:val="19"/>
                <w:shd w:fill="auto" w:val="clear"/>
              </w:rPr>
              <w:t xml:space="preserve">View Audit Logs</w:t>
            </w:r>
          </w:p>
        </w:tc>
        <w:tc>
          <w:tcPr>
            <w:tcW w:w="180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60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w:t>
            </w:r>
          </w:p>
        </w:tc>
        <w:tc>
          <w:tcPr>
            <w:tcW w:w="183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4A5568"/>
                <w:spacing w:val="0"/>
                <w:position w:val="0"/>
                <w:sz w:val="19"/>
                <w:shd w:fill="auto" w:val="clear"/>
              </w:rPr>
              <w:t xml:space="preserve">—</w:t>
            </w:r>
          </w:p>
        </w:tc>
      </w:tr>
    </w:tbl>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5. High-Level Architecture &amp; Pattern</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5.1 Recommended Pattern: Modular Monolith + Vertical Slice Architecture</w:t>
      </w:r>
    </w:p>
    <w:p>
      <w:pPr>
        <w:spacing w:before="160" w:after="160" w:line="240"/>
        <w:ind w:right="0" w:left="360" w:firstLine="0"/>
        <w:jc w:val="left"/>
        <w:rPr>
          <w:rFonts w:ascii="Arial" w:hAnsi="Arial" w:cs="Arial" w:eastAsia="Arial"/>
          <w:color w:val="auto"/>
          <w:spacing w:val="0"/>
          <w:position w:val="0"/>
          <w:sz w:val="22"/>
          <w:shd w:fill="E8F0FB" w:val="clear"/>
        </w:rPr>
      </w:pPr>
      <w:r>
        <w:rPr>
          <w:rFonts w:ascii="Arial" w:hAnsi="Arial" w:cs="Arial" w:eastAsia="Arial"/>
          <w:color w:val="0D1B3E"/>
          <w:spacing w:val="0"/>
          <w:position w:val="0"/>
          <w:sz w:val="21"/>
          <w:shd w:fill="E8F0FB" w:val="clear"/>
        </w:rPr>
        <w:t>Recommended: Modular Monolith with Vertical Slice Architecture (VSA) using MediatR. Each feature is self-contained in its own folder (Command/Query + Handler + Validator + Response). Cross-cutting concerns (Permission, Audit, Logging, Validation) are enforced once via MediatR Pipeline Behaviors — applying to every request including HTTP, internal, and background jobs. Microservices are NOT recommended for this application — the complexity overhead (network calls, service discovery, distributed tracing, separate deployments) outweighs any benefit for an internal tool at this scale.</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Reasoning:</w:t>
      </w:r>
    </w:p>
    <w:p>
      <w:pPr>
        <w:numPr>
          <w:ilvl w:val="0"/>
          <w:numId w:val="14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Internal simple tool — no need for independent scaling of individual services</w:t>
      </w:r>
    </w:p>
    <w:p>
      <w:pPr>
        <w:numPr>
          <w:ilvl w:val="0"/>
          <w:numId w:val="14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Modules are logically separated within the monolith — can be extracted to microservices in future if truly required</w:t>
      </w:r>
    </w:p>
    <w:p>
      <w:pPr>
        <w:numPr>
          <w:ilvl w:val="0"/>
          <w:numId w:val="14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Vertical Slice ensures each feature is independently understandable, testable, and deletable — a developer touches one folder to implement, change, or remove a feature.</w:t>
      </w: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FF0000"/>
          <w:spacing w:val="0"/>
          <w:position w:val="0"/>
          <w:sz w:val="28"/>
          <w:shd w:fill="auto" w:val="clear"/>
        </w:rPr>
        <w:t xml:space="preserve">5.2 </w:t>
      </w:r>
      <w:r>
        <w:rPr>
          <w:rFonts w:ascii="Arial" w:hAnsi="Arial" w:cs="Arial" w:eastAsia="Arial"/>
          <w:b/>
          <w:color w:val="002F70"/>
          <w:spacing w:val="0"/>
          <w:position w:val="0"/>
          <w:sz w:val="28"/>
          <w:shd w:fill="auto" w:val="clear"/>
        </w:rPr>
        <w:t xml:space="preserve">Architecture Layer Overview</w:t>
      </w:r>
    </w:p>
    <w:tbl>
      <w:tblPr/>
      <w:tblGrid>
        <w:gridCol w:w="1600"/>
        <w:gridCol w:w="2200"/>
        <w:gridCol w:w="5460"/>
      </w:tblGrid>
      <w:tr>
        <w:trPr>
          <w:trHeight w:val="1" w:hRule="atLeast"/>
          <w:jc w:val="left"/>
        </w:trPr>
        <w:tc>
          <w:tcPr>
            <w:tcW w:w="1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Layer</w:t>
            </w:r>
          </w:p>
        </w:tc>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Technology</w:t>
            </w:r>
          </w:p>
        </w:tc>
        <w:tc>
          <w:tcPr>
            <w:tcW w:w="5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Responsibility</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Presentation</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Angular SPA</w:t>
            </w:r>
          </w:p>
        </w:tc>
        <w:tc>
          <w:tcPr>
            <w:tcW w:w="5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ApplicationsHub, Sidebar, Feature Modules, Admin Panel, Audit Logs</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API</w:t>
            </w: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ASP.NET Core REST</w:t>
            </w:r>
          </w:p>
        </w:tc>
        <w:tc>
          <w:tcPr>
            <w:tcW w:w="5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Minimal Controllers (routing only), MediatR Pipeline Behaviors, Rate Limiting, Audit/Exception/CorrelationId Middleware</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Application</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Handlers / Pipeline Behaviors</w:t>
            </w:r>
          </w:p>
        </w:tc>
        <w:tc>
          <w:tcPr>
            <w:tcW w:w="5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Features (Command/Query + Handler + Validator + Response), Pipeline Behaviors (Permission, Audit, Logging, Validation), IPermissionService, INavigationService</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Shared</w:t>
            </w: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 Interfaces / Base Types</w:t>
            </w:r>
          </w:p>
        </w:tc>
        <w:tc>
          <w:tcPr>
            <w:tcW w:w="5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Shared models and interfaces (ICurrentUser, IPermissionService, EMHDbContext, BaseResponse) — no separate domain isolation layer</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Infrastructure</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EF Core + SQL Server + Polly</w:t>
            </w:r>
          </w:p>
        </w:tc>
        <w:tc>
          <w:tcPr>
            <w:tcW w:w="5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EMHDbContext (used directly by Handlers), IDAMTokenValidator (OIDC JWT validation via IDAM JWKS), External API Clients with Polly (Retry + Circuit Breaker). No Repository layer. No local auth provider.</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Data</w:t>
            </w: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SQL Server</w:t>
            </w:r>
          </w:p>
        </w:tc>
        <w:tc>
          <w:tcPr>
            <w:tcW w:w="5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Auth, Navigation, Audit schemas — EMH-owned tables only</w:t>
            </w:r>
          </w:p>
        </w:tc>
      </w:tr>
      <w:tr>
        <w:trPr>
          <w:trHeight w:val="1" w:hRule="atLeast"/>
          <w:jc w:val="left"/>
        </w:trPr>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External</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REST APIs</w:t>
            </w:r>
          </w:p>
        </w:tc>
        <w:tc>
          <w:tcPr>
            <w:tcW w:w="5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Clinical Attachment, Premarital, Patient Services, IDAM — HTTP only, never direct DB</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6. Backend Architecture Proposal</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6.1 Solution Structure</w:t>
      </w:r>
    </w:p>
    <w:p>
      <w:pPr>
        <w:spacing w:before="6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2"/>
          <w:shd w:fill="auto" w:val="clear"/>
        </w:rPr>
        <w:t xml:space="preserve">Proposed solution structure following Modular Monolith + Vertical Slice Architecture:</w:t>
      </w:r>
    </w:p>
    <w:p>
      <w:pPr>
        <w:numPr>
          <w:ilvl w:val="0"/>
          <w:numId w:val="17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ErrorHub.Api — Entry point. Minimal Controllers (route only — no logic), MediatR pipeline registration, middleware (Exception, CorrelationId, RateLimiter), Program.cs. [RequirePermission] enforced via PermissionBehavior in Pipeline, not Controller attributes.</w:t>
      </w:r>
    </w:p>
    <w:p>
      <w:pPr>
        <w:numPr>
          <w:ilvl w:val="0"/>
          <w:numId w:val="17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ErrorHub.Features — All Vertical Slices live here, organized by module: Auth/, Clinical/, Patient/, Premarital/, Audit/, Admin/. Each feature folder contains: Command or Query, Handler (calls EMHDbContext or API Client directly), Validator (FluentValidation), Response DTO. IPermissionService and INavigationService interfaces defined here. No IAuthService — authentication is fully delegated to IDAM.</w:t>
      </w:r>
    </w:p>
    <w:p>
      <w:pPr>
        <w:numPr>
          <w:ilvl w:val="0"/>
          <w:numId w:val="17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ErrorHub.Shared — Cross-cutting concerns only: EMHDbContext, ICurrentUser, IPermissionService, BaseResponse, shared enums and constants. No business logic. Consumed by ErrorHub.Features and ErrorHub.Infrastructure.</w:t>
      </w:r>
    </w:p>
    <w:p>
      <w:pPr>
        <w:numPr>
          <w:ilvl w:val="0"/>
          <w:numId w:val="17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ErrorHub.Infrastructure — EF Core DbContext + scaffolded models (Generated/ — never hand-edited), IDAMTokenValidator (validates OIDC/JWT tokens issued by IDAM — no local password storage), External API Clients (IDAMApiClient, ClinicalAttachmentApiClient, PatientServicesApiClient, PremaritalApiClient) with Polly Retry + Circuit Breaker. No Repository classes — Handlers use DbContext directly.</w:t>
      </w:r>
    </w:p>
    <w:p>
      <w:pPr>
        <w:numPr>
          <w:ilvl w:val="0"/>
          <w:numId w:val="173"/>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ErrorHub.Tests — Unit tests (PermissionService, PermissionBehavior, feature Handlers, OIDC callback handler) and integration tests (API endpoints including 401/403 validation, OIDC callback flow).</w:t>
      </w:r>
    </w:p>
    <w:p>
      <w:pPr>
        <w:spacing w:before="16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02F70"/>
          <w:spacing w:val="0"/>
          <w:position w:val="0"/>
          <w:sz w:val="22"/>
          <w:shd w:fill="auto" w:val="clear"/>
        </w:rPr>
        <w:t>Figure 1: Backend Architecture — Modular Monolith + Vertical Slice Architecture</w:t>
      </w:r>
    </w:p>
    <w:p>
      <w:pPr>
        <w:spacing w:before="120" w:after="120" w:line="240"/>
        <w:jc w:val="center"/>
      </w:pPr>
      <w:r>
        <w:drawing>
          <wp:inline xmlns:wp="http://schemas.openxmlformats.org/drawingml/2006/wordprocessingDrawing">
            <wp:extent cx="5733228" cy="3890404"/>
            <wp:effectExtent l="0" t="0" r="0" b="0"/>
            <wp:docPr id="10" name="Figure1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 Backend"/>
                    <pic:cNvPicPr>
                      <a:picLocks noChangeAspect="1" noChangeArrowheads="1"/>
                    </pic:cNvPicPr>
                  </pic:nvPicPr>
                  <pic:blipFill>
                    <a:blip xmlns:r="http://schemas.openxmlformats.org/officeDocument/2006/relationships" r:embed="imgBE1"/>
                    <a:stretch>
                      <a:fillRect/>
                    </a:stretch>
                  </pic:blipFill>
                  <pic:spPr bwMode="auto">
                    <a:xfrm>
                      <a:off x="0" y="0"/>
                      <a:ext cx="5733228" cy="3890404"/>
                    </a:xfrm>
                    <a:prstGeom prst="rect">
                      <a:avLst/>
                    </a:prstGeom>
                    <a:noFill/>
                    <a:ln>
                      <a:noFill/>
                    </a:ln>
                  </pic:spPr>
                </pic:pic>
              </a:graphicData>
            </a:graphic>
          </wp:inline>
        </w:drawing>
      </w:r>
    </w:p>
    <w:p>
      <w:pPr>
        <w:spacing w:before="160" w:after="160" w:line="240"/>
        <w:ind w:right="0" w:left="0" w:firstLine="0"/>
        <w:jc w:val="center"/>
        <w:rPr>
          <w:rFonts w:ascii="Calibri" w:hAnsi="Calibri" w:cs="Calibri" w:eastAsia="Calibri"/>
          <w:color w:val="auto"/>
          <w:spacing w:val="0"/>
          <w:position w:val="0"/>
          <w:sz w:val="22"/>
          <w:shd w:fill="auto" w:val="clear"/>
        </w:rPr>
      </w:pPr>
      <w:r>
        <w:object w:dxaOrig="10836" w:dyaOrig="7680">
          <v:rect xmlns:o="urn:schemas-microsoft-com:office:office" xmlns:v="urn:schemas-microsoft-com:vml" id="rectole0000000000" style="width:541.800000pt;height:38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6.2 Global Authorization Default</w:t>
      </w:r>
    </w:p>
    <w:tbl>
      <w:tblPr/>
      <w:tblGrid>
        <w:gridCol w:w="2800"/>
        <w:gridCol w:w="4060"/>
        <w:gridCol w:w="240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Rule</w:t>
            </w:r>
          </w:p>
        </w:tc>
        <w:tc>
          <w:tcPr>
            <w:tcW w:w="40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Implementation</w:t>
            </w:r>
          </w:p>
        </w:tc>
        <w:tc>
          <w:tcPr>
            <w:tcW w:w="24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Applies To</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Require authentication by default</w:t>
            </w:r>
          </w:p>
        </w:tc>
        <w:tc>
          <w:tcPr>
            <w:tcW w:w="40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AddAuthorization() with RequireAuthenticatedUser() as default policy in Program.cs</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 endpoints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Explicit opt-out only</w:t>
            </w:r>
          </w:p>
        </w:tc>
        <w:tc>
          <w:tcPr>
            <w:tcW w:w="40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[AllowAnonymous] applied manually — OIDC callback endpoint only. Logout requires authentication (must know which session to invalidate).</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/api/v1/auth/callback only. GET /api/v1/auth/logout requires valid JWT — returns 401 for unauthenticated requests.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Permission enforcement</w:t>
            </w:r>
          </w:p>
        </w:tc>
        <w:tc>
          <w:tcPr>
            <w:tcW w:w="40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MediatR PermissionBehavior — runs in Pipeline before every Handler. Permission key declared on Command/Query class. No Controller attribute needed.</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 feature endpoints</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FF0000"/>
          <w:spacing w:val="0"/>
          <w:position w:val="0"/>
          <w:sz w:val="28"/>
          <w:shd w:fill="auto" w:val="clear"/>
        </w:rPr>
        <w:t xml:space="preserve">6.3 </w:t>
      </w:r>
      <w:r>
        <w:rPr>
          <w:rFonts w:ascii="Arial" w:hAnsi="Arial" w:cs="Arial" w:eastAsia="Arial"/>
          <w:b/>
          <w:color w:val="002F70"/>
          <w:spacing w:val="0"/>
          <w:position w:val="0"/>
          <w:sz w:val="28"/>
          <w:shd w:fill="auto" w:val="clear"/>
        </w:rPr>
        <w:t xml:space="preserve">EF Core Database First </w:t>
      </w:r>
    </w:p>
    <w:p>
      <w:pPr>
        <w:numPr>
          <w:ilvl w:val="0"/>
          <w:numId w:val="19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All schema changes happen at the database level first, then scaffolded into EF models</w:t>
      </w:r>
    </w:p>
    <w:p>
      <w:pPr>
        <w:numPr>
          <w:ilvl w:val="0"/>
          <w:numId w:val="19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Generated EF models live in Infrastructure/Data/Generated/ — never edit these files manually</w:t>
      </w:r>
    </w:p>
    <w:p>
      <w:pPr>
        <w:numPr>
          <w:ilvl w:val="0"/>
          <w:numId w:val="19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Use partial classes to extend generated models without losing changes on re-scaffold</w:t>
      </w:r>
    </w:p>
    <w:p>
      <w:pPr>
        <w:numPr>
          <w:ilvl w:val="0"/>
          <w:numId w:val="191"/>
        </w:numPr>
        <w:spacing w:before="40" w:after="40" w:line="240"/>
        <w:ind w:right="0" w:left="720" w:hanging="360"/>
        <w:jc w:val="left"/>
        <w:rPr>
          <w:rFonts w:ascii="Arial" w:hAnsi="Arial" w:cs="Arial" w:eastAsia="Arial"/>
          <w:b/>
          <w:color w:val="002F70"/>
          <w:spacing w:val="0"/>
          <w:position w:val="0"/>
          <w:sz w:val="28"/>
          <w:shd w:fill="auto" w:val="clear"/>
        </w:rPr>
      </w:pPr>
      <w:r>
        <w:rPr>
          <w:rFonts w:ascii="Arial" w:hAnsi="Arial" w:cs="Arial" w:eastAsia="Arial"/>
          <w:color w:val="4A5568"/>
          <w:spacing w:val="0"/>
          <w:position w:val="0"/>
          <w:sz w:val="21"/>
          <w:shd w:fill="auto" w:val="clear"/>
        </w:rPr>
        <w:t>EF Core's InMemory provider is used for unit tests only. Integration tests must use SQLite in-process (enforces constraints) or Testcontainers with SQL Server image (full SQL Server behavior). InMemory does NOT enforce foreign keys, unique constraints, or check constraints — never use for integration test assertions. Handlers in ErrorHub.Features reference EMHDbContext from ErrorHub.Shared.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20" w:line="240"/>
        <w:rPr>
          <w:rFonts w:ascii="Arial" w:hAnsi="Arial" w:cs="Arial"/>
          <w:b/>
          <w:color w:val="002F70"/>
          <w:sz w:val="28"/>
        </w:rPr>
      </w:pPr>
      <w:r>
        <w:rPr>
          <w:rFonts w:ascii="Arial" w:hAnsi="Arial" w:cs="Arial"/>
          <w:b/>
          <w:color w:val="002F70"/>
          <w:sz w:val="28"/>
        </w:rPr>
        <w:t>6.4 SSO via IDAM — What EMH Implements</w:t>
      </w:r>
    </w:p>
    <w:p>
      <w:pPr>
        <w:spacing w:before="80" w:after="80" w:line="240"/>
        <w:rPr>
          <w:rFonts w:ascii="Arial" w:hAnsi="Arial" w:cs="Arial"/>
          <w:color w:val="4A5568"/>
          <w:sz w:val="21"/>
        </w:rPr>
      </w:pPr>
      <w:r>
        <w:rPr>
          <w:rFonts w:ascii="Arial" w:hAnsi="Arial" w:cs="Arial"/>
          <w:b/>
          <w:color w:val="0D1B3E"/>
          <w:sz w:val="21"/>
        </w:rPr>
        <w:t>Question: If IDAM handles SSO, what does EMH implement on its side?</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30" w:type="dxa"/>
          <w:right w:w="130" w:type="dxa"/>
        </w:tblCellMar>
      </w:tblPr>
      <w:tblGrid>
        <w:gridCol w:w="2800"/>
        <w:gridCol w:w="6460"/>
      </w:tblGrid>
      <w:tr>
        <w:trPr>
          <w:tblHeader/>
        </w:trPr>
        <w:tc>
          <w:tcPr>
            <w:tcW w:w="2800" w:type="dxa"/>
            <w:tcBorders>
              <w:top w:val="single" w:sz="1" w:space="0" w:color="BFCDE0"/>
              <w:left w:val="single" w:sz="1" w:space="0" w:color="BFCDE0"/>
              <w:bottom w:val="single" w:sz="1" w:space="0" w:color="BFCDE0"/>
              <w:right w:val="single" w:sz="1" w:space="0" w:color="BFCDE0"/>
            </w:tcBorders>
            <w:shd w:val="clear" w:color="auto" w:fill="1E4D8C"/>
            <w:tcMar>
              <w:top w:w="80" w:type="dxa"/>
              <w:left w:w="130" w:type="dxa"/>
              <w:bottom w:w="80" w:type="dxa"/>
              <w:right w:w="130" w:type="dxa"/>
            </w:tcMar>
            <w:vAlign w:val="center"/>
          </w:tcPr>
          <w:p>
            <w:r>
              <w:rPr>
                <w:rFonts w:ascii="Arial" w:hAnsi="Arial" w:cs="Arial"/>
                <w:b/>
                <w:color w:val="FFFFFF"/>
                <w:sz w:val="18"/>
              </w:rPr>
              <w:t>What EMH Implements</w:t>
            </w:r>
          </w:p>
        </w:tc>
        <w:tc>
          <w:tcPr>
            <w:tcW w:w="6460" w:type="dxa"/>
            <w:tcBorders>
              <w:top w:val="single" w:sz="1" w:space="0" w:color="BFCDE0"/>
              <w:left w:val="single" w:sz="1" w:space="0" w:color="BFCDE0"/>
              <w:bottom w:val="single" w:sz="1" w:space="0" w:color="BFCDE0"/>
              <w:right w:val="single" w:sz="1" w:space="0" w:color="BFCDE0"/>
            </w:tcBorders>
            <w:shd w:val="clear" w:color="auto" w:fill="1E4D8C"/>
            <w:tcMar>
              <w:top w:w="80" w:type="dxa"/>
              <w:left w:w="130" w:type="dxa"/>
              <w:bottom w:w="80" w:type="dxa"/>
              <w:right w:w="130" w:type="dxa"/>
            </w:tcMar>
            <w:vAlign w:val="center"/>
          </w:tcPr>
          <w:p>
            <w:r>
              <w:rPr>
                <w:rFonts w:ascii="Arial" w:hAnsi="Arial" w:cs="Arial"/>
                <w:b/>
                <w:color w:val="FFFFFF"/>
                <w:sz w:val="18"/>
              </w:rPr>
              <w:t>Detail</w:t>
            </w:r>
          </w:p>
        </w:tc>
      </w:tr>
      <w:tr>
        <w:tc>
          <w:tcPr>
            <w:tcW w:w="280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OIDC Redirect (Login)</w:t>
            </w:r>
          </w:p>
        </w:tc>
        <w:tc>
          <w:tcPr>
            <w:tcW w:w="646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Angular AuthGuard calls GET /api/v1/auth/me. On 401, backend generates a cryptographically random state parameter, stores it in a short-lived (5-min) server-side session, and redirects browser to IDAM authorization_endpoint with state and code_challenge (PKCE). No EMH login page exists. The returnUrl is stored alongside state for post-authentication redirect.</w:t>
            </w:r>
          </w:p>
        </w:tc>
      </w:tr>
      <w:tr>
        <w:tc>
          <w:tcPr>
            <w:tcW w:w="280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OIDC Callback Handler</w:t>
            </w:r>
          </w:p>
        </w:tc>
        <w:tc>
          <w:tcPr>
            <w:tcW w:w="646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GET /api/v1/auth/callback — [AllowAnonymous]. Receives authorization code from IDAM. Validates OIDC state parameter (anti-CSRF). Exchanges code for tokens at IDAM token_endpoint. Token handling: access_token → stored in HttpOnly SameSite=Lax cookie (used for API authorization on every request); id_token → used to extract user claims (sub, email, name) then discarded, NOT persisted; refresh_token → stays in IDAM, not stored in EMH. Validates access_token JWT signature via IDAM JWKS. Extracts sub claim, maps to EMH Users table via UPSERT. Redirects to Angular app with original return URL (validated against whitelist).</w:t>
            </w:r>
          </w:p>
        </w:tc>
      </w:tr>
      <w:tr>
        <w:tc>
          <w:tcPr>
            <w:tcW w:w="280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JWT Validation (every request)</w:t>
            </w:r>
          </w:p>
        </w:tc>
        <w:tc>
          <w:tcPr>
            <w:tcW w:w="646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ASP.NET Core JwtBearer middleware reads JWT from HttpOnly cookie on every request. Validates: signature (via IDAM JWKS), expiry, issuer, audience. Returns 401 if invalid. EMH never issues or signs tokens.</w:t>
            </w:r>
          </w:p>
        </w:tc>
      </w:tr>
      <w:tr>
        <w:tc>
          <w:tcPr>
            <w:tcW w:w="280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Do we still need JWT / Refresh Token?</w:t>
            </w:r>
          </w:p>
        </w:tc>
        <w:tc>
          <w:tcPr>
            <w:tcW w:w="646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JWT: Yes — IDAM issues the JWT. EMH validates it (reads it, does NOT sign it). Refresh tokens: No — IDAM manages refresh tokens entirely. When the access_token JWT expires, Angular HTTP Interceptor catches the 401 and performs a full-page redirect to IDAM (redirect-based renewal only — iframe silent renew is deprecated and not used). EMH has no /refresh endpoint. The Sessions table in EMH is used only for server-side logout — it is NOT an OAuth refresh token table.</w:t>
            </w:r>
          </w:p>
        </w:tc>
      </w:tr>
      <w:tr>
        <w:tc>
          <w:tcPr>
            <w:tcW w:w="280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User Provisioning</w:t>
            </w:r>
          </w:p>
        </w:tc>
        <w:tc>
          <w:tcPr>
            <w:tcW w:w="646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On first login, EMH extracts the OIDC sub claim from the JWT and performs an atomic UPSERT (INSERT ... ON CONFLICT DO NOTHING / MERGE) on the Users table keyed on IDAMSubjectId = sub. This prevents race conditions from concurrent sessions or multiple API instances. No password is ever stored. Subsequent logins match by IDAMSubjectId.</w:t>
            </w:r>
          </w:p>
        </w:tc>
      </w:tr>
      <w:tr>
        <w:tc>
          <w:tcPr>
            <w:tcW w:w="280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Logout</w:t>
            </w:r>
          </w:p>
        </w:tc>
        <w:tc>
          <w:tcPr>
            <w:tcW w:w="6460" w:type="dxa"/>
            <w:tcBorders>
              <w:top w:val="single" w:sz="1" w:space="0" w:color="BFCDE0"/>
              <w:left w:val="single" w:sz="1" w:space="0" w:color="BFCDE0"/>
              <w:bottom w:val="single" w:sz="1" w:space="0" w:color="BFCDE0"/>
              <w:right w:val="single" w:sz="1" w:space="0" w:color="BFCDE0"/>
            </w:tcBorders>
            <w:shd w:val="clear" w:color="auto" w:fill="EFF3FA"/>
            <w:tcMar>
              <w:top w:w="80" w:type="dxa"/>
              <w:left w:w="130" w:type="dxa"/>
              <w:bottom w:w="80" w:type="dxa"/>
              <w:right w:w="130" w:type="dxa"/>
            </w:tcMar>
            <w:vAlign w:val="center"/>
          </w:tcPr>
          <w:p>
            <w:r>
              <w:rPr>
                <w:rFonts w:ascii="Arial" w:hAnsi="Arial" w:cs="Arial"/>
                <w:color w:val="1A1A2E"/>
                <w:sz w:val="17"/>
              </w:rPr>
              <w:t>GET /api/v1/auth/logout — requires valid JWT (not [AllowAnonymous]). Clears HttpOnly cookie, invalidates EMH Sessions record, redirects to IDAM end_session_endpoint. IDAM invalidates the SSO session across all applications. Post-logout redirect URL must be pre-registered with IDAM — no dynamic redirect_uri accepted.</w:t>
            </w:r>
          </w:p>
        </w:tc>
      </w:tr>
      <w:tr>
        <w:tc>
          <w:tcPr>
            <w:tcW w:w="280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EMH Permission Enforcement</w:t>
            </w:r>
          </w:p>
        </w:tc>
        <w:tc>
          <w:tcPr>
            <w:tcW w:w="6460" w:type="dxa"/>
            <w:tcBorders>
              <w:top w:val="single" w:sz="1" w:space="0" w:color="BFCDE0"/>
              <w:left w:val="single" w:sz="1" w:space="0" w:color="BFCDE0"/>
              <w:bottom w:val="single" w:sz="1" w:space="0" w:color="BFCDE0"/>
              <w:right w:val="single" w:sz="1" w:space="0" w:color="BFCDE0"/>
            </w:tcBorders>
            <w:shd w:val="clear" w:color="auto" w:fill="FFFFFF"/>
            <w:tcMar>
              <w:top w:w="80" w:type="dxa"/>
              <w:left w:w="130" w:type="dxa"/>
              <w:bottom w:w="80" w:type="dxa"/>
              <w:right w:w="130" w:type="dxa"/>
            </w:tcMar>
            <w:vAlign w:val="center"/>
          </w:tcPr>
          <w:p>
            <w:r>
              <w:rPr>
                <w:rFonts w:ascii="Arial" w:hAnsi="Arial" w:cs="Arial"/>
                <w:color w:val="1A1A2E"/>
                <w:sz w:val="17"/>
              </w:rPr>
              <w:t>IDAM authenticates WHO the user is. EMH controls WHAT they can access within EMH. The Roles, Permissions, UserRoles, and UserPermissions tables are entirely owned and managed by EMH — independent of IDAM roles. IDAM roles are NOT used for EMH authorization.</w:t>
            </w:r>
          </w:p>
        </w:tc>
      </w:tr>
    </w:tbl>
    <w:p>
      <w:pPr>
        <w:spacing w:before="80" w:after="80" w:line="240"/>
      </w:pP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FF0000"/>
          <w:spacing w:val="0"/>
          <w:position w:val="0"/>
          <w:sz w:val="28"/>
          <w:shd w:fill="auto" w:val="clear"/>
        </w:rPr>
        <w:t xml:space="preserve">6.5 </w:t>
      </w:r>
      <w:r>
        <w:rPr>
          <w:rFonts w:ascii="Arial" w:hAnsi="Arial" w:cs="Arial" w:eastAsia="Arial"/>
          <w:b/>
          <w:color w:val="002F70"/>
          <w:spacing w:val="0"/>
          <w:position w:val="0"/>
          <w:sz w:val="28"/>
          <w:shd w:fill="auto" w:val="clear"/>
        </w:rPr>
        <w:t xml:space="preserve">Input Validation Strategy </w:t>
      </w:r>
    </w:p>
    <w:tbl>
      <w:tblPr/>
      <w:tblGrid>
        <w:gridCol w:w="1203"/>
        <w:gridCol w:w="6023"/>
        <w:gridCol w:w="2034"/>
      </w:tblGrid>
      <w:tr>
        <w:trPr>
          <w:trHeight w:val="1" w:hRule="atLeast"/>
          <w:jc w:val="left"/>
        </w:trPr>
        <w:tc>
          <w:tcPr>
            <w:tcW w:w="1203"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Decision</w:t>
            </w:r>
          </w:p>
        </w:tc>
        <w:tc>
          <w:tcPr>
            <w:tcW w:w="6023"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Choice</w:t>
            </w:r>
          </w:p>
        </w:tc>
        <w:tc>
          <w:tcPr>
            <w:tcW w:w="2034"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Rationale</w:t>
            </w:r>
          </w:p>
        </w:tc>
      </w:tr>
      <w:tr>
        <w:trPr>
          <w:trHeight w:val="1" w:hRule="atLeast"/>
          <w:jc w:val="left"/>
        </w:trPr>
        <w:tc>
          <w:tcPr>
            <w:tcW w:w="120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Library</w:t>
            </w:r>
          </w:p>
        </w:tc>
        <w:tc>
          <w:tcPr>
            <w:tcW w:w="602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FluentValidation</w:t>
            </w:r>
          </w:p>
        </w:tc>
        <w:tc>
          <w:tcPr>
            <w:tcW w:w="2034"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Separates validation rules from DTO classes. Each validator is a standalone class co-located with its use case.</w:t>
            </w:r>
          </w:p>
        </w:tc>
      </w:tr>
      <w:tr>
        <w:trPr>
          <w:trHeight w:val="1" w:hRule="atLeast"/>
          <w:jc w:val="left"/>
        </w:trPr>
        <w:tc>
          <w:tcPr>
            <w:tcW w:w="120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Location</w:t>
            </w:r>
          </w:p>
        </w:tc>
        <w:tc>
          <w:tcPr>
            <w:tcW w:w="602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ErrorHub.Features layer only</w:t>
            </w:r>
          </w:p>
        </w:tc>
        <w:tc>
          <w:tcPr>
            <w:tcW w:w="2034"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Controllers do not validate — they deserialize and call the service. Validation in controllers couples it to the delivery mechanism.</w:t>
            </w:r>
          </w:p>
        </w:tc>
      </w:tr>
      <w:tr>
        <w:trPr>
          <w:trHeight w:val="1" w:hRule="atLeast"/>
          <w:jc w:val="left"/>
        </w:trPr>
        <w:tc>
          <w:tcPr>
            <w:tcW w:w="120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Registration</w:t>
            </w:r>
          </w:p>
        </w:tc>
        <w:tc>
          <w:tcPr>
            <w:tcW w:w="602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AddValidatorsFromAssembly(typeof(FeaturesAssemblyMarker).Assembly)</w:t>
            </w:r>
          </w:p>
        </w:tc>
        <w:tc>
          <w:tcPr>
            <w:tcW w:w="2034"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Auto-discovers all AbstractValidator&lt;T&gt; classes. No manual registration per validator.</w:t>
            </w:r>
          </w:p>
        </w:tc>
      </w:tr>
      <w:tr>
        <w:trPr>
          <w:trHeight w:val="1" w:hRule="atLeast"/>
          <w:jc w:val="left"/>
        </w:trPr>
        <w:tc>
          <w:tcPr>
            <w:tcW w:w="120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400 Response shape</w:t>
            </w:r>
          </w:p>
        </w:tc>
        <w:tc>
          <w:tcPr>
            <w:tcW w:w="602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{"type":"validation_error","errors":[{"field":"username","message":"..."}]}</w:t>
            </w:r>
          </w:p>
        </w:tc>
        <w:tc>
          <w:tcPr>
            <w:tcW w:w="2034"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Consistent across all endpoints. Matches api-response.model.ts in Angular.</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6.6 API Versioning</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19"/>
          <w:shd w:fill="auto" w:val="clear"/>
        </w:rPr>
        <w:t xml:space="preserve">All API routes use the /api/v1/ prefix. This enables non-breaking fuature changes.</w:t>
      </w:r>
    </w:p>
    <w:p>
      <w:pPr>
        <w:numPr>
          <w:ilvl w:val="0"/>
          <w:numId w:val="212"/>
        </w:numPr>
        <w:spacing w:before="0" w:after="0" w:line="240"/>
        <w:ind w:right="0" w:left="720" w:hanging="360"/>
        <w:jc w:val="left"/>
        <w:rPr>
          <w:rFonts w:ascii="Arial" w:hAnsi="Arial" w:cs="Arial" w:eastAsia="Arial"/>
          <w:color w:val="1A1A2E"/>
          <w:spacing w:val="0"/>
          <w:position w:val="0"/>
          <w:sz w:val="19"/>
          <w:shd w:fill="auto" w:val="clear"/>
        </w:rPr>
      </w:pPr>
      <w:r>
        <w:rPr>
          <w:rFonts w:ascii="Arial" w:hAnsi="Arial" w:cs="Arial" w:eastAsia="Arial"/>
          <w:color w:val="1A1A2E"/>
          <w:spacing w:val="0"/>
          <w:position w:val="0"/>
          <w:sz w:val="19"/>
          <w:shd w:fill="auto" w:val="clear"/>
        </w:rPr>
        <w:t xml:space="preserve">All feature endpoints: /api/v1/{module}/{resource}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6.7 External Integration Layer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19"/>
          <w:shd w:fill="auto" w:val="clear"/>
        </w:rPr>
        <w:t>Each external system is accessed through an interface defined in ErrorHub.Features (or ErrorHub.Shared) and implemented in ErrorHub.Infrastructure — the same Vertical Slice dependency inversion pattern used throughout the application.</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2600"/>
        <w:gridCol w:w="2400"/>
        <w:gridCol w:w="2260"/>
        <w:gridCol w:w="2000"/>
      </w:tblGrid>
      <w:tr>
        <w:trPr>
          <w:trHeight w:val="1" w:hRule="atLeast"/>
          <w:jc w:val="left"/>
        </w:trPr>
        <w:tc>
          <w:tcPr>
            <w:tcW w:w="2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Application Layer Interface</w:t>
            </w:r>
          </w:p>
        </w:tc>
        <w:tc>
          <w:tcPr>
            <w:tcW w:w="24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Infrastructure Implementation</w:t>
            </w:r>
          </w:p>
        </w:tc>
        <w:tc>
          <w:tcPr>
            <w:tcW w:w="22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External System</w:t>
            </w:r>
          </w:p>
        </w:tc>
        <w:tc>
          <w:tcPr>
            <w:tcW w:w="20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API Status</w:t>
            </w: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IUserManagementClient</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IDAMApiClient</w:t>
            </w:r>
          </w:p>
        </w:tc>
        <w:tc>
          <w:tcPr>
            <w:tcW w:w="22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IDAM REST API</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Confirmed (Get Roles: missing — must be built)</w:t>
            </w: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IClinicalAttachmentClient</w:t>
            </w:r>
          </w:p>
        </w:tc>
        <w:tc>
          <w:tcPr>
            <w:tcW w:w="24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ClinicalAttachmentApiClient</w:t>
            </w:r>
          </w:p>
        </w:tc>
        <w:tc>
          <w:tcPr>
            <w:tcW w:w="22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Clinical Attachment REST API</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4 of 5 endpoints confirmed</w:t>
            </w: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IPremaritalClient</w:t>
            </w:r>
          </w:p>
        </w:tc>
        <w:tc>
          <w:tcPr>
            <w:tcW w:w="24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PremaritalApiClient</w:t>
            </w:r>
          </w:p>
        </w:tc>
        <w:tc>
          <w:tcPr>
            <w:tcW w:w="22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Premarital REST API</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 BLOCKED — API existence unconfirmed. No Handler implementation until API confirmed. </w:t>
            </w: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IPatientServicesClient</w:t>
            </w:r>
          </w:p>
        </w:tc>
        <w:tc>
          <w:tcPr>
            <w:tcW w:w="24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PatientServicesApiClient</w:t>
            </w:r>
          </w:p>
        </w:tc>
        <w:tc>
          <w:tcPr>
            <w:tcW w:w="22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Patient Services REST API</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Segoe UI Symbol" w:hAnsi="Segoe UI Symbol" w:cs="Segoe UI Symbol" w:eastAsia="Segoe UI Symbol"/>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All 3 sub-modules confirmed</w:t>
            </w:r>
          </w:p>
        </w:tc>
      </w:tr>
    </w:tbl>
    <w:p>
      <w:pPr>
        <w:spacing w:before="0" w:after="0" w:line="240"/>
        <w:ind w:right="0" w:left="0" w:firstLine="0"/>
        <w:jc w:val="left"/>
        <w:rPr>
          <w:rFonts w:ascii="Arial" w:hAnsi="Arial" w:cs="Arial" w:eastAsia="Arial"/>
          <w:color w:val="auto"/>
          <w:spacing w:val="0"/>
          <w:position w:val="0"/>
          <w:sz w:val="22"/>
          <w:shd w:fill="auto" w:val="clear"/>
        </w:rPr>
      </w:pP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Integration Requirement</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Specification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Timeout</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10 seconds per external call (configurable per environment)</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Retry</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1 retry with 2-second delay for 5xx. No retry on 4xx.</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Circuit breaker</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Open after 5 consecutive failures. Half-open after 30 seconds.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Credentials</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API keys in Azure Key Vault or environment variables — NEVER in appsettings.json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Failure UX</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Graceful "Service Unavailable" per module. Other modules remain functional.</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Error logging</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 external failures logged to ErrorLogs: ModuleCode, Endpoint, StatusCode, ExceptionType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Prohibited</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Direct database reads from any external system. All data via owned API clients only.</w:t>
            </w:r>
          </w:p>
        </w:tc>
      </w:tr>
    </w:tbl>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7. Security Architecture</w:t>
      </w:r>
    </w:p>
    <w:tbl>
      <w:tblPr/>
      <w:tblGrid>
        <w:gridCol w:w="9260"/>
      </w:tblGrid>
      <w:tr>
        <w:trPr>
          <w:trHeight w:val="1" w:hRule="atLeast"/>
          <w:jc w:val="left"/>
        </w:trPr>
        <w:tc>
          <w:tcPr>
            <w:tcW w:w="9260" w:type="dxa"/>
            <w:tcBorders>
              <w:top w:val="single" w:color="cc0000" w:sz="1"/>
              <w:left w:val="single" w:color="cc0000" w:sz="8"/>
              <w:bottom w:val="single" w:color="cc0000" w:sz="1"/>
              <w:right w:val="single" w:color="cc0000" w:sz="1"/>
            </w:tcBorders>
            <w:shd w:color="auto" w:fill="ffebee" w:val="clear"/>
            <w:tcMar>
              <w:left w:w="180" w:type="dxa"/>
              <w:right w:w="180" w:type="dxa"/>
            </w:tcMar>
            <w:vAlign w:val="top"/>
          </w:tcPr>
          <w:p>
            <w:pPr>
              <w:spacing w:before="0" w:after="0" w:line="240"/>
              <w:ind w:right="0" w:left="0" w:firstLine="0"/>
              <w:jc w:val="left"/>
              <w:rPr>
                <w:spacing w:val="0"/>
                <w:position w:val="0"/>
              </w:rPr>
            </w:pPr>
            <w:r>
              <w:rPr>
                <w:rFonts w:ascii="Arial" w:hAnsi="Arial" w:cs="Arial" w:eastAsia="Arial"/>
                <w:color w:val="1A1A2E"/>
                <w:spacing w:val="0"/>
                <w:position w:val="0"/>
                <w:sz w:val="18"/>
                <w:shd w:fill="auto" w:val="clear"/>
              </w:rPr>
              <w:t xml:space="preserve">Frontend authorization is for UX ONLY. Every backend endpoint MUST validate JWT AND check permissions server-side. This is the real security boundary.</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7.1 Authentication (Phase 1)</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Authentication delegated to IDAM via OpenID Connect (OIDC). EMH redirects unauthenticated users to the IDAM authorization endpoint. EMH does NOT store or validate passwords.</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IDAM issues signed JWT access tokens (RS256). EMH validates the JWT signature using IDAM’s public JWKS endpoint. EMH never signs tokens — private key stays in IDAM. EMH only needs the IDAM JWKS URI (public key endpoint) configured in appsettings.</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Account lockout: managed entirely by IDAM. EMH has no visibility into failed login attempts.</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 xml:space="preserve">Lockout duration: configured in IDAM, not in EMH.</w:t>
      </w:r>
    </w:p>
    <w:p>
      <w:pPr>
        <w:numPr>
          <w:ilvl w:val="0"/>
          <w:numId w:val="261"/>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 xml:space="preserve">Logout: EMH clears the local HttpOnly cookie and redirects to IDAM end_session_endpoint (OIDC logout). IDAM handles token revocation on its side.</w:t>
      </w:r>
    </w:p>
    <w:p>
      <w:pPr>
        <w:numPr>
          <w:ilvl w:val="0"/>
          <w:numId w:val="261"/>
        </w:numPr>
        <w:spacing w:before="40" w:after="40" w:line="240"/>
        <w:ind w:right="0" w:left="720" w:hanging="360"/>
        <w:jc w:val="left"/>
        <w:rPr>
          <w:rFonts w:ascii="Arial" w:hAnsi="Arial" w:cs="Arial" w:eastAsia="Arial"/>
          <w:color w:val="4A5568"/>
          <w:spacing w:val="0"/>
          <w:position w:val="0"/>
          <w:sz w:val="21"/>
          <w:shd w:fill="auto" w:val="clear"/>
        </w:rPr>
      </w:pPr>
      <w:r>
        <w:rPr>
          <w:rFonts w:ascii="Arial" w:hAnsi="Arial" w:cs="Arial" w:eastAsia="Arial"/>
          <w:color w:val="4A5568"/>
          <w:spacing w:val="0"/>
          <w:position w:val="0"/>
          <w:sz w:val="21"/>
          <w:shd w:fill="auto" w:val="clear"/>
        </w:rPr>
        <w:t>Token storage: EMH stores the IDAM-issued JWT in an HttpOnly cookie (SameSite=Lax). Token is never exposed to JavaScript. CSRF protection via SameSite=Lax + strict CORS policy. Tokens are NOT stored in localStorage.</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Username enumeration: not applicable — EMH has no login form or credential endpoint. All credential handling is performed exclusively by IDAM. EMH only receives the OIDC authorization code after IDAM has completed authentication.</w:t>
      </w:r>
    </w:p>
    <w:p>
      <w:pPr>
        <w:numPr>
          <w:ilvl w:val="0"/>
          <w:numId w:val="261"/>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4A5568"/>
          <w:spacing w:val="0"/>
          <w:position w:val="0"/>
          <w:sz w:val="21"/>
          <w:shd w:fill="auto" w:val="clear"/>
        </w:rPr>
        <w:t>Rate limiting on EMH API endpoints: 429 responses return Retry-After header only. The IDAM login page has its own rate limiting managed by IDAM — EMH does not control it.</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7.2 Authorization</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Rule</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Implementation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Default policy</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RequireAuthenticatedUser() — all endpoints require valid JWT by default </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Explicit opt-out</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[AllowAnonymous] on OIDC callback endpoint only (/api/v1/auth/callback)</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Granular control</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PermissionBehavior — runs in Pipeline before every Handler. Permission key declared on Command/Query class. No Controller attribute needed.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Permission resolution</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Role permissions </w:t>
            </w:r>
            <w:r>
              <w:rPr>
                <w:rFonts w:ascii="Cambria Math" w:hAnsi="Cambria Math" w:cs="Cambria Math" w:eastAsia="Cambria Math"/>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UserPermissions override </w:t>
            </w:r>
            <w:r>
              <w:rPr>
                <w:rFonts w:ascii="Cambria Math" w:hAnsi="Cambria Math" w:cs="Cambria Math" w:eastAsia="Cambria Math"/>
                <w:color w:val="1A1A2E"/>
                <w:spacing w:val="0"/>
                <w:position w:val="0"/>
                <w:sz w:val="17"/>
                <w:shd w:fill="auto" w:val="clear"/>
              </w:rPr>
              <w:t xml:space="preserve">→</w:t>
            </w:r>
            <w:r>
              <w:rPr>
                <w:rFonts w:ascii="Arial" w:hAnsi="Arial" w:cs="Arial" w:eastAsia="Arial"/>
                <w:color w:val="1A1A2E"/>
                <w:spacing w:val="0"/>
                <w:position w:val="0"/>
                <w:sz w:val="17"/>
                <w:shd w:fill="auto" w:val="clear"/>
              </w:rPr>
              <w:t xml:space="preserve"> deny by default </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403 response</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Returned for valid JWT with insufficient permissions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401 response</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Returned for missing, invalid, or expired JWT</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Unauthorized access attempts logged to AuditLogs with UserId, IP, endpoint</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Least privilege</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 permissions granted by default. All permissions explicitly assigned.</w:t>
            </w:r>
          </w:p>
        </w:tc>
      </w:tr>
    </w:tbl>
    <w:p>
      <w:pPr>
        <w:spacing w:before="240" w:after="120" w:line="240"/>
        <w:ind w:right="0" w:left="0" w:firstLine="0"/>
        <w:jc w:val="left"/>
        <w:rPr>
          <w:rFonts w:ascii="Arial" w:hAnsi="Arial" w:cs="Arial" w:eastAsia="Arial"/>
          <w:b/>
          <w:color w:val="002F70"/>
          <w:spacing w:val="0"/>
          <w:position w:val="0"/>
          <w:sz w:val="28"/>
          <w:shd w:fill="FFFF00" w:val="clear"/>
        </w:rPr>
      </w:pPr>
      <w:r>
        <w:rPr>
          <w:rFonts w:ascii="Arial" w:hAnsi="Arial" w:cs="Arial" w:eastAsia="Arial"/>
          <w:b/>
          <w:color w:val="002F70"/>
          <w:spacing w:val="0"/>
          <w:position w:val="0"/>
          <w:sz w:val="28"/>
          <w:shd w:fill="FFFF00" w:val="clear"/>
        </w:rPr>
        <w:t>7.3 Password Policy</w:t>
      </w:r>
    </w:p>
    <w:p>
      <w:pPr>
        <w:numPr>
          <w:ilvl w:val="0"/>
          <w:numId w:val="291"/>
        </w:numPr>
        <w:spacing w:before="40" w:after="40" w:line="240"/>
        <w:ind w:right="0" w:left="720" w:hanging="360"/>
        <w:jc w:val="left"/>
        <w:rPr>
          <w:rFonts w:ascii="Arial" w:hAnsi="Arial" w:cs="Arial" w:eastAsia="Arial"/>
          <w:color w:val="auto"/>
          <w:spacing w:val="0"/>
          <w:position w:val="0"/>
          <w:sz w:val="22"/>
          <w:shd w:fill="FFFF00" w:val="clear"/>
        </w:rPr>
      </w:pPr>
      <w:r>
        <w:rPr>
          <w:rFonts w:ascii="Arial" w:hAnsi="Arial" w:cs="Arial" w:eastAsia="Arial"/>
          <w:color w:val="4A5568"/>
          <w:spacing w:val="0"/>
          <w:position w:val="0"/>
          <w:sz w:val="21"/>
          <w:shd w:fill="FFFF00" w:val="clear"/>
        </w:rPr>
        <w:t xml:space="preserve">Password policy is managed entirely by IDAM. EMH does not store, validate, or enforce passwords. The following policy is recommended to IDAM team for configuration:</w:t>
      </w:r>
    </w:p>
    <w:p>
      <w:pPr>
        <w:numPr>
          <w:ilvl w:val="0"/>
          <w:numId w:val="291"/>
        </w:numPr>
        <w:spacing w:before="40" w:after="40" w:line="240"/>
        <w:ind w:right="0" w:left="720" w:hanging="360"/>
        <w:jc w:val="left"/>
        <w:rPr>
          <w:rFonts w:ascii="Arial" w:hAnsi="Arial" w:cs="Arial" w:eastAsia="Arial"/>
          <w:color w:val="auto"/>
          <w:spacing w:val="0"/>
          <w:position w:val="0"/>
          <w:sz w:val="22"/>
          <w:shd w:fill="FFFF00" w:val="clear"/>
        </w:rPr>
      </w:pPr>
      <w:r>
        <w:rPr>
          <w:rFonts w:ascii="Arial" w:hAnsi="Arial" w:cs="Arial" w:eastAsia="Arial"/>
          <w:color w:val="4A5568"/>
          <w:spacing w:val="0"/>
          <w:position w:val="0"/>
          <w:sz w:val="21"/>
          <w:shd w:fill="FFFF00" w:val="clear"/>
        </w:rPr>
        <w:t xml:space="preserve">Minimum 10 characters, must include uppercase, lowercase, number, and special character</w:t>
      </w:r>
    </w:p>
    <w:p>
      <w:pPr>
        <w:numPr>
          <w:ilvl w:val="0"/>
          <w:numId w:val="291"/>
        </w:numPr>
        <w:spacing w:before="40" w:after="40" w:line="240"/>
        <w:ind w:right="0" w:left="720" w:hanging="360"/>
        <w:jc w:val="left"/>
        <w:rPr>
          <w:rFonts w:ascii="Arial" w:hAnsi="Arial" w:cs="Arial" w:eastAsia="Arial"/>
          <w:color w:val="auto"/>
          <w:spacing w:val="0"/>
          <w:position w:val="0"/>
          <w:sz w:val="22"/>
          <w:shd w:fill="FFFF00" w:val="clear"/>
        </w:rPr>
      </w:pPr>
      <w:r>
        <w:rPr>
          <w:rFonts w:ascii="Arial" w:hAnsi="Arial" w:cs="Arial" w:eastAsia="Arial"/>
          <w:color w:val="4A5568"/>
          <w:spacing w:val="0"/>
          <w:position w:val="0"/>
          <w:sz w:val="21"/>
          <w:shd w:fill="FFFF00" w:val="clear"/>
        </w:rPr>
        <w:t xml:space="preserve">No reuse of last 5 passwords. 90-day expiry (configurable in IDAM).</w:t>
      </w:r>
    </w:p>
    <w:p>
      <w:pPr>
        <w:numPr>
          <w:ilvl w:val="0"/>
          <w:numId w:val="291"/>
        </w:numPr>
        <w:spacing w:before="40" w:after="40" w:line="240"/>
        <w:ind w:right="0" w:left="720" w:hanging="360"/>
        <w:jc w:val="left"/>
        <w:rPr>
          <w:rFonts w:ascii="Arial" w:hAnsi="Arial" w:cs="Arial" w:eastAsia="Arial"/>
          <w:color w:val="auto"/>
          <w:spacing w:val="0"/>
          <w:position w:val="0"/>
          <w:sz w:val="22"/>
          <w:shd w:fill="FFFF00" w:val="clear"/>
        </w:rPr>
      </w:pPr>
      <w:r>
        <w:rPr>
          <w:rFonts w:ascii="Arial" w:hAnsi="Arial" w:cs="Arial" w:eastAsia="Arial"/>
          <w:color w:val="4A5568"/>
          <w:spacing w:val="0"/>
          <w:position w:val="0"/>
          <w:sz w:val="21"/>
          <w:shd w:fill="FFFF00" w:val="clear"/>
        </w:rPr>
        <w:t xml:space="preserve">Account lockout after 5 failed attempts, 30-minute lockout. All enforced in IDAM — not in EMH.</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7.4 Direct URL Access Security Flow</w:t>
      </w:r>
    </w:p>
    <w:tbl>
      <w:tblPr/>
      <w:tblGrid>
        <w:gridCol w:w="651"/>
        <w:gridCol w:w="2122"/>
        <w:gridCol w:w="6487"/>
      </w:tblGrid>
      <w:tr>
        <w:trPr>
          <w:trHeight w:val="1" w:hRule="atLeast"/>
          <w:jc w:val="left"/>
        </w:trPr>
        <w:tc>
          <w:tcPr>
            <w:tcW w:w="651"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Step</w:t>
            </w:r>
          </w:p>
        </w:tc>
        <w:tc>
          <w:tcPr>
            <w:tcW w:w="2122"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Actor</w:t>
            </w:r>
          </w:p>
        </w:tc>
        <w:tc>
          <w:tcPr>
            <w:tcW w:w="6487"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Action</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1</w:t>
            </w:r>
          </w:p>
        </w:tc>
        <w:tc>
          <w:tcPr>
            <w:tcW w:w="2122"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Angular AuthGuard</w:t>
            </w:r>
          </w:p>
        </w:tc>
        <w:tc>
          <w:tcPr>
            <w:tcW w:w="6487"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Calls GET /api/v1/auth/me (lightweight session check — cannot read HttpOnly cookie from JavaScript). Returns 200 if session valid, 401 if not. On 401, redirects browser to IDAM authorization_endpoint (OIDC login). No EMH login page exists.</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2</w:t>
            </w:r>
          </w:p>
        </w:tc>
        <w:tc>
          <w:tcPr>
            <w:tcW w:w="212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Angular PermissionGuard</w:t>
            </w:r>
          </w:p>
        </w:tc>
        <w:tc>
          <w:tcPr>
            <w:tcW w:w="6487"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Reads cached permission set — NO network call. Redirects to 403 page if permission absent</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3</w:t>
            </w:r>
          </w:p>
        </w:tc>
        <w:tc>
          <w:tcPr>
            <w:tcW w:w="2122"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Angular</w:t>
            </w:r>
          </w:p>
        </w:tc>
        <w:tc>
          <w:tcPr>
            <w:tcW w:w="6487"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Page loads and calls backend API</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w:t>
            </w:r>
          </w:p>
        </w:tc>
        <w:tc>
          <w:tcPr>
            <w:tcW w:w="212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ASP.NET Core Middleware</w:t>
            </w:r>
          </w:p>
        </w:tc>
        <w:tc>
          <w:tcPr>
            <w:tcW w:w="6487"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Validates JWT signature and expiry. Returns 401 if invalid</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5</w:t>
            </w:r>
          </w:p>
        </w:tc>
        <w:tc>
          <w:tcPr>
            <w:tcW w:w="2122"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PermissionBehavior</w:t>
            </w:r>
          </w:p>
        </w:tc>
        <w:tc>
          <w:tcPr>
            <w:tcW w:w="6487"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PermissionBehavior checks permissions via IPermissionService + IMemoryCache (10-min cache). Returns 403 if insufficient. Runs before any Handler executes.</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6</w:t>
            </w:r>
          </w:p>
        </w:tc>
        <w:tc>
          <w:tcPr>
            <w:tcW w:w="212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Backend</w:t>
            </w:r>
          </w:p>
        </w:tc>
        <w:tc>
          <w:tcPr>
            <w:tcW w:w="6487"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Returns 200 OK with data or 403 Forbidden</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7</w:t>
            </w:r>
          </w:p>
        </w:tc>
        <w:tc>
          <w:tcPr>
            <w:tcW w:w="2122"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AuditBehavior</w:t>
            </w:r>
          </w:p>
        </w:tc>
        <w:tc>
          <w:tcPr>
            <w:tcW w:w="6487"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MediatR AuditBehavior logs every action result (success or 403 denial) with UserId, IP, endpoint, timestamp to AuditLogs table.</w:t>
            </w:r>
          </w:p>
        </w:tc>
      </w:tr>
      <w:tr>
        <w:trPr>
          <w:trHeight w:val="1" w:hRule="atLeast"/>
          <w:jc w:val="left"/>
        </w:trPr>
        <w:tc>
          <w:tcPr>
            <w:tcW w:w="6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8</w:t>
            </w:r>
          </w:p>
        </w:tc>
        <w:tc>
          <w:tcPr>
            <w:tcW w:w="212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Angular Interceptor</w:t>
            </w:r>
          </w:p>
        </w:tc>
        <w:tc>
          <w:tcPr>
            <w:tcW w:w="6487"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Shows Not Authorized page on 403 responses</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7.5 Rate Limiting </w:t>
      </w:r>
    </w:p>
    <w:tbl>
      <w:tblPr/>
      <w:tblGrid>
        <w:gridCol w:w="2800"/>
        <w:gridCol w:w="2000"/>
        <w:gridCol w:w="1500"/>
        <w:gridCol w:w="29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Endpoint / Scope</w:t>
            </w:r>
          </w:p>
        </w:tc>
        <w:tc>
          <w:tcPr>
            <w:tcW w:w="20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Policy</w:t>
            </w:r>
          </w:p>
        </w:tc>
        <w:tc>
          <w:tcPr>
            <w:tcW w:w="15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Limit</w:t>
            </w:r>
          </w:p>
        </w:tc>
        <w:tc>
          <w:tcPr>
            <w:tcW w:w="29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Response on Exceed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/api/v1/auth/callback</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Fixed window per IP</w:t>
            </w:r>
          </w:p>
        </w:tc>
        <w:tc>
          <w:tcPr>
            <w:tcW w:w="15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30 req / minute</w:t>
            </w:r>
          </w:p>
        </w:tc>
        <w:tc>
          <w:tcPr>
            <w:tcW w:w="29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429 Too Many Requests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/api/v1/auth/logout</w:t>
            </w:r>
          </w:p>
        </w:tc>
        <w:tc>
          <w:tcPr>
            <w:tcW w:w="20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Fixed window per IP</w:t>
            </w:r>
          </w:p>
        </w:tc>
        <w:tc>
          <w:tcPr>
            <w:tcW w:w="15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10 req / minute</w:t>
            </w:r>
          </w:p>
        </w:tc>
        <w:tc>
          <w:tcPr>
            <w:tcW w:w="29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429 Too Many Requests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 authenticated endpoints</w:t>
            </w:r>
          </w:p>
        </w:tc>
        <w:tc>
          <w:tcPr>
            <w:tcW w:w="20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Sliding window per userId</w:t>
            </w:r>
          </w:p>
        </w:tc>
        <w:tc>
          <w:tcPr>
            <w:tcW w:w="15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20 req / minute</w:t>
            </w:r>
          </w:p>
        </w:tc>
        <w:tc>
          <w:tcPr>
            <w:tcW w:w="29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429 Too Many Requests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19"/>
          <w:shd w:fill="auto" w:val="clear"/>
        </w:rPr>
        <w:t xml:space="preserve">Implementation: </w:t>
      </w:r>
      <w:r>
        <w:rPr>
          <w:rFonts w:ascii="Arial" w:hAnsi="Arial" w:cs="Arial" w:eastAsia="Arial"/>
          <w:color w:val="auto"/>
          <w:spacing w:val="0"/>
          <w:position w:val="0"/>
          <w:sz w:val="19"/>
          <w:shd w:fill="auto" w:val="clear"/>
        </w:rPr>
        <w:t>AddRateLimiter() in Program.cs. OIDC callback and logout use FixedWindowRateLimiterOptions keyed by IP (prevents OIDC callback flooding). All authenticated endpoints use SlidingWindowRateLimiterOptions keyed by userId. IDAM login page has its own rate limiting — EMH does not rate-limit authentication attempts. 429 responses include Retry-After header only — response body must NOT state the limit value or window size.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7.6 MFA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19"/>
          <w:shd w:fill="auto" w:val="clear"/>
        </w:rPr>
        <w:t xml:space="preserve">Deferred to Future Scope. With IDAM SSO, MFA is configured in IDAM — not in EMH. EMH does not need any code changes to support MFA when IDAM enables it. EMH simply validates the JWT that IDAM issues after successful MFA.</w:t>
      </w:r>
    </w:p>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7.7 CORS Policy</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Setting</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Value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Allowed origins</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Angular app origin only — configurable per environment. IDAM redirects are browser navigations (not XHR) so do not require CORS. The JWKS endpoint call is server-to-server (from ASP.NET Core JwtBearer middleware) — also not subject to browser CORS.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Allowed methods</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POST, PUT, DELETE, OPTIONS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Allowed headers</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Authorization, Content-Type, X-Request-ID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Credentials</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Allowed (required for HttpOnly cookie token storage)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Preflight cache (Max-Age)</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rFonts w:ascii="Arial" w:hAnsi="Arial" w:cs="Arial" w:eastAsia="Arial"/>
                <w:color w:val="1A1A2E"/>
                <w:spacing w:val="0"/>
                <w:position w:val="0"/>
                <w:sz w:val="17"/>
                <w:shd w:fill="auto" w:val="clear"/>
              </w:rPr>
            </w:pPr>
            <w:r>
              <w:rPr>
                <w:rFonts w:ascii="Arial" w:hAnsi="Arial" w:cs="Arial" w:eastAsia="Arial"/>
                <w:color w:val="1A1A2E"/>
                <w:spacing w:val="0"/>
                <w:position w:val="0"/>
                <w:sz w:val="17"/>
                <w:shd w:fill="auto" w:val="clear"/>
              </w:rPr>
              <w:t>600 seconds (10 minutes). Sets Access-Control-Max-Age header. Reduces browser preflight round-trips for repeated cross-origin requests. Implementation: .SetPreflightMaxAge(TimeSpan.FromSeconds(600)) in CORS policy configuration in Program.cs.</w:t>
              <w:br/>
              <w:t xml:space="preserve">// Sets the Access-Control-Max-Age header to 600 seconds</w:t>
            </w:r>
          </w:p>
          <w:p>
            <w:pPr>
              <w:spacing w:before="0" w:after="0" w:line="240"/>
              <w:ind w:right="0" w:left="0" w:firstLine="0"/>
              <w:jc w:val="left"/>
              <w:rPr>
                <w:rFonts w:ascii="Arial" w:hAnsi="Arial" w:cs="Arial" w:eastAsia="Arial"/>
                <w:color w:val="1A1A2E"/>
                <w:spacing w:val="0"/>
                <w:position w:val="0"/>
                <w:sz w:val="17"/>
                <w:shd w:fill="auto" w:val="clear"/>
              </w:rPr>
            </w:pPr>
            <w:r>
              <w:rPr>
                <w:rFonts w:ascii="Arial" w:hAnsi="Arial" w:cs="Arial" w:eastAsia="Arial"/>
                <w:color w:val="1A1A2E"/>
                <w:spacing w:val="0"/>
                <w:position w:val="0"/>
                <w:sz w:val="17"/>
                <w:shd w:fill="auto" w:val="clear"/>
              </w:rPr>
              <w:t xml:space="preserve">              .SetPreflightMaxAge(TimeSpan.FromSeconds(600)); </w:t>
            </w:r>
          </w:p>
          <w:p>
            <w:pPr>
              <w:spacing w:before="0" w:after="0" w:line="240"/>
              <w:ind w:right="0" w:left="0" w:firstLine="0"/>
              <w:jc w:val="left"/>
              <w:rPr>
                <w:spacing w:val="0"/>
                <w:position w:val="0"/>
              </w:rPr>
            </w:pP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7.8 HTTPS / TLS</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Requirement</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Specification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TLS version</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TLS 1.3 preferred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HTTP redirect</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UseHttpsRedirection() middleware — all HTTP redirected to HTTPS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HSTS</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Enforced via Strict-Transport-Security header</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7.9 Exception Middleware</w:t>
      </w:r>
    </w:p>
    <w:tbl>
      <w:tblPr/>
      <w:tblGrid>
        <w:gridCol w:w="2800"/>
        <w:gridCol w:w="1600"/>
        <w:gridCol w:w="2260"/>
        <w:gridCol w:w="260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Exception Type</w:t>
            </w:r>
          </w:p>
        </w:tc>
        <w:tc>
          <w:tcPr>
            <w:tcW w:w="1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HTTP Status</w:t>
            </w:r>
          </w:p>
        </w:tc>
        <w:tc>
          <w:tcPr>
            <w:tcW w:w="22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Logged to ErrorLogs</w:t>
            </w:r>
          </w:p>
        </w:tc>
        <w:tc>
          <w:tcPr>
            <w:tcW w:w="2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Client Message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ValidationException</w:t>
            </w:r>
          </w:p>
        </w:tc>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400 Bad Request</w:t>
            </w:r>
          </w:p>
        </w:tc>
        <w:tc>
          <w:tcPr>
            <w:tcW w:w="22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w:t>
            </w:r>
          </w:p>
        </w:tc>
        <w:tc>
          <w:tcPr>
            <w:tcW w:w="2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Structured field errors</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UnauthorizedException</w:t>
            </w:r>
          </w:p>
        </w:tc>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401 Unauthorized</w:t>
            </w:r>
          </w:p>
        </w:tc>
        <w:tc>
          <w:tcPr>
            <w:tcW w:w="22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w:t>
            </w:r>
          </w:p>
        </w:tc>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"Authentication required"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ForbiddenException</w:t>
            </w:r>
          </w:p>
        </w:tc>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403 Forbidden</w:t>
            </w:r>
          </w:p>
        </w:tc>
        <w:tc>
          <w:tcPr>
            <w:tcW w:w="22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Yes — UserId, endpoint</w:t>
            </w:r>
          </w:p>
        </w:tc>
        <w:tc>
          <w:tcPr>
            <w:tcW w:w="2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"Access denied"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NotFoundException</w:t>
            </w:r>
          </w:p>
        </w:tc>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404 Not Found</w:t>
            </w:r>
          </w:p>
        </w:tc>
        <w:tc>
          <w:tcPr>
            <w:tcW w:w="22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w:t>
            </w:r>
          </w:p>
        </w:tc>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"Resource not found"</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ExternalServiceException</w:t>
            </w:r>
          </w:p>
        </w:tc>
        <w:tc>
          <w:tcPr>
            <w:tcW w:w="1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503 Service Unavailable</w:t>
            </w:r>
          </w:p>
        </w:tc>
        <w:tc>
          <w:tcPr>
            <w:tcW w:w="22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Yes — ModuleCode, endpoint, status</w:t>
            </w:r>
          </w:p>
        </w:tc>
        <w:tc>
          <w:tcPr>
            <w:tcW w:w="26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"Service temporarily unavailable"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Unhandled Exception</w:t>
            </w:r>
          </w:p>
        </w:tc>
        <w:tc>
          <w:tcPr>
            <w:tcW w:w="1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500 Internal Server Error</w:t>
            </w:r>
          </w:p>
        </w:tc>
        <w:tc>
          <w:tcPr>
            <w:tcW w:w="22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Yes </w:t>
            </w:r>
          </w:p>
        </w:tc>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"Unexpected error”</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19"/>
          <w:shd w:fill="auto" w:val="clear"/>
        </w:rPr>
        <w:t>** Save the Full stack traces as StackTraceHash in ErrorLogs — never returned to the client.</w:t>
      </w:r>
    </w:p>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7.10 Audit Logging</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Requirement</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Specification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What is logged</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Who(user),what(action),action category(read/write/delete/auth),when(timestamp),target(what was affected),result(success/failure)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Retention</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BLOCKING ITEM — must be resolved before go-live. UAE health data regulations require defined retention periods. Owner: Compliance team + Solution Architect. Minimum recommended: 2 years active + 5 years archived. RetentionDate column already in AuditLogs table to support this.</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7.11 Least Privilege — Page / Action Permissions</w:t>
      </w:r>
    </w:p>
    <w:p>
      <w:pPr>
        <w:numPr>
          <w:ilvl w:val="0"/>
          <w:numId w:val="404"/>
        </w:numPr>
        <w:spacing w:before="0" w:after="0" w:line="240"/>
        <w:ind w:right="0" w:left="720" w:hanging="360"/>
        <w:jc w:val="left"/>
        <w:rPr>
          <w:rFonts w:ascii="Arial" w:hAnsi="Arial" w:cs="Arial" w:eastAsia="Arial"/>
          <w:color w:val="1A1A2E"/>
          <w:spacing w:val="0"/>
          <w:position w:val="0"/>
          <w:sz w:val="19"/>
          <w:shd w:fill="auto" w:val="clear"/>
        </w:rPr>
      </w:pPr>
      <w:r>
        <w:rPr>
          <w:rFonts w:ascii="Arial" w:hAnsi="Arial" w:cs="Arial" w:eastAsia="Arial"/>
          <w:color w:val="1A1A2E"/>
          <w:spacing w:val="0"/>
          <w:position w:val="0"/>
          <w:sz w:val="19"/>
          <w:shd w:fill="auto" w:val="clear"/>
        </w:rPr>
        <w:t xml:space="preserve">No permission is granted by default. All permissions must be explicitly assigned.</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7.12 HTTP Security Headers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1A1A2E"/>
          <w:spacing w:val="0"/>
          <w:position w:val="0"/>
          <w:sz w:val="19"/>
          <w:shd w:fill="auto" w:val="clear"/>
        </w:rPr>
        <w:t xml:space="preserve">All headers are set at the reverse proxy level. Exception: Cache-Control is set in ASP.NET Core middleware for /api/ routes only.</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2600"/>
        <w:gridCol w:w="3648"/>
        <w:gridCol w:w="2136"/>
        <w:gridCol w:w="1032"/>
      </w:tblGrid>
      <w:tr>
        <w:trPr>
          <w:trHeight w:val="1" w:hRule="atLeast"/>
          <w:jc w:val="left"/>
        </w:trPr>
        <w:tc>
          <w:tcPr>
            <w:tcW w:w="26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Header</w:t>
            </w:r>
          </w:p>
        </w:tc>
        <w:tc>
          <w:tcPr>
            <w:tcW w:w="3648"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Value</w:t>
            </w:r>
          </w:p>
        </w:tc>
        <w:tc>
          <w:tcPr>
            <w:tcW w:w="2136"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Purpose</w:t>
            </w:r>
          </w:p>
        </w:tc>
        <w:tc>
          <w:tcPr>
            <w:tcW w:w="1032"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Strict-Transport-Security</w:t>
            </w:r>
          </w:p>
        </w:tc>
        <w:tc>
          <w:tcPr>
            <w:tcW w:w="3648"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max-age=31536000; includeSubDomains</w:t>
            </w:r>
          </w:p>
        </w:tc>
        <w:tc>
          <w:tcPr>
            <w:tcW w:w="2136"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Forces HTTPS. Prevents protocol downgrade attacks</w:t>
            </w:r>
          </w:p>
        </w:tc>
        <w:tc>
          <w:tcPr>
            <w:tcW w:w="1032"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X-Content-Type-Options</w:t>
            </w:r>
          </w:p>
        </w:tc>
        <w:tc>
          <w:tcPr>
            <w:tcW w:w="364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nosniff</w:t>
            </w:r>
          </w:p>
        </w:tc>
        <w:tc>
          <w:tcPr>
            <w:tcW w:w="213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Prevents MIME-sniffing. Blocks certain XSS vectors.</w:t>
            </w:r>
          </w:p>
        </w:tc>
        <w:tc>
          <w:tcPr>
            <w:tcW w:w="103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X-Frame-Options</w:t>
            </w:r>
          </w:p>
        </w:tc>
        <w:tc>
          <w:tcPr>
            <w:tcW w:w="3648"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DENY</w:t>
            </w:r>
          </w:p>
        </w:tc>
        <w:tc>
          <w:tcPr>
            <w:tcW w:w="2136"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EMH is never in iframes. Blocks clickjacking.</w:t>
            </w:r>
          </w:p>
        </w:tc>
        <w:tc>
          <w:tcPr>
            <w:tcW w:w="1032"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Referrer-Policy</w:t>
            </w:r>
          </w:p>
        </w:tc>
        <w:tc>
          <w:tcPr>
            <w:tcW w:w="364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strict-origin-when-cross-origin</w:t>
            </w:r>
          </w:p>
        </w:tc>
        <w:tc>
          <w:tcPr>
            <w:tcW w:w="213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Prevents leaking internal URLs to external systems.</w:t>
            </w:r>
          </w:p>
        </w:tc>
        <w:tc>
          <w:tcPr>
            <w:tcW w:w="103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Content-Security-Policy</w:t>
            </w:r>
          </w:p>
        </w:tc>
        <w:tc>
          <w:tcPr>
            <w:tcW w:w="3648"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 Content-Security-Policy: default-src 'self'; script-src 'self';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Minimum (Phase 1): default-src 'self'; script-src 'self'; style-src 'self' 'unsafe-inline'; img-src 'self' data:; font-src 'self'; connect-src [API-origin]; frame-ancestors 'none'; object-src 'none'; base-uri 'self'. NOTE: 'unsafe-inline' on style-src is temporary for Phase 1. Target before production hardening: replace with nonce-based CSP (style-src 'nonce-{random}'). Angular supports nonce-based CSP via ViewEncapsulation configuration.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img-src 'self' data:; font-src 'self';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connect-src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https://api.example.com</w:t>
              </w:r>
            </w:hyperlink>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frame-ancestors 'none';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object-src 'none';</w:t>
            </w:r>
          </w:p>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auto"/>
                <w:spacing w:val="0"/>
                <w:position w:val="0"/>
                <w:sz w:val="22"/>
                <w:shd w:fill="auto" w:val="clear"/>
              </w:rPr>
              <w:t xml:space="preserve">base-uri 'self';</w:t>
            </w:r>
          </w:p>
        </w:tc>
        <w:tc>
          <w:tcPr>
            <w:tcW w:w="2136"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Primary XSS defense.</w:t>
            </w:r>
          </w:p>
        </w:tc>
        <w:tc>
          <w:tcPr>
            <w:tcW w:w="1032"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20" w:hRule="auto"/>
          <w:jc w:val="left"/>
        </w:trPr>
        <w:tc>
          <w:tcPr>
            <w:tcW w:w="26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Permissions-Policy</w:t>
            </w:r>
          </w:p>
        </w:tc>
        <w:tc>
          <w:tcPr>
            <w:tcW w:w="364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geolocation=(), camera=(), microphone=()</w:t>
            </w:r>
          </w:p>
        </w:tc>
        <w:tc>
          <w:tcPr>
            <w:tcW w:w="213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Disables unused browser features.</w:t>
            </w:r>
          </w:p>
        </w:tc>
        <w:tc>
          <w:tcPr>
            <w:tcW w:w="1032"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600"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Cache-Control</w:t>
            </w:r>
          </w:p>
        </w:tc>
        <w:tc>
          <w:tcPr>
            <w:tcW w:w="3648"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no-store</w:t>
            </w:r>
          </w:p>
        </w:tc>
        <w:tc>
          <w:tcPr>
            <w:tcW w:w="2136"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Prevents patient data caching by browsers/proxies.</w:t>
            </w:r>
          </w:p>
        </w:tc>
        <w:tc>
          <w:tcPr>
            <w:tcW w:w="1032" w:type="dxa"/>
            <w:tcBorders>
              <w:top w:val="single" w:color="000000" w:sz="1"/>
              <w:left w:val="single" w:color="000000" w:sz="1"/>
              <w:bottom w:val="single" w:color="000000" w:sz="1"/>
              <w:right w:val="single" w:color="000000" w:sz="1"/>
            </w:tcBorders>
            <w:shd w:color="auto" w:fill="bfcde0"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2"/>
          <w:shd w:fill="auto" w:val="clear"/>
        </w:rPr>
      </w:pPr>
    </w:p>
    <w:tbl>
      <w:tblPr/>
      <w:tblGrid>
        <w:gridCol w:w="9260"/>
      </w:tblGrid>
      <w:tr>
        <w:trPr>
          <w:trHeight w:val="1" w:hRule="atLeast"/>
          <w:jc w:val="left"/>
        </w:trPr>
        <w:tc>
          <w:tcPr>
            <w:tcW w:w="9260" w:type="dxa"/>
            <w:tcBorders>
              <w:top w:val="single" w:color="e5940a" w:sz="1"/>
              <w:left w:val="single" w:color="e5940a" w:sz="8"/>
              <w:bottom w:val="single" w:color="e5940a" w:sz="1"/>
              <w:right w:val="single" w:color="e5940a" w:sz="1"/>
            </w:tcBorders>
            <w:shd w:color="auto" w:fill="fff3cd" w:val="clear"/>
            <w:tcMar>
              <w:left w:w="180" w:type="dxa"/>
              <w:right w:w="180" w:type="dxa"/>
            </w:tcMar>
            <w:vAlign w:val="top"/>
          </w:tcPr>
          <w:p>
            <w:pPr>
              <w:spacing w:before="0" w:after="0" w:line="240"/>
              <w:ind w:right="0" w:left="0" w:firstLine="0"/>
              <w:jc w:val="left"/>
              <w:rPr>
                <w:spacing w:val="0"/>
                <w:position w:val="0"/>
              </w:rPr>
            </w:pPr>
            <w:r>
              <w:rPr>
                <w:rFonts w:ascii="Arial" w:hAnsi="Arial" w:cs="Arial" w:eastAsia="Arial"/>
                <w:color w:val="1A1A2E"/>
                <w:spacing w:val="0"/>
                <w:position w:val="0"/>
                <w:sz w:val="18"/>
                <w:shd w:fill="auto" w:val="clear"/>
              </w:rPr>
              <w:t xml:space="preserve">CSP Finalization: Content-Security-Policy cannot be finalized until Angular production build is tested. Minimum requirements: default-src 'self'; connect-src [API origin]; frame-ancestors 'none'. Owner: Frontend lead confirms CSP does not break Angular build. Deadline: Before production deployment.</w:t>
            </w:r>
          </w:p>
        </w:tc>
      </w:tr>
    </w:tbl>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br/>
      </w:r>
      <w:r>
        <w:rPr>
          <w:rFonts w:ascii="Arial" w:hAnsi="Arial" w:cs="Arial" w:eastAsia="Arial"/>
          <w:b/>
          <w:color w:val="FF0000"/>
          <w:spacing w:val="0"/>
          <w:position w:val="0"/>
          <w:sz w:val="36"/>
          <w:shd w:fill="auto" w:val="clear"/>
        </w:rPr>
        <w:t xml:space="preserve">7.13 </w:t>
      </w:r>
      <w:r>
        <w:rPr>
          <w:rFonts w:ascii="Arial" w:hAnsi="Arial" w:cs="Arial" w:eastAsia="Arial"/>
          <w:b/>
          <w:color w:val="002F70"/>
          <w:spacing w:val="0"/>
          <w:position w:val="0"/>
          <w:sz w:val="36"/>
          <w:shd w:fill="auto" w:val="clear"/>
        </w:rPr>
        <w:t xml:space="preserve">JWT Signing Key Management</w:t>
      </w:r>
      <w:r>
        <w:rPr>
          <w:rFonts w:ascii="Arial" w:hAnsi="Arial" w:cs="Arial" w:eastAsia="Arial"/>
          <w:b/>
          <w:color w:val="1E4D8C"/>
          <w:spacing w:val="0"/>
          <w:position w:val="0"/>
          <w:sz w:val="24"/>
          <w:shd w:fill="auto" w:val="clear"/>
        </w:rPr>
        <w:t xml:space="preserve"> </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Requirement</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Specification</w:t>
            </w:r>
          </w:p>
        </w:tc>
      </w:tr>
      <w:tr>
        <w:trPr>
          <w:trHeight w:val="600" w:hRule="auto"/>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Key storage</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IDAM owns the RSA 2048-bit signing key (private key never leaves IDAM). EMH only stores the IDAM JWKS URI (public endpoint) in appsettings — used to fetch the public key for JWT signature verification. No private key is stored in EMH or Azure Key Vault on EMH’s side.</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Key rotation</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Key rotation is handled entirely by IDAM. EMH’s JWT validation automatically picks up new keys via JWKS endpoint — no EMH deployment required for key rotation. The JWKS URI is cached with a configurable refresh interval (recommended: 24 hours).</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7.14 Observability — Structured Logging &amp; Health Checks</w:t>
      </w:r>
    </w:p>
    <w:p>
      <w:pPr>
        <w:spacing w:before="180" w:after="6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19"/>
          <w:shd w:fill="auto" w:val="clear"/>
        </w:rPr>
        <w:t>Structured Logging — Serilog</w:t>
      </w:r>
    </w:p>
    <w:tbl>
      <w:tblPr/>
      <w:tblGrid>
        <w:gridCol w:w="2800"/>
        <w:gridCol w:w="6460"/>
      </w:tblGrid>
      <w:tr>
        <w:trPr>
          <w:trHeight w:val="1" w:hRule="atLeast"/>
          <w:jc w:val="left"/>
        </w:trPr>
        <w:tc>
          <w:tcPr>
            <w:tcW w:w="28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Requirement</w:t>
            </w:r>
          </w:p>
        </w:tc>
        <w:tc>
          <w:tcPr>
            <w:tcW w:w="64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Specification</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Library</w:t>
            </w: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Serilog — UseSerilog() in Program.cs. Structured JSON output, not plain text</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Sinks</w:t>
            </w:r>
          </w:p>
        </w:tc>
        <w:tc>
          <w:tcPr>
            <w:tcW w:w="64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Dev/Staging: Serilog.Sinks.Seq (Seq UI at </w:t>
            </w:r>
            <w:hyperlink xmlns:r="http://schemas.openxmlformats.org/officeDocument/2006/relationships" r:id="docRId3">
              <w:r>
                <w:rPr>
                  <w:rFonts w:ascii="Arial" w:hAnsi="Arial" w:cs="Arial" w:eastAsia="Arial"/>
                  <w:color w:val="1A1A2E"/>
                  <w:spacing w:val="0"/>
                  <w:position w:val="0"/>
                  <w:sz w:val="17"/>
                  <w:u w:val="single"/>
                  <w:shd w:fill="auto" w:val="clear"/>
                </w:rPr>
                <w:t xml:space="preserve">http://localhost:5341</w:t>
              </w:r>
            </w:hyperlink>
            <w:r>
              <w:rPr>
                <w:rFonts w:ascii="Arial" w:hAnsi="Arial" w:cs="Arial" w:eastAsia="Arial"/>
                <w:color w:val="1A1A2E"/>
                <w:spacing w:val="0"/>
                <w:position w:val="0"/>
                <w:sz w:val="17"/>
                <w:shd w:fill="auto" w:val="clear"/>
              </w:rPr>
              <w:t xml:space="preserve">)</w:t>
              <w:br/>
              <w:t xml:space="preserve">Prod: Serilog.Sinks.File (rolling daily) + Azure Monitor / Application Insights sink</w:t>
              <w:br/>
              <w:br/>
              <w:t xml:space="preserve">*** Avoid saving Passwords, JWT tokens, raw stack traces, EID/Emirates ID values, full patient records. Sanitize all sensitive fields before logging</w:t>
            </w:r>
          </w:p>
        </w:tc>
      </w:tr>
      <w:tr>
        <w:trPr>
          <w:trHeight w:val="1" w:hRule="atLeast"/>
          <w:jc w:val="left"/>
        </w:trPr>
        <w:tc>
          <w:tcPr>
            <w:tcW w:w="28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4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180" w:after="6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19"/>
          <w:shd w:fill="auto" w:val="clear"/>
        </w:rPr>
        <w:t xml:space="preserve">Health Check Endpoints</w:t>
      </w:r>
    </w:p>
    <w:tbl>
      <w:tblPr/>
      <w:tblGrid>
        <w:gridCol w:w="2200"/>
        <w:gridCol w:w="2200"/>
        <w:gridCol w:w="4860"/>
      </w:tblGrid>
      <w:tr>
        <w:trPr>
          <w:trHeight w:val="1" w:hRule="atLeast"/>
          <w:jc w:val="left"/>
        </w:trPr>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Endpoint</w:t>
            </w:r>
          </w:p>
        </w:tc>
        <w:tc>
          <w:tcPr>
            <w:tcW w:w="220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Type</w:t>
            </w:r>
          </w:p>
        </w:tc>
        <w:tc>
          <w:tcPr>
            <w:tcW w:w="486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Checks / Notes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/health</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Full health</w:t>
            </w:r>
          </w:p>
        </w:tc>
        <w:tc>
          <w:tcPr>
            <w:tcW w:w="48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SQL Server connectivity, external API reachability (per module). Returns 200 Healthy or 503 Unhealthy with per-check detail.</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/health/live</w:t>
            </w: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Liveness</w:t>
            </w:r>
          </w:p>
        </w:tc>
        <w:tc>
          <w:tcPr>
            <w:tcW w:w="48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Process alive check only. Fast (no DB call). Load balancer / container probe target.</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GET /health/ready</w:t>
            </w:r>
          </w:p>
        </w:tc>
        <w:tc>
          <w:tcPr>
            <w:tcW w:w="220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Readiness</w:t>
            </w:r>
          </w:p>
        </w:tc>
        <w:tc>
          <w:tcPr>
            <w:tcW w:w="486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SQL Server reachable + EF Core migrations applied. Returns 503 until ready — prevents routing traffic before startup completes.</w:t>
            </w:r>
          </w:p>
        </w:tc>
      </w:tr>
      <w:tr>
        <w:trPr>
          <w:trHeight w:val="1" w:hRule="atLeast"/>
          <w:jc w:val="left"/>
        </w:trPr>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86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8. Performance Practices</w:t>
      </w:r>
    </w:p>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8.1 Backend **</w:t>
      </w:r>
    </w:p>
    <w:tbl>
      <w:tblPr/>
      <w:tblGrid>
        <w:gridCol w:w="1885"/>
        <w:gridCol w:w="1620"/>
        <w:gridCol w:w="5855"/>
      </w:tblGrid>
      <w:tr>
        <w:trPr>
          <w:trHeight w:val="1" w:hRule="atLeast"/>
          <w:jc w:val="left"/>
        </w:trPr>
        <w:tc>
          <w:tcPr>
            <w:tcW w:w="1885"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Practice</w:t>
            </w:r>
          </w:p>
        </w:tc>
        <w:tc>
          <w:tcPr>
            <w:tcW w:w="162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Where applied</w:t>
            </w:r>
          </w:p>
        </w:tc>
        <w:tc>
          <w:tcPr>
            <w:tcW w:w="5855"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Implementation</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Server-side pagination</w:t>
            </w:r>
          </w:p>
        </w:tc>
        <w:tc>
          <w:tcPr>
            <w:tcW w:w="162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list endpoints</w:t>
            </w:r>
          </w:p>
        </w:tc>
        <w:tc>
          <w:tcPr>
            <w:tcW w:w="585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page and pageSize query params; never return all records; max pageSize = 30</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DTO projection</w:t>
            </w:r>
          </w:p>
        </w:tc>
        <w:tc>
          <w:tcPr>
            <w:tcW w:w="162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EF queries</w:t>
            </w:r>
          </w:p>
        </w:tc>
        <w:tc>
          <w:tcPr>
            <w:tcW w:w="585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Select() to DTO in LINQ — never load full entity graph, never use Include() unless the navigation is needed</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Async everywhere</w:t>
            </w:r>
          </w:p>
        </w:tc>
        <w:tc>
          <w:tcPr>
            <w:tcW w:w="162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Controllers and Handlers</w:t>
            </w:r>
          </w:p>
        </w:tc>
        <w:tc>
          <w:tcPr>
            <w:tcW w:w="585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Task&lt;T&gt; and CancellationToken on every method that does I/O</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Permission cache</w:t>
            </w:r>
          </w:p>
        </w:tc>
        <w:tc>
          <w:tcPr>
            <w:tcW w:w="162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Navigation JSON</w:t>
            </w:r>
          </w:p>
        </w:tc>
        <w:tc>
          <w:tcPr>
            <w:tcW w:w="585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PermissionService caches navigation per userId for 10 minutes in IMemoryCache. Known limitation: cache is per-process and not shared across instances. Safe for single-instance deployment. If load balancing is introduced, migrate to IDistributedCache (Redis) to ensure permission revocations propagate across all instances within the 10-minute window.</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No N+1 queries</w:t>
            </w:r>
          </w:p>
        </w:tc>
        <w:tc>
          <w:tcPr>
            <w:tcW w:w="162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Handlers</w:t>
            </w:r>
          </w:p>
        </w:tc>
        <w:tc>
          <w:tcPr>
            <w:tcW w:w="585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Joins in single LINQ query rather than looping and calling FindById per item</w:t>
            </w:r>
          </w:p>
        </w:tc>
      </w:tr>
      <w:tr>
        <w:trPr>
          <w:trHeight w:val="1" w:hRule="atLeast"/>
          <w:jc w:val="left"/>
        </w:trPr>
        <w:tc>
          <w:tcPr>
            <w:tcW w:w="188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Response compression</w:t>
            </w:r>
          </w:p>
        </w:tc>
        <w:tc>
          <w:tcPr>
            <w:tcW w:w="162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Program.cs</w:t>
            </w:r>
          </w:p>
        </w:tc>
        <w:tc>
          <w:tcPr>
            <w:tcW w:w="585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AddResponseCompression() with Brotli and GZip — significant reduction for JSON responses</w:t>
            </w:r>
          </w:p>
        </w:tc>
      </w:tr>
    </w:tbl>
    <w:p>
      <w:pPr>
        <w:spacing w:before="24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8.2 Frontend</w:t>
      </w:r>
    </w:p>
    <w:tbl>
      <w:tblPr/>
      <w:tblGrid>
        <w:gridCol w:w="2605"/>
        <w:gridCol w:w="6750"/>
      </w:tblGrid>
      <w:tr>
        <w:trPr>
          <w:trHeight w:val="1" w:hRule="atLeast"/>
          <w:jc w:val="left"/>
        </w:trPr>
        <w:tc>
          <w:tcPr>
            <w:tcW w:w="2605"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Practice</w:t>
            </w:r>
          </w:p>
        </w:tc>
        <w:tc>
          <w:tcPr>
            <w:tcW w:w="6750"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Implementation</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Lazy loading</w:t>
            </w:r>
          </w:p>
        </w:tc>
        <w:tc>
          <w:tcPr>
            <w:tcW w:w="6750"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feature routes use loadComponent() or loadChildren(). Initial bundle: shell only (no login page — auth is delegated to IDAM). AuthGuard calls GET /api/v1/auth/me to check session validity (HttpOnly cookies are not readable from JavaScript). On 401, redirects to IDAM.</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OnPush everywhere</w:t>
            </w:r>
          </w:p>
        </w:tc>
        <w:tc>
          <w:tcPr>
            <w:tcW w:w="67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No component re-renders unless its signal inputs change.</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Server-side pagination</w:t>
            </w:r>
          </w:p>
        </w:tc>
        <w:tc>
          <w:tcPr>
            <w:tcW w:w="6750"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All list endpoints: page, pageSize query params. Never load all records.</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Sidebar cache</w:t>
            </w:r>
          </w:p>
        </w:tc>
        <w:tc>
          <w:tcPr>
            <w:tcW w:w="67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PermissionsService caches sidebar JSON per projectCode for 10 minutes in memory. Cache is cleared on logout and on JWT renewal (new OIDC session). One API call per project per browser session after cache miss.</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Track in @for</w:t>
            </w:r>
          </w:p>
        </w:tc>
        <w:tc>
          <w:tcPr>
            <w:tcW w:w="6750"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Always: @for (item of list(); track item.id). Prevents full DOM re-creation on list refresh.</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toSignal() for streams</w:t>
            </w:r>
          </w:p>
        </w:tc>
        <w:tc>
          <w:tcPr>
            <w:tcW w:w="6750"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eliminates manual subscribe/unsubscribe boilerplate</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Debounced search</w:t>
            </w:r>
          </w:p>
        </w:tc>
        <w:tc>
          <w:tcPr>
            <w:tcW w:w="6750"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auto" w:val="clear"/>
              </w:rPr>
              <w:t xml:space="preserve">Search inputs use debounceTime(300) + distinctUntilChanged() before triggering API call.</w:t>
            </w:r>
          </w:p>
        </w:tc>
      </w:tr>
      <w:tr>
        <w:trPr>
          <w:trHeight w:val="1" w:hRule="atLeast"/>
          <w:jc w:val="left"/>
        </w:trPr>
        <w:tc>
          <w:tcPr>
            <w:tcW w:w="3020" w:type="dxa"/>
            <w:tcBorders>
              <w:top w:val="single" w:color="bfcde0" w:sz="1"/>
              <w:left w:val="single" w:color="bfcde0" w:sz="1"/>
              <w:bottom w:val="single" w:color="bfcde0" w:sz="1"/>
              <w:right w:val="single" w:color="bfcde0" w:sz="1"/>
            </w:tcBorders>
            <w:shd w:color="auto" w:fill="f5f7fc" w:val="clear"/>
            <w:tcMar>
              <w:left w:w="120" w:type="dxa"/>
              <w:right w:w="120" w:type="dxa"/>
            </w:tcMar>
            <w:vAlign w:val="center"/>
          </w:tcPr>
          <w:p>
            <w:pPr>
              <w:spacing w:before="0" w:after="0" w:line="240"/>
              <w:jc w:val="left"/>
            </w:pPr>
            <w:r>
              <w:rPr>
                <w:rFonts w:ascii="Arial" w:hAnsi="Arial" w:cs="Arial"/>
                <w:color w:val="0D1B3E"/>
                <w:sz w:val="19"/>
                <w:shd w:fill="auto" w:val="clear"/>
              </w:rPr>
              <w:t>OIDC callback handling</w:t>
            </w:r>
          </w:p>
        </w:tc>
        <w:tc>
          <w:tcPr>
            <w:tcW w:w="6240" w:type="dxa"/>
            <w:tcBorders>
              <w:top w:val="single" w:color="bfcde0" w:sz="1"/>
              <w:left w:val="single" w:color="bfcde0" w:sz="1"/>
              <w:bottom w:val="single" w:color="bfcde0" w:sz="1"/>
              <w:right w:val="single" w:color="bfcde0" w:sz="1"/>
            </w:tcBorders>
            <w:shd w:color="auto" w:fill="f5f7fc" w:val="clear"/>
            <w:tcMar>
              <w:left w:w="120" w:type="dxa"/>
              <w:right w:w="120" w:type="dxa"/>
            </w:tcMar>
            <w:vAlign w:val="center"/>
          </w:tcPr>
          <w:p>
            <w:pPr>
              <w:spacing w:before="0" w:after="0" w:line="240"/>
              <w:jc w:val="left"/>
            </w:pPr>
            <w:r>
              <w:rPr>
                <w:rFonts w:ascii="Arial" w:hAnsi="Arial" w:cs="Arial"/>
                <w:color w:val="4A5568"/>
                <w:sz w:val="19"/>
                <w:shd w:fill="auto" w:val="clear"/>
              </w:rPr>
              <w:t>No Angular login component exists. AuthGuard calls GET /api/v1/auth/me — on 401 redirects to IDAM. After IDAM authenticates, browser redirects to GET /api/v1/auth/callback (ASP.NET Core), which sets the HttpOnly cookie and redirects Angular to the originally requested route. On first load after callback, PermissionsService automatically calls GET /api/v1/nav/permissions to populate the in-memory permission and sidebar cache before any PermissionGuard executes. Subsequent navigation uses the cache (no network call) for 10 minutes.</w:t>
            </w:r>
          </w:p>
        </w:tc>
      </w:tr>
      <w:tr>
        <w:trPr>
          <w:trHeight w:val="1" w:hRule="atLeast"/>
          <w:jc w:val="left"/>
        </w:trPr>
        <w:tc>
          <w:tcPr>
            <w:tcW w:w="3020" w:type="dxa"/>
            <w:tcBorders>
              <w:top w:val="single" w:color="bfcde0" w:sz="1"/>
              <w:left w:val="single" w:color="bfcde0" w:sz="1"/>
              <w:bottom w:val="single" w:color="bfcde0" w:sz="1"/>
              <w:right w:val="single" w:color="bfcde0" w:sz="1"/>
            </w:tcBorders>
            <w:shd w:color="auto" w:fill="ffffff" w:val="clear"/>
            <w:tcMar>
              <w:left w:w="120" w:type="dxa"/>
              <w:right w:w="120" w:type="dxa"/>
            </w:tcMar>
            <w:vAlign w:val="center"/>
          </w:tcPr>
          <w:p>
            <w:pPr>
              <w:spacing w:before="0" w:after="0" w:line="240"/>
              <w:jc w:val="left"/>
            </w:pPr>
            <w:r>
              <w:rPr>
                <w:rFonts w:ascii="Arial" w:hAnsi="Arial" w:cs="Arial"/>
                <w:color w:val="0D1B3E"/>
                <w:sz w:val="19"/>
                <w:shd w:fill="auto" w:val="clear"/>
              </w:rPr>
              <w:t>JWT expiry (silent renewal)</w:t>
            </w:r>
          </w:p>
        </w:tc>
        <w:tc>
          <w:tcPr>
            <w:tcW w:w="6240" w:type="dxa"/>
            <w:tcBorders>
              <w:top w:val="single" w:color="bfcde0" w:sz="1"/>
              <w:left w:val="single" w:color="bfcde0" w:sz="1"/>
              <w:bottom w:val="single" w:color="bfcde0" w:sz="1"/>
              <w:right w:val="single" w:color="bfcde0" w:sz="1"/>
            </w:tcBorders>
            <w:shd w:color="auto" w:fill="ffffff" w:val="clear"/>
            <w:tcMar>
              <w:left w:w="120" w:type="dxa"/>
              <w:right w:w="120" w:type="dxa"/>
            </w:tcMar>
            <w:vAlign w:val="center"/>
          </w:tcPr>
          <w:p>
            <w:pPr>
              <w:spacing w:before="0" w:after="0" w:line="240"/>
              <w:jc w:val="left"/>
            </w:pPr>
            <w:r>
              <w:rPr>
                <w:rFonts w:ascii="Arial" w:hAnsi="Arial" w:cs="Arial"/>
                <w:color w:val="4A5568"/>
                <w:sz w:val="19"/>
                <w:shd w:fill="auto" w:val="clear"/>
              </w:rPr>
              <w:t>Angular has no refresh token logic. When the JWT expires, the HTTP Interceptor catches the 401 response and performs a full-page redirect to IDAM authorization_endpoint. IDAM issues a new JWT if the SSO session is still valid (transparent to the user). Iframe-based silent renew is NOT used — deprecated in modern browsers due to third-party cookie restrictions and blocked by corporate security policies. EMH permission and sidebar caches are cleared on renewal.</w:t>
            </w:r>
          </w:p>
        </w:tc>
      </w:tr>
      <w:tr>
        <w:trPr>
          <w:trHeight w:val="1" w:hRule="atLeast"/>
          <w:jc w:val="left"/>
        </w:trPr>
        <w:tc>
          <w:tcPr>
            <w:tcW w:w="3020" w:type="dxa"/>
            <w:tcBorders>
              <w:top w:val="single" w:color="bfcde0" w:sz="1"/>
              <w:left w:val="single" w:color="bfcde0" w:sz="1"/>
              <w:bottom w:val="single" w:color="bfcde0" w:sz="1"/>
              <w:right w:val="single" w:color="bfcde0" w:sz="1"/>
            </w:tcBorders>
            <w:shd w:color="auto" w:fill="f5f7fc" w:val="clear"/>
            <w:tcMar>
              <w:left w:w="120" w:type="dxa"/>
              <w:right w:w="120" w:type="dxa"/>
            </w:tcMar>
            <w:vAlign w:val="center"/>
          </w:tcPr>
          <w:p>
            <w:pPr>
              <w:spacing w:before="0" w:after="0" w:line="240"/>
              <w:jc w:val="left"/>
            </w:pPr>
            <w:r>
              <w:rPr>
                <w:rFonts w:ascii="Arial" w:hAnsi="Arial" w:cs="Arial"/>
                <w:color w:val="0D1B3E"/>
                <w:sz w:val="19"/>
                <w:shd w:fill="auto" w:val="clear"/>
              </w:rPr>
              <w:t>HTTP Interceptor (IDAM)</w:t>
            </w:r>
          </w:p>
        </w:tc>
        <w:tc>
          <w:tcPr>
            <w:tcW w:w="6240" w:type="dxa"/>
            <w:tcBorders>
              <w:top w:val="single" w:color="bfcde0" w:sz="1"/>
              <w:left w:val="single" w:color="bfcde0" w:sz="1"/>
              <w:bottom w:val="single" w:color="bfcde0" w:sz="1"/>
              <w:right w:val="single" w:color="bfcde0" w:sz="1"/>
            </w:tcBorders>
            <w:shd w:color="auto" w:fill="f5f7fc" w:val="clear"/>
            <w:tcMar>
              <w:left w:w="120" w:type="dxa"/>
              <w:right w:w="120" w:type="dxa"/>
            </w:tcMar>
            <w:vAlign w:val="center"/>
          </w:tcPr>
          <w:p>
            <w:pPr>
              <w:spacing w:before="0" w:after="0" w:line="240"/>
              <w:jc w:val="left"/>
            </w:pPr>
            <w:r>
              <w:rPr>
                <w:rFonts w:ascii="Arial" w:hAnsi="Arial" w:cs="Arial"/>
                <w:color w:val="4A5568"/>
                <w:sz w:val="19"/>
                <w:shd w:fill="auto" w:val="clear"/>
              </w:rPr>
              <w:t>HttpClient Interceptor handles: 401 → redirect to IDAM (token expired), 403 → show Not Authorized page (permission denied). Attaches X-Request-ID header to every request. Cookie is sent automatically (withCredentials: true) — Angular does NOT manually attach the JWT from storage.</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Environment config</w:t>
            </w:r>
          </w:p>
        </w:tc>
        <w:tc>
          <w:tcPr>
            <w:tcW w:w="6750"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environment.ts (dev) + environment.staging.ts (staging) + environment.prod.ts (prod) for API URL</w:t>
            </w:r>
          </w:p>
        </w:tc>
      </w:tr>
      <w:tr>
        <w:trPr>
          <w:trHeight w:val="1" w:hRule="atLeast"/>
          <w:jc w:val="left"/>
        </w:trPr>
        <w:tc>
          <w:tcPr>
            <w:tcW w:w="260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750"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16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02F70"/>
          <w:spacing w:val="0"/>
          <w:position w:val="0"/>
          <w:sz w:val="22"/>
          <w:shd w:fill="auto" w:val="clear"/>
        </w:rPr>
        <w:t>Figure 2: Frontend Architecture — Angular SPA (Standalone · Zoneless · Signals)</w:t>
      </w:r>
    </w:p>
    <w:p>
      <w:pPr>
        <w:spacing w:before="160" w:after="160" w:line="240"/>
        <w:ind w:right="0" w:left="0" w:firstLine="0"/>
        <w:jc w:val="center"/>
        <w:rPr>
          <w:rFonts w:ascii="Calibri" w:hAnsi="Calibri" w:cs="Calibri" w:eastAsia="Calibri"/>
          <w:color w:val="auto"/>
          <w:spacing w:val="0"/>
          <w:position w:val="0"/>
          <w:sz w:val="22"/>
          <w:shd w:fill="auto" w:val="clear"/>
        </w:rPr>
      </w:pPr>
      <w:r>
        <w:object w:dxaOrig="10834" w:dyaOrig="6771">
          <v:rect xmlns:o="urn:schemas-microsoft-com:office:office" xmlns:v="urn:schemas-microsoft-com:vml" id="rectole0000000001" style="width:541.700000pt;height:338.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240" w:after="120" w:line="240"/>
        <w:ind w:right="0" w:left="0" w:firstLine="0"/>
        <w:jc w:val="left"/>
        <w:rPr>
          <w:rFonts w:ascii="Arial" w:hAnsi="Arial" w:cs="Arial" w:eastAsia="Arial"/>
          <w:b/>
          <w:color w:val="002F70"/>
          <w:spacing w:val="0"/>
          <w:position w:val="0"/>
          <w:sz w:val="28"/>
          <w:shd w:fill="FFFF00" w:val="clear"/>
        </w:rPr>
      </w:pPr>
      <w:r>
        <w:rPr>
          <w:rFonts w:ascii="Arial" w:hAnsi="Arial" w:cs="Arial" w:eastAsia="Arial"/>
          <w:b/>
          <w:color w:val="002F70"/>
          <w:spacing w:val="0"/>
          <w:position w:val="0"/>
          <w:sz w:val="28"/>
          <w:shd w:fill="FFFF00" w:val="clear"/>
        </w:rPr>
        <w:t xml:space="preserve">8.3 Database (** to ensure proper peformance from DB side it’s depending on the application owner)</w:t>
      </w:r>
    </w:p>
    <w:tbl>
      <w:tblPr/>
      <w:tblGrid>
        <w:gridCol w:w="5845"/>
      </w:tblGrid>
      <w:tr>
        <w:trPr>
          <w:trHeight w:val="1" w:hRule="atLeast"/>
          <w:jc w:val="left"/>
        </w:trPr>
        <w:tc>
          <w:tcPr>
            <w:tcW w:w="5845" w:type="dxa"/>
            <w:tcBorders>
              <w:top w:val="single" w:color="002f70" w:sz="4"/>
              <w:left w:val="single" w:color="002f70" w:sz="4"/>
              <w:bottom w:val="single" w:color="002f70" w:sz="4"/>
              <w:right w:val="single" w:color="002f70" w:sz="4"/>
            </w:tcBorders>
            <w:shd w:color="auto" w:fill="002f70"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FFFF00" w:val="clear"/>
              </w:rPr>
              <w:t xml:space="preserve">Practice</w:t>
            </w:r>
          </w:p>
        </w:tc>
      </w:tr>
      <w:tr>
        <w:trPr>
          <w:trHeight w:val="1" w:hRule="atLeast"/>
          <w:jc w:val="left"/>
        </w:trPr>
        <w:tc>
          <w:tcPr>
            <w:tcW w:w="5845" w:type="dxa"/>
            <w:tcBorders>
              <w:top w:val="single" w:color="d1dbf0" w:sz="4"/>
              <w:left w:val="single" w:color="d1dbf0" w:sz="4"/>
              <w:bottom w:val="single" w:color="d1dbf0" w:sz="4"/>
              <w:right w:val="single" w:color="d1dbf0" w:sz="4"/>
            </w:tcBorders>
            <w:shd w:color="auto"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FFFF00" w:val="clear"/>
              </w:rPr>
              <w:t xml:space="preserve">Add Relationships( for the consistency)</w:t>
            </w:r>
          </w:p>
        </w:tc>
      </w:tr>
      <w:tr>
        <w:trPr>
          <w:trHeight w:val="1" w:hRule="atLeast"/>
          <w:jc w:val="left"/>
        </w:trPr>
        <w:tc>
          <w:tcPr>
            <w:tcW w:w="5845" w:type="dxa"/>
            <w:tcBorders>
              <w:top w:val="single" w:color="d1dbf0" w:sz="4"/>
              <w:left w:val="single" w:color="d1dbf0" w:sz="4"/>
              <w:bottom w:val="single" w:color="d1dbf0" w:sz="4"/>
              <w:right w:val="single" w:color="d1dbf0" w:sz="4"/>
            </w:tcBorders>
            <w:shd w:color="auto" w:fill="f5f7fc"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FFFF00" w:val="clear"/>
              </w:rPr>
              <w:t xml:space="preserve">Add indexes </w:t>
            </w:r>
          </w:p>
        </w:tc>
      </w:tr>
      <w:tr>
        <w:trPr>
          <w:trHeight w:val="1" w:hRule="atLeast"/>
          <w:jc w:val="left"/>
        </w:trPr>
        <w:tc>
          <w:tcPr>
            <w:tcW w:w="584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FFFF00" w:val="clear"/>
              </w:rPr>
              <w:t xml:space="preserve">Use Correct data  types</w:t>
            </w:r>
          </w:p>
        </w:tc>
      </w:tr>
      <w:tr>
        <w:trPr>
          <w:trHeight w:val="1" w:hRule="atLeast"/>
          <w:jc w:val="left"/>
        </w:trPr>
        <w:tc>
          <w:tcPr>
            <w:tcW w:w="584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spacing w:val="0"/>
                <w:position w:val="0"/>
              </w:rPr>
            </w:pPr>
            <w:r>
              <w:rPr>
                <w:rFonts w:ascii="Arial" w:hAnsi="Arial" w:cs="Arial" w:eastAsia="Arial"/>
                <w:color w:val="1A1A1A"/>
                <w:spacing w:val="0"/>
                <w:position w:val="0"/>
                <w:sz w:val="18"/>
                <w:shd w:fill="FFFF00" w:val="clear"/>
              </w:rPr>
              <w:t xml:space="preserve">Add soft delete (if needed)</w:t>
            </w:r>
          </w:p>
        </w:tc>
      </w:tr>
      <w:tr>
        <w:trPr>
          <w:trHeight w:val="1" w:hRule="atLeast"/>
          <w:jc w:val="left"/>
        </w:trPr>
        <w:tc>
          <w:tcPr>
            <w:tcW w:w="5845" w:type="dxa"/>
            <w:tcBorders>
              <w:top w:val="single" w:color="d1dbf0" w:sz="4"/>
              <w:left w:val="single" w:color="d1dbf0" w:sz="4"/>
              <w:bottom w:val="single" w:color="d1dbf0" w:sz="4"/>
              <w:right w:val="single" w:color="d1dbf0" w:sz="4"/>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280" w:after="120" w:line="240"/>
        <w:ind w:right="0" w:left="0" w:firstLine="0"/>
        <w:jc w:val="left"/>
        <w:rPr>
          <w:rFonts w:ascii="Arial" w:hAnsi="Arial" w:cs="Arial" w:eastAsia="Arial"/>
          <w:b/>
          <w:color w:val="002F70"/>
          <w:spacing w:val="0"/>
          <w:position w:val="0"/>
          <w:sz w:val="28"/>
          <w:shd w:fill="auto" w:val="clear"/>
        </w:rPr>
      </w:pPr>
      <w:r>
        <w:rPr>
          <w:rFonts w:ascii="Arial" w:hAnsi="Arial" w:cs="Arial" w:eastAsia="Arial"/>
          <w:b/>
          <w:color w:val="002F70"/>
          <w:spacing w:val="0"/>
          <w:position w:val="0"/>
          <w:sz w:val="28"/>
          <w:shd w:fill="auto" w:val="clear"/>
        </w:rPr>
        <w:t xml:space="preserve">8.4 Database Index Specification (EMH-Owned Tables Only)</w:t>
      </w:r>
    </w:p>
    <w:tbl>
      <w:tblPr/>
      <w:tblGrid>
        <w:gridCol w:w="1888"/>
        <w:gridCol w:w="2180"/>
        <w:gridCol w:w="1816"/>
        <w:gridCol w:w="3376"/>
      </w:tblGrid>
      <w:tr>
        <w:trPr>
          <w:trHeight w:val="1" w:hRule="atLeast"/>
          <w:jc w:val="left"/>
        </w:trPr>
        <w:tc>
          <w:tcPr>
            <w:tcW w:w="1888"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Table</w:t>
            </w:r>
          </w:p>
        </w:tc>
        <w:tc>
          <w:tcPr>
            <w:tcW w:w="2180"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Index Columns</w:t>
            </w:r>
          </w:p>
        </w:tc>
        <w:tc>
          <w:tcPr>
            <w:tcW w:w="1816"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Index Type</w:t>
            </w:r>
          </w:p>
        </w:tc>
        <w:tc>
          <w:tcPr>
            <w:tcW w:w="3376"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Query Served</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Users</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IDAMSubjectId</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Unique</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JWT sub claim lookup on every OIDC callback — maps IDAM identity to EMH user record</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Users</w:t>
            </w:r>
          </w:p>
        </w:tc>
        <w:tc>
          <w:tcPr>
            <w:tcW w:w="218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Email</w:t>
            </w:r>
          </w:p>
        </w:tc>
        <w:tc>
          <w:tcPr>
            <w:tcW w:w="181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Unique</w:t>
            </w:r>
          </w:p>
        </w:tc>
        <w:tc>
          <w:tcPr>
            <w:tcW w:w="337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Account lookup</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Sessions</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SessionToken</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Unique</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Session tracking only — IDAM manages actual token refresh. EMH stores session reference if needed.</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Sessions</w:t>
            </w:r>
          </w:p>
        </w:tc>
        <w:tc>
          <w:tcPr>
            <w:tcW w:w="218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w:t>
            </w:r>
          </w:p>
        </w:tc>
        <w:tc>
          <w:tcPr>
            <w:tcW w:w="181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Non-clustered</w:t>
            </w:r>
          </w:p>
        </w:tc>
        <w:tc>
          <w:tcPr>
            <w:tcW w:w="337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Bulk revocation per user</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AuditLogs</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 CreatedAt)</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Non-clustered composite</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 viewer: user + date range search</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AuditLogs</w:t>
            </w:r>
          </w:p>
        </w:tc>
        <w:tc>
          <w:tcPr>
            <w:tcW w:w="218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(EntityName, EntityId)</w:t>
            </w:r>
          </w:p>
        </w:tc>
        <w:tc>
          <w:tcPr>
            <w:tcW w:w="181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Non-clustered composite</w:t>
            </w:r>
          </w:p>
        </w:tc>
        <w:tc>
          <w:tcPr>
            <w:tcW w:w="337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Entity history: all actions on a specific record</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LoginHistory</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 CreatedAt)</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Non-clustered composite</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Login history per user</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MenuItems</w:t>
            </w:r>
          </w:p>
        </w:tc>
        <w:tc>
          <w:tcPr>
            <w:tcW w:w="2180"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AppId</w:t>
            </w:r>
          </w:p>
        </w:tc>
        <w:tc>
          <w:tcPr>
            <w:tcW w:w="181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Non-clustered</w:t>
            </w:r>
          </w:p>
        </w:tc>
        <w:tc>
          <w:tcPr>
            <w:tcW w:w="3376"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Sidebar build — called on every session start</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Users</w:t>
            </w:r>
          </w:p>
        </w:tc>
        <w:tc>
          <w:tcPr>
            <w:tcW w:w="2180"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Username</w:t>
            </w:r>
          </w:p>
        </w:tc>
        <w:tc>
          <w:tcPr>
            <w:tcW w:w="1816"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Unique</w:t>
            </w:r>
          </w:p>
        </w:tc>
        <w:tc>
          <w:tcPr>
            <w:tcW w:w="3376"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Display name lookup in Admin panel search</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LoginHistory</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(IPAddress, CreatedAt)</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Non-clustered composite</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Security investigation: all login events from a given IP in date range</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Sessions</w:t>
            </w:r>
          </w:p>
        </w:tc>
        <w:tc>
          <w:tcPr>
            <w:tcW w:w="2180"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ExpiresAt</w:t>
            </w:r>
          </w:p>
        </w:tc>
        <w:tc>
          <w:tcPr>
            <w:tcW w:w="1816"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Non-clustered</w:t>
            </w:r>
          </w:p>
        </w:tc>
        <w:tc>
          <w:tcPr>
            <w:tcW w:w="3376" w:type="dxa"/>
            <w:tcBorders>
              <w:top w:val="single" w:color="bfcde0" w:sz="1"/>
              <w:left w:val="single" w:color="bfcde0" w:sz="1"/>
              <w:bottom w:val="single" w:color="bfcde0" w:sz="1"/>
              <w:right w:val="single" w:color="bfcde0" w:sz="1"/>
            </w:tcBorders>
            <w:shd w:color="auto" w:fill="f5f7fc" w:val="clear"/>
            <w:tcMar>
              <w:left w:w="130" w:type="dxa"/>
              <w:right w:w="130" w:type="dxa"/>
            </w:tcMar>
            <w:vAlign w:val="center"/>
          </w:tcPr>
          <w:p>
            <w:pPr>
              <w:spacing w:before="0" w:after="0" w:line="240"/>
              <w:jc w:val="left"/>
            </w:pPr>
            <w:r>
              <w:rPr>
                <w:rFonts w:ascii="Arial" w:hAnsi="Arial" w:cs="Arial"/>
                <w:color w:val="1A1A2E"/>
                <w:sz w:val="17"/>
                <w:shd w:fill="auto" w:val="clear"/>
              </w:rPr>
              <w:t>Session cleanup job: delete expired sessions without full table scan</w:t>
            </w:r>
          </w:p>
        </w:tc>
      </w:tr>
      <w:tr>
        <w:trPr>
          <w:trHeight w:val="1" w:hRule="atLeast"/>
          <w:jc w:val="left"/>
        </w:trPr>
        <w:tc>
          <w:tcPr>
            <w:tcW w:w="1888"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RolePermissions</w:t>
            </w:r>
          </w:p>
        </w:tc>
        <w:tc>
          <w:tcPr>
            <w:tcW w:w="2180"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PermissionId</w:t>
            </w:r>
          </w:p>
        </w:tc>
        <w:tc>
          <w:tcPr>
            <w:tcW w:w="181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Non-clustered</w:t>
            </w:r>
          </w:p>
        </w:tc>
        <w:tc>
          <w:tcPr>
            <w:tcW w:w="3376"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jc w:val="left"/>
            </w:pPr>
            <w:r>
              <w:rPr>
                <w:rFonts w:ascii="Arial" w:hAnsi="Arial" w:cs="Arial"/>
                <w:color w:val="1A1A2E"/>
                <w:sz w:val="17"/>
                <w:shd w:fill="auto" w:val="clear"/>
              </w:rPr>
              <w:t>Permission resolution join: UserRoles → RolePermissions → Permissions (from permissions side)</w:t>
            </w:r>
          </w:p>
        </w:tc>
      </w:tr>
    </w:tbl>
    <w:p>
      <w:pPr>
        <w:spacing w:before="0" w:after="0" w:line="240"/>
        <w:ind w:right="0" w:left="0" w:firstLine="0"/>
        <w:jc w:val="left"/>
        <w:rPr>
          <w:rFonts w:ascii="Arial" w:hAnsi="Arial" w:cs="Arial" w:eastAsia="Arial"/>
          <w:color w:val="auto"/>
          <w:spacing w:val="0"/>
          <w:position w:val="0"/>
          <w:sz w:val="22"/>
          <w:shd w:fill="auto" w:val="clear"/>
        </w:rPr>
      </w:pPr>
    </w:p>
    <w:tbl>
      <w:tblPr/>
      <w:tblGrid>
        <w:gridCol w:w="9260"/>
      </w:tblGrid>
      <w:tr>
        <w:trPr>
          <w:trHeight w:val="1" w:hRule="atLeast"/>
          <w:jc w:val="left"/>
        </w:trPr>
        <w:tc>
          <w:tcPr>
            <w:tcW w:w="9260" w:type="dxa"/>
            <w:tcBorders>
              <w:top w:val="single" w:color="1e4d8c" w:sz="1"/>
              <w:left w:val="single" w:color="1e4d8c" w:sz="8"/>
              <w:bottom w:val="single" w:color="1e4d8c" w:sz="1"/>
              <w:right w:val="single" w:color="1e4d8c" w:sz="1"/>
            </w:tcBorders>
            <w:shd w:color="auto" w:fill="e3f2fd" w:val="clear"/>
            <w:tcMar>
              <w:left w:w="180" w:type="dxa"/>
              <w:right w:w="180" w:type="dxa"/>
            </w:tcMar>
            <w:vAlign w:val="top"/>
          </w:tcPr>
          <w:p>
            <w:pPr>
              <w:spacing w:before="0" w:after="0" w:line="240"/>
              <w:ind w:right="0" w:left="0" w:firstLine="0"/>
              <w:jc w:val="left"/>
              <w:rPr>
                <w:spacing w:val="0"/>
                <w:position w:val="0"/>
              </w:rPr>
            </w:pPr>
            <w:r>
              <w:rPr>
                <w:rFonts w:ascii="Arial" w:hAnsi="Arial" w:cs="Arial" w:eastAsia="Arial"/>
                <w:color w:val="1A1A2E"/>
                <w:spacing w:val="0"/>
                <w:position w:val="0"/>
                <w:sz w:val="18"/>
                <w:shd w:fill="auto" w:val="clear"/>
              </w:rPr>
              <w:t xml:space="preserve">External systems: EMH does not own or manage indexes on Clinical Attachment, Premarital, Patient Services, or IDAM databases. Their performance is the responsibility of each application's backend owner. EMH enforces 15-second timeout + circuit breaker on all external API calls.</w:t>
            </w:r>
          </w:p>
        </w:tc>
      </w:tr>
    </w:tbl>
    <w:p>
      <w:pPr>
        <w:spacing w:before="40" w:after="40" w:line="240"/>
        <w:ind w:right="0" w:left="72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36"/>
          <w:shd w:fill="auto" w:val="clear"/>
        </w:rPr>
        <w:t xml:space="preserve">9. Database Conceptual Model</w:t>
      </w:r>
    </w:p>
    <w:p>
      <w:pPr>
        <w:spacing w:before="240" w:after="120" w:line="240"/>
        <w:ind w:right="0" w:left="0" w:firstLine="0"/>
        <w:jc w:val="left"/>
        <w:rPr>
          <w:rFonts w:ascii="Arial" w:hAnsi="Arial" w:cs="Arial" w:eastAsia="Arial"/>
          <w:b/>
          <w:color w:val="002F70"/>
          <w:spacing w:val="0"/>
          <w:position w:val="0"/>
          <w:sz w:val="32"/>
          <w:shd w:fill="auto" w:val="clear"/>
        </w:rPr>
      </w:pPr>
      <w:r>
        <w:rPr>
          <w:rFonts w:ascii="Arial" w:hAnsi="Arial" w:cs="Arial" w:eastAsia="Arial"/>
          <w:b/>
          <w:color w:val="002F70"/>
          <w:spacing w:val="0"/>
          <w:position w:val="0"/>
          <w:sz w:val="32"/>
          <w:shd w:fill="auto" w:val="clear"/>
        </w:rPr>
        <w:t xml:space="preserve">9.1 Core Tables Overview</w:t>
      </w:r>
    </w:p>
    <w:tbl>
      <w:tblPr/>
      <w:tblGrid>
        <w:gridCol w:w="1693"/>
        <w:gridCol w:w="951"/>
        <w:gridCol w:w="3701"/>
        <w:gridCol w:w="2915"/>
      </w:tblGrid>
      <w:tr>
        <w:trPr>
          <w:trHeight w:val="1" w:hRule="atLeast"/>
          <w:jc w:val="left"/>
        </w:trPr>
        <w:tc>
          <w:tcPr>
            <w:tcW w:w="1693"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Table</w:t>
            </w:r>
          </w:p>
        </w:tc>
        <w:tc>
          <w:tcPr>
            <w:tcW w:w="951"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Schema</w:t>
            </w:r>
          </w:p>
        </w:tc>
        <w:tc>
          <w:tcPr>
            <w:tcW w:w="3701"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Key Columns</w:t>
            </w:r>
          </w:p>
        </w:tc>
        <w:tc>
          <w:tcPr>
            <w:tcW w:w="2915" w:type="dxa"/>
            <w:tcBorders>
              <w:top w:val="single" w:color="bfcde0" w:sz="1"/>
              <w:left w:val="single" w:color="bfcde0" w:sz="1"/>
              <w:bottom w:val="single" w:color="bfcde0" w:sz="1"/>
              <w:right w:val="single" w:color="bfcde0" w:sz="1"/>
            </w:tcBorders>
            <w:shd w:color="auto" w:fill="1e4d8c"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b/>
                <w:color w:val="FFFFFF"/>
                <w:spacing w:val="0"/>
                <w:position w:val="0"/>
                <w:sz w:val="18"/>
                <w:shd w:fill="auto" w:val="clear"/>
              </w:rPr>
              <w:t xml:space="preserve">Notes</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 (PK), IDAMSubjectId (unique — OIDC sub claim), Username (unique), Email (unique), IsActive, IsDeleted, DeletedAt, LastLoginAt, CreatedAt, UpdatedAt</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Soft delete: IsDeleted + DeletedAt. No PasswordHash — authentication is via IDAM OIDC. IDAMSubjectId is the stable IDAM identifier used to match the JWT sub claim to an EMH user record. UpdatedAt maintained by EF Core SaveChanges interceptor.</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Roles</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RoleId (PK), RoleName (unique), Description, IsActive, IsDeleted, DeletedAt, CreatedAt, UpdatedAt</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Soft delete supported. UpdatedAt auto-maintained via EF Core interceptor.</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UserRoles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 (FK), RoleId (FK), AssignedAt, AssignedBy</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Composite PK (UserId, RoleId)</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Permissions</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PermissionId (PK), PermissionKey (unique), ApplicationCode, Module, Page, Action, IsActive, CreatedAt, UpdatedAt</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Key format: app.module.page.action</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RolePermissions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RoleId (FK), PermissionId (FK)</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Composite PK</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UserPermissions</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UserId (FK), PermissionId (FK), IsGrant (TINYINT: 1=Grant / 0=Deny), AssignedBy, AssignedAt</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Per-user override. IsGrant: 1 = Grant, 0 = Deny (TINYINT — no Inherit state; absence of row means no override, role-level permission applies). See §4.4 precedence rule.</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Sessions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auth</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SessionId (PK), UserId (FK), SessionToken (unique hash), ExpiresAt, RevokedAt, IsRevoked, CreatedAt, CreatedByIp (NVARCHAR 45), RevokedByIp (NVARCHAR 45)</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EMH session reference table. IDAM manages the actual OAuth refresh tokens — EMH does not store or rotate them. SessionToken is a SHA-256 hash of a random session identifier stored in the HttpOnly cookie alongside the IDAM JWT. Used for server-side session invalidation (logout).</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Applications</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nav</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AppId (PK), AppCode (unique), AppName, RoutePrefix, DisplayOrder, IsActive</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Database-driven app cards</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MenuItems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nav</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MenuItemId (PK), AppId (FK), ParentMenuItemId (FK self), Label, Route, RequiredPermission, DisplayOrder, IsActive</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Self-referencing tree. Max depth enforced in app layer. RequiredPermission stores PermissionKey string (e.g. ca.applications.detail.view) — no FK to Permissions table by design (nav data is read-only at runtime). Application layer validates all RequiredPermission values match existing PermissionKey entries before any nav data is saved or imported.</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PageActions</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nav</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ActionId (PK), AppId (FK), MenuItemId (FK), PageCode, ActionKey, RequiredPermission</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FK to MenuItems prevents orphaned actions. RequiredPermission stores PermissionKey string — same validation rule as MenuItems.RequiredPermission applies.</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AuditLogs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AuditId (PK), UserId (FK nullable), Action, EntityName, EntityId, OldValue (NVARCHAR MAX), NewValue (NVARCHAR MAX), IPAddress, UserAgent, CreatedAt, RetentionDate</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Non-transactional write. RetentionDate for archiving. OldValue/NewValue are NVARCHAR(MAX) — no truncation. Index strategy: avoid indexing MAX columns; query via EntityName + EntityId composite index.</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LoginHistory</w:t>
            </w:r>
          </w:p>
        </w:tc>
        <w:tc>
          <w:tcPr>
            <w:tcW w:w="95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w:t>
            </w:r>
          </w:p>
        </w:tc>
        <w:tc>
          <w:tcPr>
            <w:tcW w:w="3701"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HistoryId (PK), UserId (FK), EventType, IPAddress, UserAgent, Success, FailReason, CreatedAt</w:t>
            </w:r>
          </w:p>
        </w:tc>
        <w:tc>
          <w:tcPr>
            <w:tcW w:w="2915" w:type="dxa"/>
            <w:tcBorders>
              <w:top w:val="single" w:color="bfcde0" w:sz="1"/>
              <w:left w:val="single" w:color="bfcde0" w:sz="1"/>
              <w:bottom w:val="single" w:color="bfcde0" w:sz="1"/>
              <w:right w:val="single" w:color="bfcde0" w:sz="1"/>
            </w:tcBorders>
            <w:shd w:color="auto" w:fill="eff3fa"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OIDC callback received (EMH session started), EMH logout (session cleared), EMH-side errors (401/403). Lockout events are managed by IDAM — not recorded here.</w:t>
            </w:r>
          </w:p>
        </w:tc>
      </w:tr>
      <w:tr>
        <w:trPr>
          <w:trHeight w:val="1" w:hRule="atLeast"/>
          <w:jc w:val="left"/>
        </w:trPr>
        <w:tc>
          <w:tcPr>
            <w:tcW w:w="1693"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ErrorLogs</w:t>
            </w:r>
          </w:p>
        </w:tc>
        <w:tc>
          <w:tcPr>
            <w:tcW w:w="95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audit</w:t>
            </w:r>
          </w:p>
        </w:tc>
        <w:tc>
          <w:tcPr>
            <w:tcW w:w="3701"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ErrorLogId (PK), UserId (FK nullable), ModuleCode, Endpoint, HttpMethod, StatusCode, ExceptionType, SanitizedMessage, StackTraceHash, CreatedAt</w:t>
            </w:r>
          </w:p>
        </w:tc>
        <w:tc>
          <w:tcPr>
            <w:tcW w:w="2915" w:type="dxa"/>
            <w:tcBorders>
              <w:top w:val="single" w:color="bfcde0" w:sz="1"/>
              <w:left w:val="single" w:color="bfcde0" w:sz="1"/>
              <w:bottom w:val="single" w:color="bfcde0" w:sz="1"/>
              <w:right w:val="single" w:color="bfcde0" w:sz="1"/>
            </w:tcBorders>
            <w:shd w:color="auto" w:fill="ffffff" w:val="clear"/>
            <w:tcMar>
              <w:left w:w="130" w:type="dxa"/>
              <w:right w:w="130" w:type="dxa"/>
            </w:tcMar>
            <w:vAlign w:val="center"/>
          </w:tcPr>
          <w:p>
            <w:pPr>
              <w:spacing w:before="0" w:after="0" w:line="240"/>
              <w:ind w:right="0" w:left="0" w:firstLine="0"/>
              <w:jc w:val="left"/>
              <w:rPr>
                <w:spacing w:val="0"/>
                <w:position w:val="0"/>
              </w:rPr>
            </w:pPr>
            <w:r>
              <w:rPr>
                <w:rFonts w:ascii="Arial" w:hAnsi="Arial" w:cs="Arial" w:eastAsia="Arial"/>
                <w:color w:val="1A1A2E"/>
                <w:spacing w:val="0"/>
                <w:position w:val="0"/>
                <w:sz w:val="17"/>
                <w:shd w:fill="auto" w:val="clear"/>
              </w:rPr>
              <w:t xml:space="preserve">StackTraceHash deduplicates errors. Raw stack trace never stored.</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002F70"/>
          <w:spacing w:val="0"/>
          <w:position w:val="0"/>
          <w:sz w:val="36"/>
          <w:shd w:fill="auto" w:val="clear"/>
        </w:rPr>
      </w:pPr>
      <w:r>
        <w:rPr>
          <w:rFonts w:ascii="Arial" w:hAnsi="Arial" w:cs="Arial" w:eastAsia="Arial"/>
          <w:b/>
          <w:color w:val="002F70"/>
          <w:spacing w:val="0"/>
          <w:position w:val="0"/>
          <w:sz w:val="28"/>
          <w:shd w:fill="auto" w:val="clear"/>
        </w:rPr>
        <w:t xml:space="preserve">9.2 ERD</w:t>
        <w:br/>
      </w:r>
    </w:p>
    <w:p>
      <w:pPr>
        <w:spacing w:before="16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02F70"/>
          <w:spacing w:val="0"/>
          <w:position w:val="0"/>
          <w:sz w:val="22"/>
          <w:shd w:fill="auto" w:val="clear"/>
        </w:rPr>
        <w:t>Figure 3: Entity Relationship Diagram — EMH-Owned Tables (auth · nav · audit schemas)</w:t>
      </w:r>
    </w:p>
    <w:p>
      <w:pPr>
        <w:spacing w:before="120" w:after="120" w:line="240"/>
        <w:jc w:val="center"/>
      </w:pPr>
      <w:r>
        <w:drawing>
          <wp:inline xmlns:wp="http://schemas.openxmlformats.org/drawingml/2006/wordprocessingDrawing">
            <wp:extent cx="5733228" cy="4837411"/>
            <wp:effectExtent l="0" t="0" r="0" b="0"/>
            <wp:docPr id="11" name="Figure3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3 ERD"/>
                    <pic:cNvPicPr>
                      <a:picLocks noChangeAspect="1" noChangeArrowheads="1"/>
                    </pic:cNvPicPr>
                  </pic:nvPicPr>
                  <pic:blipFill>
                    <a:blip xmlns:r="http://schemas.openxmlformats.org/officeDocument/2006/relationships" r:embed="imgERD1"/>
                    <a:stretch>
                      <a:fillRect/>
                    </a:stretch>
                  </pic:blipFill>
                  <pic:spPr bwMode="auto">
                    <a:xfrm>
                      <a:off x="0" y="0"/>
                      <a:ext cx="5733228" cy="4837411"/>
                    </a:xfrm>
                    <a:prstGeom prst="rect">
                      <a:avLst/>
                    </a:prstGeom>
                    <a:noFill/>
                    <a:ln>
                      <a:noFill/>
                    </a:ln>
                  </pic:spPr>
                </pic:pic>
              </a:graphicData>
            </a:graphic>
          </wp:inline>
        </w:drawing>
      </w:r>
    </w:p>
    <w:p>
      <w:pPr>
        <w:spacing w:before="160" w:after="160" w:line="240"/>
        <w:ind w:right="0" w:left="0" w:firstLine="0"/>
        <w:jc w:val="center"/>
        <w:rPr>
          <w:rFonts w:ascii="Calibri" w:hAnsi="Calibri" w:cs="Calibri" w:eastAsia="Calibri"/>
          <w:color w:val="auto"/>
          <w:spacing w:val="0"/>
          <w:position w:val="0"/>
          <w:sz w:val="22"/>
          <w:shd w:fill="auto" w:val="clear"/>
        </w:rPr>
      </w:pPr>
      <w:r>
        <w:object w:dxaOrig="10834" w:dyaOrig="8513">
          <v:rect xmlns:o="urn:schemas-microsoft-com:office:office" xmlns:v="urn:schemas-microsoft-com:vml" id="rectole0000000002" style="width:541.700000pt;height:425.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40" w:after="40" w:line="240"/>
        <w:ind w:right="0" w:left="72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12">
    <w:abstractNumId w:val="60"/>
  </w:num>
  <w:num w:numId="16">
    <w:abstractNumId w:val="54"/>
  </w:num>
  <w:num w:numId="22">
    <w:abstractNumId w:val="48"/>
  </w:num>
  <w:num w:numId="110">
    <w:abstractNumId w:val="42"/>
  </w:num>
  <w:num w:numId="143">
    <w:abstractNumId w:val="36"/>
  </w:num>
  <w:num w:numId="173">
    <w:abstractNumId w:val="30"/>
  </w:num>
  <w:num w:numId="191">
    <w:abstractNumId w:val="24"/>
  </w:num>
  <w:num w:numId="212">
    <w:abstractNumId w:val="18"/>
  </w:num>
  <w:num w:numId="261">
    <w:abstractNumId w:val="12"/>
  </w:num>
  <w:num w:numId="291">
    <w:abstractNumId w:val="6"/>
  </w:num>
  <w:num w:numId="40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ocalhost:5341/" Id="docRId3" Type="http://schemas.openxmlformats.org/officeDocument/2006/relationships/hyperlink"/><Relationship Target="media/image2.wmf" Id="docRId7" Type="http://schemas.openxmlformats.org/officeDocument/2006/relationships/image"/><Relationship Target="embeddings/oleObject0.bin" Id="docRId0" Type="http://schemas.openxmlformats.org/officeDocument/2006/relationships/oleObject"/><Relationship TargetMode="External" Target="https://api.example.com/" Id="docRId2" Type="http://schemas.openxmlformats.org/officeDocument/2006/relationships/hyperlink"/><Relationship Target="embeddings/oleObject1.bin" Id="docRId4" Type="http://schemas.openxmlformats.org/officeDocument/2006/relationships/oleObject"/><Relationship Target="embeddings/oleObject2.bin" Id="docRId6" Type="http://schemas.openxmlformats.org/officeDocument/2006/relationships/oleObject"/><Relationship Target="numbering.xml" Id="docRId8" Type="http://schemas.openxmlformats.org/officeDocument/2006/relationships/numbering"/><Relationship Target="media/image0.wmf" Id="docRId1" Type="http://schemas.openxmlformats.org/officeDocument/2006/relationships/image"/><Relationship Target="media/image1.wmf" Id="docRId5" Type="http://schemas.openxmlformats.org/officeDocument/2006/relationships/image"/><Relationship Target="styles.xml" Id="docRId9" Type="http://schemas.openxmlformats.org/officeDocument/2006/relationships/styles"/><Relationship Target="media/diagram_backend_v3.png" Id="imgBE1" Type="http://schemas.openxmlformats.org/officeDocument/2006/relationships/image"/><Relationship Target="media/diagram_erd_v3.png" Id="imgERD1" Type="http://schemas.openxmlformats.org/officeDocument/2006/relationships/image"/></Relationships>
</file>