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DUBAI HEALTH</w:t>
      </w:r>
    </w:p>
    <w:p>
      <w:pPr>
        <w:jc w:val="center"/>
      </w:pPr>
      <w:r>
        <w:rPr>
          <w:b/>
          <w:sz w:val="24"/>
        </w:rPr>
        <w:t>Internal Technical Reference | Architecture Design Document</w:t>
      </w:r>
    </w:p>
    <w:p>
      <w:pPr>
        <w:jc w:val="center"/>
      </w:pPr>
      <w:r>
        <w:rPr>
          <w:b/>
          <w:color w:val="1F4E79"/>
          <w:sz w:val="44"/>
        </w:rPr>
        <w:t>Error Management Hub (EMH)</w:t>
      </w:r>
    </w:p>
    <w:p>
      <w:pPr>
        <w:jc w:val="center"/>
      </w:pPr>
      <w:r>
        <w:rPr>
          <w:b/>
          <w:sz w:val="30"/>
        </w:rPr>
        <w:t>Mendix Low-Code Platform Architecture Rewrite</w:t>
      </w:r>
    </w:p>
    <w:p>
      <w:pPr>
        <w:jc w:val="center"/>
      </w:pPr>
      <w:r>
        <w:t>Version: 2.1 Draft | Status: Pending Architecture Review Board Approval</w:t>
      </w:r>
    </w:p>
    <w:p>
      <w:pPr>
        <w:jc w:val="center"/>
      </w:pPr>
      <w:r>
        <w:rPr>
          <w:sz w:val="18"/>
        </w:rPr>
        <w:t>Audience: Solution Architect, Enterprise Architecture, Information Security, Technical Management, Data Governance</w:t>
      </w:r>
    </w:p>
    <w:p>
      <w:pPr>
        <w:jc w:val="center"/>
      </w:pPr>
      <w:r>
        <w:rPr>
          <w:b/>
          <w:color w:val="A00000"/>
          <w:sz w:val="18"/>
        </w:rPr>
        <w:t>Classification: Confidential / Highly Confidential — Internal Use Only</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Item</w:t>
            </w:r>
          </w:p>
        </w:tc>
        <w:tc>
          <w:tcPr>
            <w:tcW w:type="dxa" w:w="5112"/>
            <w:shd w:fill="D9EAF7"/>
            <w:vAlign w:val="center"/>
          </w:tcPr>
          <w:p>
            <w:r/>
            <w:r>
              <w:rPr>
                <w:rFonts w:ascii="Arial" w:hAnsi="Arial" w:eastAsia="Arial"/>
                <w:b/>
                <w:sz w:val="17"/>
              </w:rPr>
              <w:t>Value</w:t>
            </w:r>
          </w:p>
        </w:tc>
      </w:tr>
      <w:tr>
        <w:tc>
          <w:tcPr>
            <w:tcW w:type="dxa" w:w="5112"/>
            <w:vAlign w:val="top"/>
          </w:tcPr>
          <w:p>
            <w:r/>
            <w:r>
              <w:rPr>
                <w:rFonts w:ascii="Arial" w:hAnsi="Arial" w:eastAsia="Arial"/>
                <w:b w:val="0"/>
                <w:sz w:val="17"/>
              </w:rPr>
              <w:t>Document Name</w:t>
            </w:r>
          </w:p>
        </w:tc>
        <w:tc>
          <w:tcPr>
            <w:tcW w:type="dxa" w:w="5112"/>
            <w:vAlign w:val="top"/>
          </w:tcPr>
          <w:p>
            <w:r/>
            <w:r>
              <w:rPr>
                <w:rFonts w:ascii="Arial" w:hAnsi="Arial" w:eastAsia="Arial"/>
                <w:b w:val="0"/>
                <w:sz w:val="17"/>
              </w:rPr>
              <w:t>Error Management Hub — Mendix Architecture Design Document Rewrite</w:t>
            </w:r>
          </w:p>
        </w:tc>
      </w:tr>
      <w:tr>
        <w:tc>
          <w:tcPr>
            <w:tcW w:type="dxa" w:w="5112"/>
            <w:vAlign w:val="top"/>
          </w:tcPr>
          <w:p>
            <w:r/>
            <w:r>
              <w:rPr>
                <w:rFonts w:ascii="Arial" w:hAnsi="Arial" w:eastAsia="Arial"/>
                <w:b w:val="0"/>
                <w:sz w:val="17"/>
              </w:rPr>
              <w:t>Source Baseline</w:t>
            </w:r>
          </w:p>
        </w:tc>
        <w:tc>
          <w:tcPr>
            <w:tcW w:type="dxa" w:w="5112"/>
            <w:vAlign w:val="top"/>
          </w:tcPr>
          <w:p>
            <w:r/>
            <w:r>
              <w:rPr>
                <w:rFonts w:ascii="Arial" w:hAnsi="Arial" w:eastAsia="Arial"/>
                <w:b w:val="0"/>
                <w:sz w:val="17"/>
              </w:rPr>
              <w:t>Original EMH Architecture Proposal prepared for Angular frontend and .NET backend</w:t>
            </w:r>
          </w:p>
        </w:tc>
      </w:tr>
      <w:tr>
        <w:tc>
          <w:tcPr>
            <w:tcW w:type="dxa" w:w="5112"/>
            <w:vAlign w:val="top"/>
          </w:tcPr>
          <w:p>
            <w:r/>
            <w:r>
              <w:rPr>
                <w:rFonts w:ascii="Arial" w:hAnsi="Arial" w:eastAsia="Arial"/>
                <w:b w:val="0"/>
                <w:sz w:val="17"/>
              </w:rPr>
              <w:t>Target Direction</w:t>
            </w:r>
          </w:p>
        </w:tc>
        <w:tc>
          <w:tcPr>
            <w:tcW w:type="dxa" w:w="5112"/>
            <w:vAlign w:val="top"/>
          </w:tcPr>
          <w:p>
            <w:r/>
            <w:r>
              <w:rPr>
                <w:rFonts w:ascii="Arial" w:hAnsi="Arial" w:eastAsia="Arial"/>
                <w:b w:val="0"/>
                <w:sz w:val="17"/>
              </w:rPr>
              <w:t>Mendix Low-Code Platform, on-premises deployment, SAML SSO</w:t>
            </w:r>
          </w:p>
        </w:tc>
      </w:tr>
      <w:tr>
        <w:tc>
          <w:tcPr>
            <w:tcW w:type="dxa" w:w="5112"/>
            <w:vAlign w:val="top"/>
          </w:tcPr>
          <w:p>
            <w:r/>
            <w:r>
              <w:rPr>
                <w:rFonts w:ascii="Arial" w:hAnsi="Arial" w:eastAsia="Arial"/>
                <w:b w:val="0"/>
                <w:sz w:val="17"/>
              </w:rPr>
              <w:t>Data Classification</w:t>
            </w:r>
          </w:p>
        </w:tc>
        <w:tc>
          <w:tcPr>
            <w:tcW w:type="dxa" w:w="5112"/>
            <w:vAlign w:val="top"/>
          </w:tcPr>
          <w:p>
            <w:r/>
            <w:r>
              <w:rPr>
                <w:rFonts w:ascii="Arial" w:hAnsi="Arial" w:eastAsia="Arial"/>
                <w:b w:val="0"/>
                <w:sz w:val="17"/>
              </w:rPr>
              <w:t>Confidential and Highly Confidential</w:t>
            </w:r>
          </w:p>
        </w:tc>
      </w:tr>
      <w:tr>
        <w:tc>
          <w:tcPr>
            <w:tcW w:type="dxa" w:w="5112"/>
            <w:vAlign w:val="top"/>
          </w:tcPr>
          <w:p>
            <w:r/>
            <w:r>
              <w:rPr>
                <w:rFonts w:ascii="Arial" w:hAnsi="Arial" w:eastAsia="Arial"/>
                <w:b w:val="0"/>
                <w:sz w:val="17"/>
              </w:rPr>
              <w:t>Data Handling Principle</w:t>
            </w:r>
          </w:p>
        </w:tc>
        <w:tc>
          <w:tcPr>
            <w:tcW w:type="dxa" w:w="5112"/>
            <w:vAlign w:val="top"/>
          </w:tcPr>
          <w:p>
            <w:r/>
            <w:r>
              <w:rPr>
                <w:rFonts w:ascii="Arial" w:hAnsi="Arial" w:eastAsia="Arial"/>
                <w:b w:val="0"/>
                <w:sz w:val="17"/>
              </w:rPr>
              <w:t>Display-only external operational data; no persistence of external system records unless formally approved</w:t>
            </w:r>
          </w:p>
        </w:tc>
      </w:tr>
      <w:tr>
        <w:tc>
          <w:tcPr>
            <w:tcW w:type="dxa" w:w="5112"/>
            <w:vAlign w:val="top"/>
          </w:tcPr>
          <w:p>
            <w:r/>
            <w:r>
              <w:rPr>
                <w:rFonts w:ascii="Arial" w:hAnsi="Arial" w:eastAsia="Arial"/>
                <w:b w:val="0"/>
                <w:sz w:val="17"/>
              </w:rPr>
              <w:t>Monitoring Direction</w:t>
            </w:r>
          </w:p>
        </w:tc>
        <w:tc>
          <w:tcPr>
            <w:tcW w:type="dxa" w:w="5112"/>
            <w:vAlign w:val="top"/>
          </w:tcPr>
          <w:p>
            <w:r/>
            <w:r>
              <w:rPr>
                <w:rFonts w:ascii="Arial" w:hAnsi="Arial" w:eastAsia="Arial"/>
                <w:b w:val="0"/>
                <w:sz w:val="17"/>
              </w:rPr>
              <w:t>AppDynamics for monitoring and logging, subject to final platform/security confirmation</w:t>
            </w:r>
          </w:p>
        </w:tc>
      </w:tr>
      <w:tr>
        <w:tc>
          <w:tcPr>
            <w:tcW w:type="dxa" w:w="5112"/>
            <w:vAlign w:val="top"/>
          </w:tcPr>
          <w:p>
            <w:r/>
            <w:r>
              <w:rPr>
                <w:rFonts w:ascii="Arial" w:hAnsi="Arial" w:eastAsia="Arial"/>
                <w:b w:val="0"/>
                <w:sz w:val="17"/>
              </w:rPr>
              <w:t>DR Targets</w:t>
            </w:r>
          </w:p>
        </w:tc>
        <w:tc>
          <w:tcPr>
            <w:tcW w:type="dxa" w:w="5112"/>
            <w:vAlign w:val="top"/>
          </w:tcPr>
          <w:p>
            <w:r/>
            <w:r>
              <w:rPr>
                <w:rFonts w:ascii="Arial" w:hAnsi="Arial" w:eastAsia="Arial"/>
                <w:b w:val="0"/>
                <w:sz w:val="17"/>
              </w:rPr>
              <w:t>RTO: TBD, target 1 hour. RPO: TBD, target 5 minutes. DR strategy: redeploy on disaster, pending validation.</w:t>
            </w:r>
          </w:p>
        </w:tc>
      </w:tr>
    </w:tbl>
    <w:p/>
    <w:p>
      <w:pPr>
        <w:pStyle w:val="Heading2"/>
        <w:keepNext/>
      </w:pPr>
      <w:r>
        <w:t>Purpose of this Rewrite</w:t>
      </w:r>
    </w:p>
    <w:p>
      <w:r>
        <w:t>This document rewrites the original Angular/.NET architecture proposal into a Mendix-based architecture while preserving the business purpose, scope, operational objectives, security posture, integration rules, and governance expectations of the Error Management Hub. The document is written for architecture governance and should be reviewed by Enterprise Architecture, Information Security, Data Governance, Infrastructure, Integration Owners, and the Mendix Platform Owner before implementation approval.</w:t>
      </w:r>
    </w:p>
    <w:p>
      <w:pPr>
        <w:pStyle w:val="Heading2"/>
        <w:keepNext/>
      </w:pPr>
      <w:r>
        <w:t>Confirmed Inputs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Area</w:t>
            </w:r>
          </w:p>
        </w:tc>
        <w:tc>
          <w:tcPr>
            <w:tcW w:type="dxa" w:w="5112"/>
            <w:shd w:fill="D9EAF7"/>
            <w:vAlign w:val="center"/>
          </w:tcPr>
          <w:p>
            <w:r/>
            <w:r>
              <w:rPr>
                <w:rFonts w:ascii="Arial" w:hAnsi="Arial" w:eastAsia="Arial"/>
                <w:b/>
                <w:sz w:val="17"/>
              </w:rPr>
              <w:t>Confirmed / Current Direction</w:t>
            </w:r>
          </w:p>
        </w:tc>
      </w:tr>
      <w:tr>
        <w:tc>
          <w:tcPr>
            <w:tcW w:type="dxa" w:w="5112"/>
            <w:vAlign w:val="top"/>
          </w:tcPr>
          <w:p>
            <w:r/>
            <w:r>
              <w:rPr>
                <w:rFonts w:ascii="Arial" w:hAnsi="Arial" w:eastAsia="Arial"/>
                <w:b w:val="0"/>
                <w:sz w:val="17"/>
              </w:rPr>
              <w:t>Deployment</w:t>
            </w:r>
          </w:p>
        </w:tc>
        <w:tc>
          <w:tcPr>
            <w:tcW w:type="dxa" w:w="5112"/>
            <w:vAlign w:val="top"/>
          </w:tcPr>
          <w:p>
            <w:r/>
            <w:r>
              <w:rPr>
                <w:rFonts w:ascii="Arial" w:hAnsi="Arial" w:eastAsia="Arial"/>
                <w:b w:val="0"/>
                <w:sz w:val="17"/>
              </w:rPr>
              <w:t>On-premises deployment in a government-approved infrastructure environment.</w:t>
            </w:r>
          </w:p>
        </w:tc>
      </w:tr>
      <w:tr>
        <w:tc>
          <w:tcPr>
            <w:tcW w:type="dxa" w:w="5112"/>
            <w:vAlign w:val="top"/>
          </w:tcPr>
          <w:p>
            <w:r/>
            <w:r>
              <w:rPr>
                <w:rFonts w:ascii="Arial" w:hAnsi="Arial" w:eastAsia="Arial"/>
                <w:b w:val="0"/>
                <w:sz w:val="17"/>
              </w:rPr>
              <w:t>Authentication</w:t>
            </w:r>
          </w:p>
        </w:tc>
        <w:tc>
          <w:tcPr>
            <w:tcW w:type="dxa" w:w="5112"/>
            <w:vAlign w:val="top"/>
          </w:tcPr>
          <w:p>
            <w:r/>
            <w:r>
              <w:rPr>
                <w:rFonts w:ascii="Arial" w:hAnsi="Arial" w:eastAsia="Arial"/>
                <w:b w:val="0"/>
                <w:sz w:val="17"/>
              </w:rPr>
              <w:t>SAML-based SSO with enterprise IDAM. UAE Pass may be involved through the approved identity architecture.</w:t>
            </w:r>
          </w:p>
        </w:tc>
      </w:tr>
      <w:tr>
        <w:tc>
          <w:tcPr>
            <w:tcW w:type="dxa" w:w="5112"/>
            <w:vAlign w:val="top"/>
          </w:tcPr>
          <w:p>
            <w:r/>
            <w:r>
              <w:rPr>
                <w:rFonts w:ascii="Arial" w:hAnsi="Arial" w:eastAsia="Arial"/>
                <w:b w:val="0"/>
                <w:sz w:val="17"/>
              </w:rPr>
              <w:t>Data Classification</w:t>
            </w:r>
          </w:p>
        </w:tc>
        <w:tc>
          <w:tcPr>
            <w:tcW w:type="dxa" w:w="5112"/>
            <w:vAlign w:val="top"/>
          </w:tcPr>
          <w:p>
            <w:r/>
            <w:r>
              <w:rPr>
                <w:rFonts w:ascii="Arial" w:hAnsi="Arial" w:eastAsia="Arial"/>
                <w:b w:val="0"/>
                <w:sz w:val="17"/>
              </w:rPr>
              <w:t>Confidential and Highly Confidential.</w:t>
            </w:r>
          </w:p>
        </w:tc>
      </w:tr>
      <w:tr>
        <w:tc>
          <w:tcPr>
            <w:tcW w:type="dxa" w:w="5112"/>
            <w:vAlign w:val="top"/>
          </w:tcPr>
          <w:p>
            <w:r/>
            <w:r>
              <w:rPr>
                <w:rFonts w:ascii="Arial" w:hAnsi="Arial" w:eastAsia="Arial"/>
                <w:b w:val="0"/>
                <w:sz w:val="17"/>
              </w:rPr>
              <w:t>External Data Persistence</w:t>
            </w:r>
          </w:p>
        </w:tc>
        <w:tc>
          <w:tcPr>
            <w:tcW w:type="dxa" w:w="5112"/>
            <w:vAlign w:val="top"/>
          </w:tcPr>
          <w:p>
            <w:r/>
            <w:r>
              <w:rPr>
                <w:rFonts w:ascii="Arial" w:hAnsi="Arial" w:eastAsia="Arial"/>
                <w:b w:val="0"/>
                <w:sz w:val="17"/>
              </w:rPr>
              <w:t>Display only. External operational data shall not be persisted in EMH unless formally approved.</w:t>
            </w:r>
          </w:p>
        </w:tc>
      </w:tr>
      <w:tr>
        <w:tc>
          <w:tcPr>
            <w:tcW w:type="dxa" w:w="5112"/>
            <w:vAlign w:val="top"/>
          </w:tcPr>
          <w:p>
            <w:r/>
            <w:r>
              <w:rPr>
                <w:rFonts w:ascii="Arial" w:hAnsi="Arial" w:eastAsia="Arial"/>
                <w:b w:val="0"/>
                <w:sz w:val="17"/>
              </w:rPr>
              <w:t>Audit Retention</w:t>
            </w:r>
          </w:p>
        </w:tc>
        <w:tc>
          <w:tcPr>
            <w:tcW w:type="dxa" w:w="5112"/>
            <w:vAlign w:val="top"/>
          </w:tcPr>
          <w:p>
            <w:r/>
            <w:r>
              <w:rPr>
                <w:rFonts w:ascii="Arial" w:hAnsi="Arial" w:eastAsia="Arial"/>
                <w:b w:val="0"/>
                <w:sz w:val="17"/>
              </w:rPr>
              <w:t>1 year stated; must be validated with Compliance, Legal, Information Security, and Records Management.</w:t>
            </w:r>
          </w:p>
        </w:tc>
      </w:tr>
      <w:tr>
        <w:tc>
          <w:tcPr>
            <w:tcW w:type="dxa" w:w="5112"/>
            <w:vAlign w:val="top"/>
          </w:tcPr>
          <w:p>
            <w:r/>
            <w:r>
              <w:rPr>
                <w:rFonts w:ascii="Arial" w:hAnsi="Arial" w:eastAsia="Arial"/>
                <w:b w:val="0"/>
                <w:sz w:val="17"/>
              </w:rPr>
              <w:t>Monitoring and Logging</w:t>
            </w:r>
          </w:p>
        </w:tc>
        <w:tc>
          <w:tcPr>
            <w:tcW w:type="dxa" w:w="5112"/>
            <w:vAlign w:val="top"/>
          </w:tcPr>
          <w:p>
            <w:r/>
            <w:r>
              <w:rPr>
                <w:rFonts w:ascii="Arial" w:hAnsi="Arial" w:eastAsia="Arial"/>
                <w:b w:val="0"/>
                <w:sz w:val="17"/>
              </w:rPr>
              <w:t>AppDynamics stated for monitoring and logging; SIEM forwarding remains to be confirmed.</w:t>
            </w:r>
          </w:p>
        </w:tc>
      </w:tr>
      <w:tr>
        <w:tc>
          <w:tcPr>
            <w:tcW w:type="dxa" w:w="5112"/>
            <w:vAlign w:val="top"/>
          </w:tcPr>
          <w:p>
            <w:r/>
            <w:r>
              <w:rPr>
                <w:rFonts w:ascii="Arial" w:hAnsi="Arial" w:eastAsia="Arial"/>
                <w:b w:val="0"/>
                <w:sz w:val="17"/>
              </w:rPr>
              <w:t>Marketplace Modules</w:t>
            </w:r>
          </w:p>
        </w:tc>
        <w:tc>
          <w:tcPr>
            <w:tcW w:type="dxa" w:w="5112"/>
            <w:vAlign w:val="top"/>
          </w:tcPr>
          <w:p>
            <w:r/>
            <w:r>
              <w:rPr>
                <w:rFonts w:ascii="Arial" w:hAnsi="Arial" w:eastAsia="Arial"/>
                <w:b w:val="0"/>
                <w:sz w:val="17"/>
              </w:rPr>
              <w:t>Unknown. Must be confirmed through third-party component/security approval process.</w:t>
            </w:r>
          </w:p>
        </w:tc>
      </w:tr>
      <w:tr>
        <w:tc>
          <w:tcPr>
            <w:tcW w:type="dxa" w:w="5112"/>
            <w:vAlign w:val="top"/>
          </w:tcPr>
          <w:p>
            <w:r/>
            <w:r>
              <w:rPr>
                <w:rFonts w:ascii="Arial" w:hAnsi="Arial" w:eastAsia="Arial"/>
                <w:b w:val="0"/>
                <w:sz w:val="17"/>
              </w:rPr>
              <w:t>Custom Java</w:t>
            </w:r>
          </w:p>
        </w:tc>
        <w:tc>
          <w:tcPr>
            <w:tcW w:type="dxa" w:w="5112"/>
            <w:vAlign w:val="top"/>
          </w:tcPr>
          <w:p>
            <w:r/>
            <w:r>
              <w:rPr>
                <w:rFonts w:ascii="Arial" w:hAnsi="Arial" w:eastAsia="Arial"/>
                <w:b w:val="0"/>
                <w:sz w:val="17"/>
              </w:rPr>
              <w:t>Possibly allowed because Java projects exist; formal secure coding and approval process must be confirmed.</w:t>
            </w:r>
          </w:p>
        </w:tc>
      </w:tr>
    </w:tbl>
    <w:p/>
    <w:p>
      <w:pPr>
        <w:pStyle w:val="Heading2"/>
        <w:keepNext/>
      </w:pPr>
      <w:r>
        <w:t>Key Assumptions and Pending Confirmations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ID</w:t>
            </w:r>
          </w:p>
        </w:tc>
        <w:tc>
          <w:tcPr>
            <w:tcW w:type="dxa" w:w="3408"/>
            <w:shd w:fill="D9EAF7"/>
            <w:vAlign w:val="center"/>
          </w:tcPr>
          <w:p>
            <w:r/>
            <w:r>
              <w:rPr>
                <w:rFonts w:ascii="Arial" w:hAnsi="Arial" w:eastAsia="Arial"/>
                <w:b/>
                <w:sz w:val="17"/>
              </w:rPr>
              <w:t>Assumption / Open Question</w:t>
            </w:r>
          </w:p>
        </w:tc>
        <w:tc>
          <w:tcPr>
            <w:tcW w:type="dxa" w:w="3408"/>
            <w:shd w:fill="D9EAF7"/>
            <w:vAlign w:val="center"/>
          </w:tcPr>
          <w:p>
            <w:r/>
            <w:r>
              <w:rPr>
                <w:rFonts w:ascii="Arial" w:hAnsi="Arial" w:eastAsia="Arial"/>
                <w:b/>
                <w:sz w:val="17"/>
              </w:rPr>
              <w:t>Impact if Unresolved</w:t>
            </w:r>
          </w:p>
        </w:tc>
      </w:tr>
      <w:tr>
        <w:tc>
          <w:tcPr>
            <w:tcW w:type="dxa" w:w="3408"/>
            <w:vAlign w:val="top"/>
          </w:tcPr>
          <w:p>
            <w:r/>
            <w:r>
              <w:rPr>
                <w:rFonts w:ascii="Arial" w:hAnsi="Arial" w:eastAsia="Arial"/>
                <w:b w:val="0"/>
                <w:sz w:val="17"/>
              </w:rPr>
              <w:t>A-01</w:t>
            </w:r>
          </w:p>
        </w:tc>
        <w:tc>
          <w:tcPr>
            <w:tcW w:type="dxa" w:w="3408"/>
            <w:vAlign w:val="top"/>
          </w:tcPr>
          <w:p>
            <w:r/>
            <w:r>
              <w:rPr>
                <w:rFonts w:ascii="Arial" w:hAnsi="Arial" w:eastAsia="Arial"/>
                <w:b w:val="0"/>
                <w:sz w:val="17"/>
              </w:rPr>
              <w:t>Mendix runtime will be approved for on-premises hosting within the organization infrastructure.</w:t>
            </w:r>
          </w:p>
        </w:tc>
        <w:tc>
          <w:tcPr>
            <w:tcW w:type="dxa" w:w="3408"/>
            <w:vAlign w:val="top"/>
          </w:tcPr>
          <w:p>
            <w:r/>
            <w:r>
              <w:rPr>
                <w:rFonts w:ascii="Arial" w:hAnsi="Arial" w:eastAsia="Arial"/>
                <w:b w:val="0"/>
                <w:sz w:val="17"/>
              </w:rPr>
              <w:t>Deployment architecture, operations, patching, and support model cannot be finalized.</w:t>
            </w:r>
          </w:p>
        </w:tc>
      </w:tr>
      <w:tr>
        <w:tc>
          <w:tcPr>
            <w:tcW w:type="dxa" w:w="3408"/>
            <w:vAlign w:val="top"/>
          </w:tcPr>
          <w:p>
            <w:r/>
            <w:r>
              <w:rPr>
                <w:rFonts w:ascii="Arial" w:hAnsi="Arial" w:eastAsia="Arial"/>
                <w:b w:val="0"/>
                <w:sz w:val="17"/>
              </w:rPr>
              <w:t>A-02</w:t>
            </w:r>
          </w:p>
        </w:tc>
        <w:tc>
          <w:tcPr>
            <w:tcW w:type="dxa" w:w="3408"/>
            <w:vAlign w:val="top"/>
          </w:tcPr>
          <w:p>
            <w:r/>
            <w:r>
              <w:rPr>
                <w:rFonts w:ascii="Arial" w:hAnsi="Arial" w:eastAsia="Arial"/>
                <w:b w:val="0"/>
                <w:sz w:val="17"/>
              </w:rPr>
              <w:t>SAML is the approved SSO protocol for EMH.</w:t>
            </w:r>
          </w:p>
        </w:tc>
        <w:tc>
          <w:tcPr>
            <w:tcW w:type="dxa" w:w="3408"/>
            <w:vAlign w:val="top"/>
          </w:tcPr>
          <w:p>
            <w:r/>
            <w:r>
              <w:rPr>
                <w:rFonts w:ascii="Arial" w:hAnsi="Arial" w:eastAsia="Arial"/>
                <w:b w:val="0"/>
                <w:sz w:val="17"/>
              </w:rPr>
              <w:t>Login flow, identity claim mapping, logout behavior, and session controls depend on this.</w:t>
            </w:r>
          </w:p>
        </w:tc>
      </w:tr>
      <w:tr>
        <w:tc>
          <w:tcPr>
            <w:tcW w:type="dxa" w:w="3408"/>
            <w:vAlign w:val="top"/>
          </w:tcPr>
          <w:p>
            <w:r/>
            <w:r>
              <w:rPr>
                <w:rFonts w:ascii="Arial" w:hAnsi="Arial" w:eastAsia="Arial"/>
                <w:b w:val="0"/>
                <w:sz w:val="17"/>
              </w:rPr>
              <w:t>A-03</w:t>
            </w:r>
          </w:p>
        </w:tc>
        <w:tc>
          <w:tcPr>
            <w:tcW w:type="dxa" w:w="3408"/>
            <w:vAlign w:val="top"/>
          </w:tcPr>
          <w:p>
            <w:r/>
            <w:r>
              <w:rPr>
                <w:rFonts w:ascii="Arial" w:hAnsi="Arial" w:eastAsia="Arial"/>
                <w:b w:val="0"/>
                <w:sz w:val="17"/>
              </w:rPr>
              <w:t>UAE Pass is integrated through IDAM or an enterprise identity broker, not directly by EMH, unless mandated.</w:t>
            </w:r>
          </w:p>
        </w:tc>
        <w:tc>
          <w:tcPr>
            <w:tcW w:type="dxa" w:w="3408"/>
            <w:vAlign w:val="top"/>
          </w:tcPr>
          <w:p>
            <w:r/>
            <w:r>
              <w:rPr>
                <w:rFonts w:ascii="Arial" w:hAnsi="Arial" w:eastAsia="Arial"/>
                <w:b w:val="0"/>
                <w:sz w:val="17"/>
              </w:rPr>
              <w:t>Avoids duplicated identity logic and reduces application-level security risk.</w:t>
            </w:r>
          </w:p>
        </w:tc>
      </w:tr>
      <w:tr>
        <w:tc>
          <w:tcPr>
            <w:tcW w:type="dxa" w:w="3408"/>
            <w:vAlign w:val="top"/>
          </w:tcPr>
          <w:p>
            <w:r/>
            <w:r>
              <w:rPr>
                <w:rFonts w:ascii="Arial" w:hAnsi="Arial" w:eastAsia="Arial"/>
                <w:b w:val="0"/>
                <w:sz w:val="17"/>
              </w:rPr>
              <w:t>A-04</w:t>
            </w:r>
          </w:p>
        </w:tc>
        <w:tc>
          <w:tcPr>
            <w:tcW w:type="dxa" w:w="3408"/>
            <w:vAlign w:val="top"/>
          </w:tcPr>
          <w:p>
            <w:r/>
            <w:r>
              <w:rPr>
                <w:rFonts w:ascii="Arial" w:hAnsi="Arial" w:eastAsia="Arial"/>
                <w:b w:val="0"/>
                <w:sz w:val="17"/>
              </w:rPr>
              <w:t>External data is display-only and mapped to non-persistent Mendix objects.</w:t>
            </w:r>
          </w:p>
        </w:tc>
        <w:tc>
          <w:tcPr>
            <w:tcW w:type="dxa" w:w="3408"/>
            <w:vAlign w:val="top"/>
          </w:tcPr>
          <w:p>
            <w:r/>
            <w:r>
              <w:rPr>
                <w:rFonts w:ascii="Arial" w:hAnsi="Arial" w:eastAsia="Arial"/>
                <w:b w:val="0"/>
                <w:sz w:val="17"/>
              </w:rPr>
              <w:t>Reduces data protection, retention, and breach exposure.</w:t>
            </w:r>
          </w:p>
        </w:tc>
      </w:tr>
      <w:tr>
        <w:tc>
          <w:tcPr>
            <w:tcW w:type="dxa" w:w="3408"/>
            <w:vAlign w:val="top"/>
          </w:tcPr>
          <w:p>
            <w:r/>
            <w:r>
              <w:rPr>
                <w:rFonts w:ascii="Arial" w:hAnsi="Arial" w:eastAsia="Arial"/>
                <w:b w:val="0"/>
                <w:sz w:val="17"/>
              </w:rPr>
              <w:t>A-05</w:t>
            </w:r>
          </w:p>
        </w:tc>
        <w:tc>
          <w:tcPr>
            <w:tcW w:type="dxa" w:w="3408"/>
            <w:vAlign w:val="top"/>
          </w:tcPr>
          <w:p>
            <w:r/>
            <w:r>
              <w:rPr>
                <w:rFonts w:ascii="Arial" w:hAnsi="Arial" w:eastAsia="Arial"/>
                <w:b w:val="0"/>
                <w:sz w:val="17"/>
              </w:rPr>
              <w:t>AppDynamics is approved for APM, logs, dependency monitoring, and alerting.</w:t>
            </w:r>
          </w:p>
        </w:tc>
        <w:tc>
          <w:tcPr>
            <w:tcW w:type="dxa" w:w="3408"/>
            <w:vAlign w:val="top"/>
          </w:tcPr>
          <w:p>
            <w:r/>
            <w:r>
              <w:rPr>
                <w:rFonts w:ascii="Arial" w:hAnsi="Arial" w:eastAsia="Arial"/>
                <w:b w:val="0"/>
                <w:sz w:val="17"/>
              </w:rPr>
              <w:t>Final observability architecture and retention model depend on this.</w:t>
            </w:r>
          </w:p>
        </w:tc>
      </w:tr>
      <w:tr>
        <w:tc>
          <w:tcPr>
            <w:tcW w:type="dxa" w:w="3408"/>
            <w:vAlign w:val="top"/>
          </w:tcPr>
          <w:p>
            <w:r/>
            <w:r>
              <w:rPr>
                <w:rFonts w:ascii="Arial" w:hAnsi="Arial" w:eastAsia="Arial"/>
                <w:b w:val="0"/>
                <w:sz w:val="17"/>
              </w:rPr>
              <w:t>A-06</w:t>
            </w:r>
          </w:p>
        </w:tc>
        <w:tc>
          <w:tcPr>
            <w:tcW w:type="dxa" w:w="3408"/>
            <w:vAlign w:val="top"/>
          </w:tcPr>
          <w:p>
            <w:r/>
            <w:r>
              <w:rPr>
                <w:rFonts w:ascii="Arial" w:hAnsi="Arial" w:eastAsia="Arial"/>
                <w:b w:val="0"/>
                <w:sz w:val="17"/>
              </w:rPr>
              <w:t>One-year audit retention is a business direction pending compliance validation.</w:t>
            </w:r>
          </w:p>
        </w:tc>
        <w:tc>
          <w:tcPr>
            <w:tcW w:type="dxa" w:w="3408"/>
            <w:vAlign w:val="top"/>
          </w:tcPr>
          <w:p>
            <w:r/>
            <w:r>
              <w:rPr>
                <w:rFonts w:ascii="Arial" w:hAnsi="Arial" w:eastAsia="Arial"/>
                <w:b w:val="0"/>
                <w:sz w:val="17"/>
              </w:rPr>
              <w:t>Audit table sizing, archive process, and log retention cannot be finalized until approved.</w:t>
            </w:r>
          </w:p>
        </w:tc>
      </w:tr>
      <w:tr>
        <w:tc>
          <w:tcPr>
            <w:tcW w:type="dxa" w:w="3408"/>
            <w:vAlign w:val="top"/>
          </w:tcPr>
          <w:p>
            <w:r/>
            <w:r>
              <w:rPr>
                <w:rFonts w:ascii="Arial" w:hAnsi="Arial" w:eastAsia="Arial"/>
                <w:b w:val="0"/>
                <w:sz w:val="17"/>
              </w:rPr>
              <w:t>A-07</w:t>
            </w:r>
          </w:p>
        </w:tc>
        <w:tc>
          <w:tcPr>
            <w:tcW w:type="dxa" w:w="3408"/>
            <w:vAlign w:val="top"/>
          </w:tcPr>
          <w:p>
            <w:r/>
            <w:r>
              <w:rPr>
                <w:rFonts w:ascii="Arial" w:hAnsi="Arial" w:eastAsia="Arial"/>
                <w:b w:val="0"/>
                <w:sz w:val="17"/>
              </w:rPr>
              <w:t>Redeploy-on-disaster can meet target RTO 1 hour / RPO 5 minutes only if proven by DR test.</w:t>
            </w:r>
          </w:p>
        </w:tc>
        <w:tc>
          <w:tcPr>
            <w:tcW w:type="dxa" w:w="3408"/>
            <w:vAlign w:val="top"/>
          </w:tcPr>
          <w:p>
            <w:r/>
            <w:r>
              <w:rPr>
                <w:rFonts w:ascii="Arial" w:hAnsi="Arial" w:eastAsia="Arial"/>
                <w:b w:val="0"/>
                <w:sz w:val="17"/>
              </w:rPr>
              <w:t>If not proven, warm standby or pre-provisioned DR may be required.</w:t>
            </w:r>
          </w:p>
        </w:tc>
      </w:tr>
      <w:tr>
        <w:tc>
          <w:tcPr>
            <w:tcW w:type="dxa" w:w="3408"/>
            <w:vAlign w:val="top"/>
          </w:tcPr>
          <w:p>
            <w:r/>
            <w:r>
              <w:rPr>
                <w:rFonts w:ascii="Arial" w:hAnsi="Arial" w:eastAsia="Arial"/>
                <w:b w:val="0"/>
                <w:sz w:val="17"/>
              </w:rPr>
              <w:t>A-08</w:t>
            </w:r>
          </w:p>
        </w:tc>
        <w:tc>
          <w:tcPr>
            <w:tcW w:type="dxa" w:w="3408"/>
            <w:vAlign w:val="top"/>
          </w:tcPr>
          <w:p>
            <w:r/>
            <w:r>
              <w:rPr>
                <w:rFonts w:ascii="Arial" w:hAnsi="Arial" w:eastAsia="Arial"/>
                <w:b w:val="0"/>
                <w:sz w:val="17"/>
              </w:rPr>
              <w:t>Mendix Marketplace modules and custom Java actions require security review before use.</w:t>
            </w:r>
          </w:p>
        </w:tc>
        <w:tc>
          <w:tcPr>
            <w:tcW w:type="dxa" w:w="3408"/>
            <w:vAlign w:val="top"/>
          </w:tcPr>
          <w:p>
            <w:r/>
            <w:r>
              <w:rPr>
                <w:rFonts w:ascii="Arial" w:hAnsi="Arial" w:eastAsia="Arial"/>
                <w:b w:val="0"/>
                <w:sz w:val="17"/>
              </w:rPr>
              <w:t>Build velocity and component selection depend on governance approval.</w:t>
            </w:r>
          </w:p>
        </w:tc>
      </w:tr>
    </w:tbl>
    <w:p/>
    <w:p>
      <w:pPr>
        <w:pStyle w:val="Heading2"/>
        <w:keepNext/>
      </w:pPr>
      <w:r>
        <w:t>Regulatory and Governance Reference Context</w:t>
      </w:r>
    </w:p>
    <w:p>
      <w:r>
        <w:t>This document does not provide legal advice. It translates known government security and data governance expectations into architecture controls that must be validated by the organization’s legal, compliance, data governance, and information security authorities.</w:t>
      </w:r>
    </w:p>
    <w:p>
      <w:pPr>
        <w:pStyle w:val="ListBullet"/>
      </w:pPr>
      <w:r>
        <w:t>UAE Information Assurance Regulation: used as a reference for information assurance management and technical controls for systems processing, storing, transmitting, and protecting information.</w:t>
      </w:r>
    </w:p>
    <w:p>
      <w:pPr>
        <w:pStyle w:val="ListBullet"/>
      </w:pPr>
      <w:r>
        <w:t>Dubai Data policies and Dubai Data Manual: used as a reference for data classification, protection, dissemination, exchange, and data provider responsibilities.</w:t>
      </w:r>
    </w:p>
    <w:p>
      <w:pPr>
        <w:pStyle w:val="ListBullet"/>
      </w:pPr>
      <w:r>
        <w:t>UAE personal data protection obligations and sector-specific healthcare/privacy obligations must be assessed by the relevant government compliance authority. Where government entities are outside parts of the federal PDPL scope, the organization’s applicable government and sector policies still apply.</w:t>
      </w:r>
    </w:p>
    <w:p>
      <w:r>
        <w:br w:type="page"/>
      </w:r>
    </w:p>
    <w:p>
      <w:pPr>
        <w:pStyle w:val="Heading1"/>
        <w:keepNext/>
      </w:pPr>
      <w:r>
        <w:t>Executive Summary</w:t>
      </w:r>
    </w:p>
    <w:p>
      <w:r>
        <w:t>The Error Management Hub (EMH) is a centralized support workspace intended to improve operational support efficiency by allowing authorized support users to investigate errors, application statuses, payment statuses, user access issues, and service-related issues across multiple enterprise applications from a single governed interface.</w:t>
      </w:r>
    </w:p>
    <w:p>
      <w:r>
        <w:t>The original solution proposed an Angular frontend and .NET backend using a modular monolith, REST APIs, EF Core, and SQL Server. The revised target architecture replaces the Angular/.NET application implementation with Mendix while preserving the same business purpose, scope, security intent, integration principles, and audit requirements.</w:t>
      </w:r>
    </w:p>
    <w:p>
      <w:r>
        <w:t>EMH shall be implemented as an on-premises Mendix application deployed within a government-approved infrastructure environment. Authentication shall be delegated to the enterprise identity provider using SAML SSO. Authorization shall be enforced through the Mendix security model, module roles, entity access, page access, microflow access, and explicit permission checks for sensitive actions. External operational data shall be consumed through approved APIs and displayed only using non-persistent Mendix entities wherever possible. EMH shall not directly read external system databases and shall not persist external operational records unless formally approved by Data Governance and Information Security.</w:t>
      </w:r>
    </w:p>
    <w:p>
      <w:r>
        <w:t>The architecture must be treated as secure-by-design due to Confidential and Highly Confidential data classification, including Emirates ID, MRN, patient-related data, payment status data, application data, and identity-related information. AppDynamics is identified as the monitoring and logging platform, but security log forwarding to SIEM and log retention alignment remain pending confirmation.</w:t>
      </w:r>
    </w:p>
    <w:p>
      <w:pPr>
        <w:pStyle w:val="Heading2"/>
        <w:keepNext/>
      </w:pPr>
      <w:r>
        <w:t>Original Section Summary</w:t>
      </w:r>
    </w:p>
    <w:p>
      <w:r>
        <w:t>The source document describes EMH as a unified support workspace with dynamic application cards, dynamic sidebar navigation, backend-controlled roles and permissions, centralized audit logging, IDAM integration, REST-based integrations, and four Phase 1 modules: User Management, Clinical Attachment, Premarital, and Patient Services.</w:t>
      </w:r>
    </w:p>
    <w:p>
      <w:pPr>
        <w:pStyle w:val="Heading2"/>
        <w:keepNext/>
      </w:pPr>
      <w:r>
        <w:t>Issues with Current Design</w:t>
      </w:r>
    </w:p>
    <w:p>
      <w:pPr>
        <w:pStyle w:val="ListBullet"/>
      </w:pPr>
      <w:r>
        <w:t>Angular-specific frontend implementation details are no longer applicable.</w:t>
      </w:r>
    </w:p>
    <w:p>
      <w:pPr>
        <w:pStyle w:val="ListBullet"/>
      </w:pPr>
      <w:r>
        <w:t>.NET-specific backend implementation details such as MediatR, EF Core Database First, Minimal APIs, middleware, and Serilog are no longer the primary implementation model.</w:t>
      </w:r>
    </w:p>
    <w:p>
      <w:pPr>
        <w:pStyle w:val="ListBullet"/>
      </w:pPr>
      <w:r>
        <w:t>OIDC/JWT flow described in the current document must be replaced or revalidated because the confirmed protocol direction is SAML.</w:t>
      </w:r>
    </w:p>
    <w:p>
      <w:pPr>
        <w:pStyle w:val="ListBullet"/>
      </w:pPr>
      <w:r>
        <w:t>Health check, logging, deployment, and environment configuration sections must be rewritten for on-premises Mendix runtime and AppDynamics.</w:t>
      </w:r>
    </w:p>
    <w:p>
      <w:pPr>
        <w:pStyle w:val="ListBullet"/>
      </w:pPr>
      <w:r>
        <w:t>Database-first application modeling must be replaced by Mendix domain modeling and approved persistence boundaries.</w:t>
      </w:r>
    </w:p>
    <w:p>
      <w:pPr>
        <w:pStyle w:val="Heading2"/>
        <w:keepNext/>
      </w:pPr>
      <w:r>
        <w:t>Mendix-Based Revised Direction</w:t>
      </w:r>
    </w:p>
    <w:p>
      <w:r>
        <w:t>The revised architecture positions Mendix as the primary application platform. EMH shall be structured into governed Mendix modules, with clear separation between application shell, security/access control, business capability modules, integration modules, audit/logging, administration, and configuration. The architecture shall maintain API-led integration, deny-by-default authorization, display-only external data handling, sanitized logging, auditable support actions, and deployment within approved on-premises infrastructure.</w:t>
      </w:r>
    </w:p>
    <w:p>
      <w:pPr>
        <w:pStyle w:val="Heading2"/>
        <w:keepNext/>
      </w:pPr>
      <w:r>
        <w:t>Recommendations</w:t>
      </w:r>
    </w:p>
    <w:p>
      <w:pPr>
        <w:pStyle w:val="ListBullet"/>
      </w:pPr>
      <w:r>
        <w:t>Approve the Mendix on-premises deployment pattern before detailed design.</w:t>
      </w:r>
    </w:p>
    <w:p>
      <w:pPr>
        <w:pStyle w:val="ListBullet"/>
      </w:pPr>
      <w:r>
        <w:t>Confirm the SAML metadata, claims, logout pattern, and user lifecycle rules with the IDAM team.</w:t>
      </w:r>
    </w:p>
    <w:p>
      <w:pPr>
        <w:pStyle w:val="ListBullet"/>
      </w:pPr>
      <w:r>
        <w:t>Confirm whether UAE Pass is indirect through IDAM or a direct EMH integration requirement.</w:t>
      </w:r>
    </w:p>
    <w:p>
      <w:pPr>
        <w:pStyle w:val="ListBullet"/>
      </w:pPr>
      <w:r>
        <w:t>Confirm whether AppDynamics is sufficient for security logging or whether SIEM forwarding is required.</w:t>
      </w:r>
    </w:p>
    <w:p>
      <w:pPr>
        <w:pStyle w:val="ListBullet"/>
      </w:pPr>
      <w:r>
        <w:t>Validate the redeploy-on-disaster approach against target RTO and RPO through an actual DR test.</w:t>
      </w:r>
    </w:p>
    <w:p>
      <w:r>
        <w:br w:type="page"/>
      </w:r>
    </w:p>
    <w:p>
      <w:pPr>
        <w:pStyle w:val="Heading1"/>
        <w:keepNext/>
      </w:pPr>
      <w:r>
        <w:t>1. Solution Overview</w:t>
      </w:r>
    </w:p>
    <w:p>
      <w:pPr>
        <w:pStyle w:val="Heading2"/>
        <w:keepNext/>
      </w:pPr>
      <w:r>
        <w:t>Original Section Summary</w:t>
      </w:r>
    </w:p>
    <w:p>
      <w:r>
        <w:t>The original solution overview defines EMH as a centralized support workspace replacing fragmented manual investigation across databases, APIs, and multiple disconnected systems. It identifies Phase 1 modules and establishes the original Angular/.NET modular monolith direction.</w:t>
      </w:r>
    </w:p>
    <w:p>
      <w:pPr>
        <w:pStyle w:val="Heading2"/>
        <w:keepNext/>
      </w:pPr>
      <w:r>
        <w:t>Issues with Current Design</w:t>
      </w:r>
    </w:p>
    <w:p>
      <w:pPr>
        <w:pStyle w:val="ListBullet"/>
      </w:pPr>
      <w:r>
        <w:t>The Angular frontend, .NET backend, VSA/MediatR, EF Core, and environment.ts configuration are no longer the target implementation model.</w:t>
      </w:r>
    </w:p>
    <w:p>
      <w:pPr>
        <w:pStyle w:val="ListBullet"/>
      </w:pPr>
      <w:r>
        <w:t>The original architecture assumes backend-driven dynamic menus and API enforcement through .NET middleware and MediatR behaviors; these must be translated to Mendix security and microflow patterns.</w:t>
      </w:r>
    </w:p>
    <w:p>
      <w:pPr>
        <w:pStyle w:val="ListBullet"/>
      </w:pPr>
      <w:r>
        <w:t>The original IDAM OIDC/JWT flow is not aligned with the current SAML SSO direction.</w:t>
      </w:r>
    </w:p>
    <w:p>
      <w:pPr>
        <w:pStyle w:val="Heading2"/>
        <w:keepNext/>
      </w:pPr>
      <w:r>
        <w:t>1.1 Business Purpose</w:t>
      </w:r>
    </w:p>
    <w:p>
      <w:r>
        <w:t>The business purpose of EMH is to provide a unified, secure, auditable, and role-controlled support workspace for authorized support teams to investigate and resolve operational support tickets faster. EMH shall reduce dependency on manual database checks, direct API calls, and fragmented access to multiple systems by providing a controlled single interface for approved support use cases.</w:t>
      </w:r>
    </w:p>
    <w:p>
      <w:r>
        <w:t>The solution shall support Phase 1 investigation and support functions across the following domains:</w:t>
      </w:r>
    </w:p>
    <w:p>
      <w:pPr>
        <w:pStyle w:val="ListBullet"/>
      </w:pPr>
      <w:r>
        <w:t>User Management: internal/external user lookup, user status investigation, and role-related support where APIs are available.</w:t>
      </w:r>
    </w:p>
    <w:p>
      <w:pPr>
        <w:pStyle w:val="ListBullet"/>
      </w:pPr>
      <w:r>
        <w:t>Clinical Attachment: application lookup, application details, payment status checks, ICP data visibility, facilities/specialities, and application responsibility where APIs are available.</w:t>
      </w:r>
    </w:p>
    <w:p>
      <w:pPr>
        <w:pStyle w:val="ListBullet"/>
      </w:pPr>
      <w:r>
        <w:t>Premarital: application status and payment validation subject to API confirmation.</w:t>
      </w:r>
    </w:p>
    <w:p>
      <w:pPr>
        <w:pStyle w:val="ListBullet"/>
      </w:pPr>
      <w:r>
        <w:t>Patient Services: health card, sick leave, and medical report support through approved Patient Services APIs.</w:t>
      </w:r>
    </w:p>
    <w:p>
      <w:pPr>
        <w:pStyle w:val="Heading2"/>
        <w:keepNext/>
      </w:pPr>
      <w:r>
        <w:t>1.2 Solution Summary</w:t>
      </w:r>
    </w:p>
    <w:p>
      <w:r>
        <w:t>EMH shall be delivered as an on-premises Mendix web application hosted within the government organization’s approved infrastructure boundary. The application shall integrate with the enterprise identity provider using SAML-based SSO and shall apply authorization using Mendix roles, module roles, page access, microflow access, entity access, and explicit permission checks.</w:t>
      </w:r>
    </w:p>
    <w:p>
      <w:r>
        <w:t>External operational data shall be retrieved through approved APIs only. EMH shall not connect directly to external application databases. External data shall be displayed using non-persistent Mendix objects and shall not be stored in the EMH database unless formally approved through architecture, security, data governance, and system-owner review.</w:t>
      </w:r>
    </w:p>
    <w:p>
      <w:r>
        <w:t>EMH-owned persistent data shall be limited to application configuration, application/menu metadata, EMH user-role/permission mappings, audit logs, system configuration, and approved operational metadata. AppDynamics shall be used for runtime monitoring, logging, performance tracing, integration dependency visibility, and alerting, subject to final platform confirmation.</w:t>
      </w:r>
    </w:p>
    <w:p>
      <w:pPr>
        <w:pStyle w:val="Heading2"/>
        <w:keepNext/>
      </w:pPr>
      <w:r>
        <w:t>1.3 Key Architecture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Decision ID</w:t>
            </w:r>
          </w:p>
        </w:tc>
        <w:tc>
          <w:tcPr>
            <w:tcW w:type="dxa" w:w="2556"/>
            <w:shd w:fill="D9EAF7"/>
            <w:vAlign w:val="center"/>
          </w:tcPr>
          <w:p>
            <w:r/>
            <w:r>
              <w:rPr>
                <w:rFonts w:ascii="Arial" w:hAnsi="Arial" w:eastAsia="Arial"/>
                <w:b/>
                <w:sz w:val="17"/>
              </w:rPr>
              <w:t>Architecture Decision</w:t>
            </w:r>
          </w:p>
        </w:tc>
        <w:tc>
          <w:tcPr>
            <w:tcW w:type="dxa" w:w="2556"/>
            <w:shd w:fill="D9EAF7"/>
            <w:vAlign w:val="center"/>
          </w:tcPr>
          <w:p>
            <w:r/>
            <w:r>
              <w:rPr>
                <w:rFonts w:ascii="Arial" w:hAnsi="Arial" w:eastAsia="Arial"/>
                <w:b/>
                <w:sz w:val="17"/>
              </w:rPr>
              <w:t>Status</w:t>
            </w:r>
          </w:p>
        </w:tc>
        <w:tc>
          <w:tcPr>
            <w:tcW w:type="dxa" w:w="2556"/>
            <w:shd w:fill="D9EAF7"/>
            <w:vAlign w:val="center"/>
          </w:tcPr>
          <w:p>
            <w:r/>
            <w:r>
              <w:rPr>
                <w:rFonts w:ascii="Arial" w:hAnsi="Arial" w:eastAsia="Arial"/>
                <w:b/>
                <w:sz w:val="17"/>
              </w:rPr>
              <w:t>Rationale</w:t>
            </w:r>
          </w:p>
        </w:tc>
      </w:tr>
      <w:tr>
        <w:tc>
          <w:tcPr>
            <w:tcW w:type="dxa" w:w="2556"/>
            <w:vAlign w:val="top"/>
          </w:tcPr>
          <w:p>
            <w:r/>
            <w:r>
              <w:rPr>
                <w:rFonts w:ascii="Arial" w:hAnsi="Arial" w:eastAsia="Arial"/>
                <w:b w:val="0"/>
                <w:sz w:val="17"/>
              </w:rPr>
              <w:t>AD-EMH-001</w:t>
            </w:r>
          </w:p>
        </w:tc>
        <w:tc>
          <w:tcPr>
            <w:tcW w:type="dxa" w:w="2556"/>
            <w:vAlign w:val="top"/>
          </w:tcPr>
          <w:p>
            <w:r/>
            <w:r>
              <w:rPr>
                <w:rFonts w:ascii="Arial" w:hAnsi="Arial" w:eastAsia="Arial"/>
                <w:b w:val="0"/>
                <w:sz w:val="17"/>
              </w:rPr>
              <w:t>Use Mendix as the primary application platform instead of Angular/.NET custom implementation.</w:t>
            </w:r>
          </w:p>
        </w:tc>
        <w:tc>
          <w:tcPr>
            <w:tcW w:type="dxa" w:w="2556"/>
            <w:vAlign w:val="top"/>
          </w:tcPr>
          <w:p>
            <w:r/>
            <w:r>
              <w:rPr>
                <w:rFonts w:ascii="Arial" w:hAnsi="Arial" w:eastAsia="Arial"/>
                <w:b w:val="0"/>
                <w:sz w:val="17"/>
              </w:rPr>
              <w:t>Proposed</w:t>
            </w:r>
          </w:p>
        </w:tc>
        <w:tc>
          <w:tcPr>
            <w:tcW w:type="dxa" w:w="2556"/>
            <w:vAlign w:val="top"/>
          </w:tcPr>
          <w:p>
            <w:r/>
            <w:r>
              <w:rPr>
                <w:rFonts w:ascii="Arial" w:hAnsi="Arial" w:eastAsia="Arial"/>
                <w:b w:val="0"/>
                <w:sz w:val="17"/>
              </w:rPr>
              <w:t>Aligns with the revised solution direction and supports rapid delivery through governed low-code development.</w:t>
            </w:r>
          </w:p>
        </w:tc>
      </w:tr>
      <w:tr>
        <w:tc>
          <w:tcPr>
            <w:tcW w:type="dxa" w:w="2556"/>
            <w:vAlign w:val="top"/>
          </w:tcPr>
          <w:p>
            <w:r/>
            <w:r>
              <w:rPr>
                <w:rFonts w:ascii="Arial" w:hAnsi="Arial" w:eastAsia="Arial"/>
                <w:b w:val="0"/>
                <w:sz w:val="17"/>
              </w:rPr>
              <w:t>AD-EMH-002</w:t>
            </w:r>
          </w:p>
        </w:tc>
        <w:tc>
          <w:tcPr>
            <w:tcW w:type="dxa" w:w="2556"/>
            <w:vAlign w:val="top"/>
          </w:tcPr>
          <w:p>
            <w:r/>
            <w:r>
              <w:rPr>
                <w:rFonts w:ascii="Arial" w:hAnsi="Arial" w:eastAsia="Arial"/>
                <w:b w:val="0"/>
                <w:sz w:val="17"/>
              </w:rPr>
              <w:t>Deploy EMH on-premises within approved government infrastructure.</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Supports data residency, infrastructure control, and government hosting requirements.</w:t>
            </w:r>
          </w:p>
        </w:tc>
      </w:tr>
      <w:tr>
        <w:tc>
          <w:tcPr>
            <w:tcW w:type="dxa" w:w="2556"/>
            <w:vAlign w:val="top"/>
          </w:tcPr>
          <w:p>
            <w:r/>
            <w:r>
              <w:rPr>
                <w:rFonts w:ascii="Arial" w:hAnsi="Arial" w:eastAsia="Arial"/>
                <w:b w:val="0"/>
                <w:sz w:val="17"/>
              </w:rPr>
              <w:t>AD-EMH-003</w:t>
            </w:r>
          </w:p>
        </w:tc>
        <w:tc>
          <w:tcPr>
            <w:tcW w:type="dxa" w:w="2556"/>
            <w:vAlign w:val="top"/>
          </w:tcPr>
          <w:p>
            <w:r/>
            <w:r>
              <w:rPr>
                <w:rFonts w:ascii="Arial" w:hAnsi="Arial" w:eastAsia="Arial"/>
                <w:b w:val="0"/>
                <w:sz w:val="17"/>
              </w:rPr>
              <w:t>Use SAML SSO with enterprise IDAM for authentication.</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Avoids local credential storage and centralizes identity lifecycle and authentication policy.</w:t>
            </w:r>
          </w:p>
        </w:tc>
      </w:tr>
      <w:tr>
        <w:tc>
          <w:tcPr>
            <w:tcW w:type="dxa" w:w="2556"/>
            <w:vAlign w:val="top"/>
          </w:tcPr>
          <w:p>
            <w:r/>
            <w:r>
              <w:rPr>
                <w:rFonts w:ascii="Arial" w:hAnsi="Arial" w:eastAsia="Arial"/>
                <w:b w:val="0"/>
                <w:sz w:val="17"/>
              </w:rPr>
              <w:t>AD-EMH-004</w:t>
            </w:r>
          </w:p>
        </w:tc>
        <w:tc>
          <w:tcPr>
            <w:tcW w:type="dxa" w:w="2556"/>
            <w:vAlign w:val="top"/>
          </w:tcPr>
          <w:p>
            <w:r/>
            <w:r>
              <w:rPr>
                <w:rFonts w:ascii="Arial" w:hAnsi="Arial" w:eastAsia="Arial"/>
                <w:b w:val="0"/>
                <w:sz w:val="17"/>
              </w:rPr>
              <w:t>Treat external operational data as display-only by default.</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Reduces privacy, retention, and breach exposure for Confidential and Highly Confidential data.</w:t>
            </w:r>
          </w:p>
        </w:tc>
      </w:tr>
      <w:tr>
        <w:tc>
          <w:tcPr>
            <w:tcW w:type="dxa" w:w="2556"/>
            <w:vAlign w:val="top"/>
          </w:tcPr>
          <w:p>
            <w:r/>
            <w:r>
              <w:rPr>
                <w:rFonts w:ascii="Arial" w:hAnsi="Arial" w:eastAsia="Arial"/>
                <w:b w:val="0"/>
                <w:sz w:val="17"/>
              </w:rPr>
              <w:t>AD-EMH-005</w:t>
            </w:r>
          </w:p>
        </w:tc>
        <w:tc>
          <w:tcPr>
            <w:tcW w:type="dxa" w:w="2556"/>
            <w:vAlign w:val="top"/>
          </w:tcPr>
          <w:p>
            <w:r/>
            <w:r>
              <w:rPr>
                <w:rFonts w:ascii="Arial" w:hAnsi="Arial" w:eastAsia="Arial"/>
                <w:b w:val="0"/>
                <w:sz w:val="17"/>
              </w:rPr>
              <w:t>Prohibit direct database access to external systems.</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Preserves system ownership boundaries and reduces uncontrolled data access risk.</w:t>
            </w:r>
          </w:p>
        </w:tc>
      </w:tr>
      <w:tr>
        <w:tc>
          <w:tcPr>
            <w:tcW w:type="dxa" w:w="2556"/>
            <w:vAlign w:val="top"/>
          </w:tcPr>
          <w:p>
            <w:r/>
            <w:r>
              <w:rPr>
                <w:rFonts w:ascii="Arial" w:hAnsi="Arial" w:eastAsia="Arial"/>
                <w:b w:val="0"/>
                <w:sz w:val="17"/>
              </w:rPr>
              <w:t>AD-EMH-006</w:t>
            </w:r>
          </w:p>
        </w:tc>
        <w:tc>
          <w:tcPr>
            <w:tcW w:type="dxa" w:w="2556"/>
            <w:vAlign w:val="top"/>
          </w:tcPr>
          <w:p>
            <w:r/>
            <w:r>
              <w:rPr>
                <w:rFonts w:ascii="Arial" w:hAnsi="Arial" w:eastAsia="Arial"/>
                <w:b w:val="0"/>
                <w:sz w:val="17"/>
              </w:rPr>
              <w:t>Use Mendix security plus explicit permission checks for sensitive actions.</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Page visibility alone is not sufficient for government-grade authorization.</w:t>
            </w:r>
          </w:p>
        </w:tc>
      </w:tr>
      <w:tr>
        <w:tc>
          <w:tcPr>
            <w:tcW w:type="dxa" w:w="2556"/>
            <w:vAlign w:val="top"/>
          </w:tcPr>
          <w:p>
            <w:r/>
            <w:r>
              <w:rPr>
                <w:rFonts w:ascii="Arial" w:hAnsi="Arial" w:eastAsia="Arial"/>
                <w:b w:val="0"/>
                <w:sz w:val="17"/>
              </w:rPr>
              <w:t>AD-EMH-007</w:t>
            </w:r>
          </w:p>
        </w:tc>
        <w:tc>
          <w:tcPr>
            <w:tcW w:type="dxa" w:w="2556"/>
            <w:vAlign w:val="top"/>
          </w:tcPr>
          <w:p>
            <w:r/>
            <w:r>
              <w:rPr>
                <w:rFonts w:ascii="Arial" w:hAnsi="Arial" w:eastAsia="Arial"/>
                <w:b w:val="0"/>
                <w:sz w:val="17"/>
              </w:rPr>
              <w:t>Use AppDynamics for monitoring and logging, subject to final governance confirmation.</w:t>
            </w:r>
          </w:p>
        </w:tc>
        <w:tc>
          <w:tcPr>
            <w:tcW w:type="dxa" w:w="2556"/>
            <w:vAlign w:val="top"/>
          </w:tcPr>
          <w:p>
            <w:r/>
            <w:r>
              <w:rPr>
                <w:rFonts w:ascii="Arial" w:hAnsi="Arial" w:eastAsia="Arial"/>
                <w:b w:val="0"/>
                <w:sz w:val="17"/>
              </w:rPr>
              <w:t>Proposed</w:t>
            </w:r>
          </w:p>
        </w:tc>
        <w:tc>
          <w:tcPr>
            <w:tcW w:type="dxa" w:w="2556"/>
            <w:vAlign w:val="top"/>
          </w:tcPr>
          <w:p>
            <w:r/>
            <w:r>
              <w:rPr>
                <w:rFonts w:ascii="Arial" w:hAnsi="Arial" w:eastAsia="Arial"/>
                <w:b w:val="0"/>
                <w:sz w:val="17"/>
              </w:rPr>
              <w:t>Provides APM, dependency monitoring, error visibility, and operational alerting.</w:t>
            </w:r>
          </w:p>
        </w:tc>
      </w:tr>
      <w:tr>
        <w:tc>
          <w:tcPr>
            <w:tcW w:type="dxa" w:w="2556"/>
            <w:vAlign w:val="top"/>
          </w:tcPr>
          <w:p>
            <w:r/>
            <w:r>
              <w:rPr>
                <w:rFonts w:ascii="Arial" w:hAnsi="Arial" w:eastAsia="Arial"/>
                <w:b w:val="0"/>
                <w:sz w:val="17"/>
              </w:rPr>
              <w:t>AD-EMH-008</w:t>
            </w:r>
          </w:p>
        </w:tc>
        <w:tc>
          <w:tcPr>
            <w:tcW w:type="dxa" w:w="2556"/>
            <w:vAlign w:val="top"/>
          </w:tcPr>
          <w:p>
            <w:r/>
            <w:r>
              <w:rPr>
                <w:rFonts w:ascii="Arial" w:hAnsi="Arial" w:eastAsia="Arial"/>
                <w:b w:val="0"/>
                <w:sz w:val="17"/>
              </w:rPr>
              <w:t>Use non-persistent entities for API response display unless persistence is formally approved.</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Supports data minimization and reduces storage of sensitive external data.</w:t>
            </w:r>
          </w:p>
        </w:tc>
      </w:tr>
      <w:tr>
        <w:tc>
          <w:tcPr>
            <w:tcW w:type="dxa" w:w="2556"/>
            <w:vAlign w:val="top"/>
          </w:tcPr>
          <w:p>
            <w:r/>
            <w:r>
              <w:rPr>
                <w:rFonts w:ascii="Arial" w:hAnsi="Arial" w:eastAsia="Arial"/>
                <w:b w:val="0"/>
                <w:sz w:val="17"/>
              </w:rPr>
              <w:t>AD-EMH-009</w:t>
            </w:r>
          </w:p>
        </w:tc>
        <w:tc>
          <w:tcPr>
            <w:tcW w:type="dxa" w:w="2556"/>
            <w:vAlign w:val="top"/>
          </w:tcPr>
          <w:p>
            <w:r/>
            <w:r>
              <w:rPr>
                <w:rFonts w:ascii="Arial" w:hAnsi="Arial" w:eastAsia="Arial"/>
                <w:b w:val="0"/>
                <w:sz w:val="17"/>
              </w:rPr>
              <w:t>Validate redeploy-on-disaster against RTO/RPO before approval.</w:t>
            </w:r>
          </w:p>
        </w:tc>
        <w:tc>
          <w:tcPr>
            <w:tcW w:type="dxa" w:w="2556"/>
            <w:vAlign w:val="top"/>
          </w:tcPr>
          <w:p>
            <w:r/>
            <w:r>
              <w:rPr>
                <w:rFonts w:ascii="Arial" w:hAnsi="Arial" w:eastAsia="Arial"/>
                <w:b w:val="0"/>
                <w:sz w:val="17"/>
              </w:rPr>
              <w:t>Open</w:t>
            </w:r>
          </w:p>
        </w:tc>
        <w:tc>
          <w:tcPr>
            <w:tcW w:type="dxa" w:w="2556"/>
            <w:vAlign w:val="top"/>
          </w:tcPr>
          <w:p>
            <w:r/>
            <w:r>
              <w:rPr>
                <w:rFonts w:ascii="Arial" w:hAnsi="Arial" w:eastAsia="Arial"/>
                <w:b w:val="0"/>
                <w:sz w:val="17"/>
              </w:rPr>
              <w:t>Redeployment alone may not meet RTO 1 hour and RPO 5 minutes without automation and data replication.</w:t>
            </w:r>
          </w:p>
        </w:tc>
      </w:tr>
    </w:tbl>
    <w:p/>
    <w:p>
      <w:pPr>
        <w:pStyle w:val="Heading3"/>
        <w:keepNext/>
      </w:pPr>
      <w:r>
        <w:t>1.3.x AD-proj-xxx Architecture Decision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Field</w:t>
            </w:r>
          </w:p>
        </w:tc>
        <w:tc>
          <w:tcPr>
            <w:tcW w:type="dxa" w:w="5112"/>
            <w:shd w:fill="D9EAF7"/>
            <w:vAlign w:val="center"/>
          </w:tcPr>
          <w:p>
            <w:r/>
            <w:r>
              <w:rPr>
                <w:rFonts w:ascii="Arial" w:hAnsi="Arial" w:eastAsia="Arial"/>
                <w:b/>
                <w:sz w:val="17"/>
              </w:rPr>
              <w:t>Description</w:t>
            </w:r>
          </w:p>
        </w:tc>
      </w:tr>
      <w:tr>
        <w:tc>
          <w:tcPr>
            <w:tcW w:type="dxa" w:w="5112"/>
            <w:vAlign w:val="top"/>
          </w:tcPr>
          <w:p>
            <w:r/>
            <w:r>
              <w:rPr>
                <w:rFonts w:ascii="Arial" w:hAnsi="Arial" w:eastAsia="Arial"/>
                <w:b w:val="0"/>
                <w:sz w:val="17"/>
              </w:rPr>
              <w:t>Decision ID</w:t>
            </w:r>
          </w:p>
        </w:tc>
        <w:tc>
          <w:tcPr>
            <w:tcW w:type="dxa" w:w="5112"/>
            <w:vAlign w:val="top"/>
          </w:tcPr>
          <w:p>
            <w:r/>
            <w:r>
              <w:rPr>
                <w:rFonts w:ascii="Arial" w:hAnsi="Arial" w:eastAsia="Arial"/>
                <w:b w:val="0"/>
                <w:sz w:val="17"/>
              </w:rPr>
              <w:t>Unique architecture decision identifier, e.g., AD-EMH-001.</w:t>
            </w:r>
          </w:p>
        </w:tc>
      </w:tr>
      <w:tr>
        <w:tc>
          <w:tcPr>
            <w:tcW w:type="dxa" w:w="5112"/>
            <w:vAlign w:val="top"/>
          </w:tcPr>
          <w:p>
            <w:r/>
            <w:r>
              <w:rPr>
                <w:rFonts w:ascii="Arial" w:hAnsi="Arial" w:eastAsia="Arial"/>
                <w:b w:val="0"/>
                <w:sz w:val="17"/>
              </w:rPr>
              <w:t>Decision Title</w:t>
            </w:r>
          </w:p>
        </w:tc>
        <w:tc>
          <w:tcPr>
            <w:tcW w:type="dxa" w:w="5112"/>
            <w:vAlign w:val="top"/>
          </w:tcPr>
          <w:p>
            <w:r/>
            <w:r>
              <w:rPr>
                <w:rFonts w:ascii="Arial" w:hAnsi="Arial" w:eastAsia="Arial"/>
                <w:b w:val="0"/>
                <w:sz w:val="17"/>
              </w:rPr>
              <w:t>Clear statement of the decision.</w:t>
            </w:r>
          </w:p>
        </w:tc>
      </w:tr>
      <w:tr>
        <w:tc>
          <w:tcPr>
            <w:tcW w:type="dxa" w:w="5112"/>
            <w:vAlign w:val="top"/>
          </w:tcPr>
          <w:p>
            <w:r/>
            <w:r>
              <w:rPr>
                <w:rFonts w:ascii="Arial" w:hAnsi="Arial" w:eastAsia="Arial"/>
                <w:b w:val="0"/>
                <w:sz w:val="17"/>
              </w:rPr>
              <w:t>Context</w:t>
            </w:r>
          </w:p>
        </w:tc>
        <w:tc>
          <w:tcPr>
            <w:tcW w:type="dxa" w:w="5112"/>
            <w:vAlign w:val="top"/>
          </w:tcPr>
          <w:p>
            <w:r/>
            <w:r>
              <w:rPr>
                <w:rFonts w:ascii="Arial" w:hAnsi="Arial" w:eastAsia="Arial"/>
                <w:b w:val="0"/>
                <w:sz w:val="17"/>
              </w:rPr>
              <w:t>Business, technical, security, or operational reason for the decision.</w:t>
            </w:r>
          </w:p>
        </w:tc>
      </w:tr>
      <w:tr>
        <w:tc>
          <w:tcPr>
            <w:tcW w:type="dxa" w:w="5112"/>
            <w:vAlign w:val="top"/>
          </w:tcPr>
          <w:p>
            <w:r/>
            <w:r>
              <w:rPr>
                <w:rFonts w:ascii="Arial" w:hAnsi="Arial" w:eastAsia="Arial"/>
                <w:b w:val="0"/>
                <w:sz w:val="17"/>
              </w:rPr>
              <w:t>Options Considered</w:t>
            </w:r>
          </w:p>
        </w:tc>
        <w:tc>
          <w:tcPr>
            <w:tcW w:type="dxa" w:w="5112"/>
            <w:vAlign w:val="top"/>
          </w:tcPr>
          <w:p>
            <w:r/>
            <w:r>
              <w:rPr>
                <w:rFonts w:ascii="Arial" w:hAnsi="Arial" w:eastAsia="Arial"/>
                <w:b w:val="0"/>
                <w:sz w:val="17"/>
              </w:rPr>
              <w:t>Alternatives reviewed, including rejected options.</w:t>
            </w:r>
          </w:p>
        </w:tc>
      </w:tr>
      <w:tr>
        <w:tc>
          <w:tcPr>
            <w:tcW w:type="dxa" w:w="5112"/>
            <w:vAlign w:val="top"/>
          </w:tcPr>
          <w:p>
            <w:r/>
            <w:r>
              <w:rPr>
                <w:rFonts w:ascii="Arial" w:hAnsi="Arial" w:eastAsia="Arial"/>
                <w:b w:val="0"/>
                <w:sz w:val="17"/>
              </w:rPr>
              <w:t>Decision</w:t>
            </w:r>
          </w:p>
        </w:tc>
        <w:tc>
          <w:tcPr>
            <w:tcW w:type="dxa" w:w="5112"/>
            <w:vAlign w:val="top"/>
          </w:tcPr>
          <w:p>
            <w:r/>
            <w:r>
              <w:rPr>
                <w:rFonts w:ascii="Arial" w:hAnsi="Arial" w:eastAsia="Arial"/>
                <w:b w:val="0"/>
                <w:sz w:val="17"/>
              </w:rPr>
              <w:t>Approved or proposed architecture direction.</w:t>
            </w:r>
          </w:p>
        </w:tc>
      </w:tr>
      <w:tr>
        <w:tc>
          <w:tcPr>
            <w:tcW w:type="dxa" w:w="5112"/>
            <w:vAlign w:val="top"/>
          </w:tcPr>
          <w:p>
            <w:r/>
            <w:r>
              <w:rPr>
                <w:rFonts w:ascii="Arial" w:hAnsi="Arial" w:eastAsia="Arial"/>
                <w:b w:val="0"/>
                <w:sz w:val="17"/>
              </w:rPr>
              <w:t>Rationale</w:t>
            </w:r>
          </w:p>
        </w:tc>
        <w:tc>
          <w:tcPr>
            <w:tcW w:type="dxa" w:w="5112"/>
            <w:vAlign w:val="top"/>
          </w:tcPr>
          <w:p>
            <w:r/>
            <w:r>
              <w:rPr>
                <w:rFonts w:ascii="Arial" w:hAnsi="Arial" w:eastAsia="Arial"/>
                <w:b w:val="0"/>
                <w:sz w:val="17"/>
              </w:rPr>
              <w:t>Why the decision is appropriate for the project.</w:t>
            </w:r>
          </w:p>
        </w:tc>
      </w:tr>
      <w:tr>
        <w:tc>
          <w:tcPr>
            <w:tcW w:type="dxa" w:w="5112"/>
            <w:vAlign w:val="top"/>
          </w:tcPr>
          <w:p>
            <w:r/>
            <w:r>
              <w:rPr>
                <w:rFonts w:ascii="Arial" w:hAnsi="Arial" w:eastAsia="Arial"/>
                <w:b w:val="0"/>
                <w:sz w:val="17"/>
              </w:rPr>
              <w:t>Implications</w:t>
            </w:r>
          </w:p>
        </w:tc>
        <w:tc>
          <w:tcPr>
            <w:tcW w:type="dxa" w:w="5112"/>
            <w:vAlign w:val="top"/>
          </w:tcPr>
          <w:p>
            <w:r/>
            <w:r>
              <w:rPr>
                <w:rFonts w:ascii="Arial" w:hAnsi="Arial" w:eastAsia="Arial"/>
                <w:b w:val="0"/>
                <w:sz w:val="17"/>
              </w:rPr>
              <w:t>Operational, security, cost, support, and delivery impacts.</w:t>
            </w:r>
          </w:p>
        </w:tc>
      </w:tr>
      <w:tr>
        <w:tc>
          <w:tcPr>
            <w:tcW w:type="dxa" w:w="5112"/>
            <w:vAlign w:val="top"/>
          </w:tcPr>
          <w:p>
            <w:r/>
            <w:r>
              <w:rPr>
                <w:rFonts w:ascii="Arial" w:hAnsi="Arial" w:eastAsia="Arial"/>
                <w:b w:val="0"/>
                <w:sz w:val="17"/>
              </w:rPr>
              <w:t>Status</w:t>
            </w:r>
          </w:p>
        </w:tc>
        <w:tc>
          <w:tcPr>
            <w:tcW w:type="dxa" w:w="5112"/>
            <w:vAlign w:val="top"/>
          </w:tcPr>
          <w:p>
            <w:r/>
            <w:r>
              <w:rPr>
                <w:rFonts w:ascii="Arial" w:hAnsi="Arial" w:eastAsia="Arial"/>
                <w:b w:val="0"/>
                <w:sz w:val="17"/>
              </w:rPr>
              <w:t>Proposed, Approved, Deferred, Rejected, Superseded.</w:t>
            </w:r>
          </w:p>
        </w:tc>
      </w:tr>
      <w:tr>
        <w:tc>
          <w:tcPr>
            <w:tcW w:type="dxa" w:w="5112"/>
            <w:vAlign w:val="top"/>
          </w:tcPr>
          <w:p>
            <w:r/>
            <w:r>
              <w:rPr>
                <w:rFonts w:ascii="Arial" w:hAnsi="Arial" w:eastAsia="Arial"/>
                <w:b w:val="0"/>
                <w:sz w:val="17"/>
              </w:rPr>
              <w:t>Owner</w:t>
            </w:r>
          </w:p>
        </w:tc>
        <w:tc>
          <w:tcPr>
            <w:tcW w:type="dxa" w:w="5112"/>
            <w:vAlign w:val="top"/>
          </w:tcPr>
          <w:p>
            <w:r/>
            <w:r>
              <w:rPr>
                <w:rFonts w:ascii="Arial" w:hAnsi="Arial" w:eastAsia="Arial"/>
                <w:b w:val="0"/>
                <w:sz w:val="17"/>
              </w:rPr>
              <w:t>Decision owner or approving authority.</w:t>
            </w:r>
          </w:p>
        </w:tc>
      </w:tr>
    </w:tbl>
    <w:p/>
    <w:p>
      <w:pPr>
        <w:pStyle w:val="Heading2"/>
        <w:keepNext/>
      </w:pPr>
      <w:r>
        <w:t>1.4 RAID Logs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rFonts w:ascii="Arial" w:hAnsi="Arial" w:eastAsia="Arial"/>
                <w:b/>
                <w:sz w:val="17"/>
              </w:rPr>
              <w:t>Type</w:t>
            </w:r>
          </w:p>
        </w:tc>
        <w:tc>
          <w:tcPr>
            <w:tcW w:type="dxa" w:w="2045"/>
            <w:shd w:fill="D9EAF7"/>
            <w:vAlign w:val="center"/>
          </w:tcPr>
          <w:p>
            <w:r/>
            <w:r>
              <w:rPr>
                <w:rFonts w:ascii="Arial" w:hAnsi="Arial" w:eastAsia="Arial"/>
                <w:b/>
                <w:sz w:val="17"/>
              </w:rPr>
              <w:t>ID</w:t>
            </w:r>
          </w:p>
        </w:tc>
        <w:tc>
          <w:tcPr>
            <w:tcW w:type="dxa" w:w="2045"/>
            <w:shd w:fill="D9EAF7"/>
            <w:vAlign w:val="center"/>
          </w:tcPr>
          <w:p>
            <w:r/>
            <w:r>
              <w:rPr>
                <w:rFonts w:ascii="Arial" w:hAnsi="Arial" w:eastAsia="Arial"/>
                <w:b/>
                <w:sz w:val="17"/>
              </w:rPr>
              <w:t>Description</w:t>
            </w:r>
          </w:p>
        </w:tc>
        <w:tc>
          <w:tcPr>
            <w:tcW w:type="dxa" w:w="2045"/>
            <w:shd w:fill="D9EAF7"/>
            <w:vAlign w:val="center"/>
          </w:tcPr>
          <w:p>
            <w:r/>
            <w:r>
              <w:rPr>
                <w:rFonts w:ascii="Arial" w:hAnsi="Arial" w:eastAsia="Arial"/>
                <w:b/>
                <w:sz w:val="17"/>
              </w:rPr>
              <w:t>Impact</w:t>
            </w:r>
          </w:p>
        </w:tc>
        <w:tc>
          <w:tcPr>
            <w:tcW w:type="dxa" w:w="2045"/>
            <w:shd w:fill="D9EAF7"/>
            <w:vAlign w:val="center"/>
          </w:tcPr>
          <w:p>
            <w:r/>
            <w:r>
              <w:rPr>
                <w:rFonts w:ascii="Arial" w:hAnsi="Arial" w:eastAsia="Arial"/>
                <w:b/>
                <w:sz w:val="17"/>
              </w:rPr>
              <w:t>Owner / Required Action</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R-01</w:t>
            </w:r>
          </w:p>
        </w:tc>
        <w:tc>
          <w:tcPr>
            <w:tcW w:type="dxa" w:w="2045"/>
            <w:vAlign w:val="top"/>
          </w:tcPr>
          <w:p>
            <w:r/>
            <w:r>
              <w:rPr>
                <w:rFonts w:ascii="Arial" w:hAnsi="Arial" w:eastAsia="Arial"/>
                <w:b w:val="0"/>
                <w:sz w:val="17"/>
              </w:rPr>
              <w:t>Mendix on-premises runtime support model is not yet fully defined.</w:t>
            </w:r>
          </w:p>
        </w:tc>
        <w:tc>
          <w:tcPr>
            <w:tcW w:type="dxa" w:w="2045"/>
            <w:vAlign w:val="top"/>
          </w:tcPr>
          <w:p>
            <w:r/>
            <w:r>
              <w:rPr>
                <w:rFonts w:ascii="Arial" w:hAnsi="Arial" w:eastAsia="Arial"/>
                <w:b w:val="0"/>
                <w:sz w:val="17"/>
              </w:rPr>
              <w:t>Deployment and operations may be delayed.</w:t>
            </w:r>
          </w:p>
        </w:tc>
        <w:tc>
          <w:tcPr>
            <w:tcW w:type="dxa" w:w="2045"/>
            <w:vAlign w:val="top"/>
          </w:tcPr>
          <w:p>
            <w:r/>
            <w:r>
              <w:rPr>
                <w:rFonts w:ascii="Arial" w:hAnsi="Arial" w:eastAsia="Arial"/>
                <w:b w:val="0"/>
                <w:sz w:val="17"/>
              </w:rPr>
              <w:t>Confirm platform owner, patching process, runtime topology, and support responsibilities.</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R-02</w:t>
            </w:r>
          </w:p>
        </w:tc>
        <w:tc>
          <w:tcPr>
            <w:tcW w:type="dxa" w:w="2045"/>
            <w:vAlign w:val="top"/>
          </w:tcPr>
          <w:p>
            <w:r/>
            <w:r>
              <w:rPr>
                <w:rFonts w:ascii="Arial" w:hAnsi="Arial" w:eastAsia="Arial"/>
                <w:b w:val="0"/>
                <w:sz w:val="17"/>
              </w:rPr>
              <w:t>Redeploy-on-disaster may not meet RTO 1 hour / RPO 5 minutes.</w:t>
            </w:r>
          </w:p>
        </w:tc>
        <w:tc>
          <w:tcPr>
            <w:tcW w:type="dxa" w:w="2045"/>
            <w:vAlign w:val="top"/>
          </w:tcPr>
          <w:p>
            <w:r/>
            <w:r>
              <w:rPr>
                <w:rFonts w:ascii="Arial" w:hAnsi="Arial" w:eastAsia="Arial"/>
                <w:b w:val="0"/>
                <w:sz w:val="17"/>
              </w:rPr>
              <w:t>Business continuity targets may not be achievable.</w:t>
            </w:r>
          </w:p>
        </w:tc>
        <w:tc>
          <w:tcPr>
            <w:tcW w:type="dxa" w:w="2045"/>
            <w:vAlign w:val="top"/>
          </w:tcPr>
          <w:p>
            <w:r/>
            <w:r>
              <w:rPr>
                <w:rFonts w:ascii="Arial" w:hAnsi="Arial" w:eastAsia="Arial"/>
                <w:b w:val="0"/>
                <w:sz w:val="17"/>
              </w:rPr>
              <w:t>Run DR design validation and test restore/redeployment time.</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R-03</w:t>
            </w:r>
          </w:p>
        </w:tc>
        <w:tc>
          <w:tcPr>
            <w:tcW w:type="dxa" w:w="2045"/>
            <w:vAlign w:val="top"/>
          </w:tcPr>
          <w:p>
            <w:r/>
            <w:r>
              <w:rPr>
                <w:rFonts w:ascii="Arial" w:hAnsi="Arial" w:eastAsia="Arial"/>
                <w:b w:val="0"/>
                <w:sz w:val="17"/>
              </w:rPr>
              <w:t>AppDynamics log content may accidentally capture sensitive payloads.</w:t>
            </w:r>
          </w:p>
        </w:tc>
        <w:tc>
          <w:tcPr>
            <w:tcW w:type="dxa" w:w="2045"/>
            <w:vAlign w:val="top"/>
          </w:tcPr>
          <w:p>
            <w:r/>
            <w:r>
              <w:rPr>
                <w:rFonts w:ascii="Arial" w:hAnsi="Arial" w:eastAsia="Arial"/>
                <w:b w:val="0"/>
                <w:sz w:val="17"/>
              </w:rPr>
              <w:t>Data leakage risk.</w:t>
            </w:r>
          </w:p>
        </w:tc>
        <w:tc>
          <w:tcPr>
            <w:tcW w:type="dxa" w:w="2045"/>
            <w:vAlign w:val="top"/>
          </w:tcPr>
          <w:p>
            <w:r/>
            <w:r>
              <w:rPr>
                <w:rFonts w:ascii="Arial" w:hAnsi="Arial" w:eastAsia="Arial"/>
                <w:b w:val="0"/>
                <w:sz w:val="17"/>
              </w:rPr>
              <w:t>Define sanitization, masking, log filters, and retention controls.</w:t>
            </w:r>
          </w:p>
        </w:tc>
      </w:tr>
      <w:tr>
        <w:tc>
          <w:tcPr>
            <w:tcW w:type="dxa" w:w="2045"/>
            <w:vAlign w:val="top"/>
          </w:tcPr>
          <w:p>
            <w:r/>
            <w:r>
              <w:rPr>
                <w:rFonts w:ascii="Arial" w:hAnsi="Arial" w:eastAsia="Arial"/>
                <w:b w:val="0"/>
                <w:sz w:val="17"/>
              </w:rPr>
              <w:t>Assumption</w:t>
            </w:r>
          </w:p>
        </w:tc>
        <w:tc>
          <w:tcPr>
            <w:tcW w:type="dxa" w:w="2045"/>
            <w:vAlign w:val="top"/>
          </w:tcPr>
          <w:p>
            <w:r/>
            <w:r>
              <w:rPr>
                <w:rFonts w:ascii="Arial" w:hAnsi="Arial" w:eastAsia="Arial"/>
                <w:b w:val="0"/>
                <w:sz w:val="17"/>
              </w:rPr>
              <w:t>A-01</w:t>
            </w:r>
          </w:p>
        </w:tc>
        <w:tc>
          <w:tcPr>
            <w:tcW w:type="dxa" w:w="2045"/>
            <w:vAlign w:val="top"/>
          </w:tcPr>
          <w:p>
            <w:r/>
            <w:r>
              <w:rPr>
                <w:rFonts w:ascii="Arial" w:hAnsi="Arial" w:eastAsia="Arial"/>
                <w:b w:val="0"/>
                <w:sz w:val="17"/>
              </w:rPr>
              <w:t>External systems expose approved APIs for all required support functions.</w:t>
            </w:r>
          </w:p>
        </w:tc>
        <w:tc>
          <w:tcPr>
            <w:tcW w:type="dxa" w:w="2045"/>
            <w:vAlign w:val="top"/>
          </w:tcPr>
          <w:p>
            <w:r/>
            <w:r>
              <w:rPr>
                <w:rFonts w:ascii="Arial" w:hAnsi="Arial" w:eastAsia="Arial"/>
                <w:b w:val="0"/>
                <w:sz w:val="17"/>
              </w:rPr>
              <w:t>Unavailable APIs may block features.</w:t>
            </w:r>
          </w:p>
        </w:tc>
        <w:tc>
          <w:tcPr>
            <w:tcW w:type="dxa" w:w="2045"/>
            <w:vAlign w:val="top"/>
          </w:tcPr>
          <w:p>
            <w:r/>
            <w:r>
              <w:rPr>
                <w:rFonts w:ascii="Arial" w:hAnsi="Arial" w:eastAsia="Arial"/>
                <w:b w:val="0"/>
                <w:sz w:val="17"/>
              </w:rPr>
              <w:t>Maintain API contract register and implementation readiness status.</w:t>
            </w:r>
          </w:p>
        </w:tc>
      </w:tr>
      <w:tr>
        <w:tc>
          <w:tcPr>
            <w:tcW w:type="dxa" w:w="2045"/>
            <w:vAlign w:val="top"/>
          </w:tcPr>
          <w:p>
            <w:r/>
            <w:r>
              <w:rPr>
                <w:rFonts w:ascii="Arial" w:hAnsi="Arial" w:eastAsia="Arial"/>
                <w:b w:val="0"/>
                <w:sz w:val="17"/>
              </w:rPr>
              <w:t>Issue</w:t>
            </w:r>
          </w:p>
        </w:tc>
        <w:tc>
          <w:tcPr>
            <w:tcW w:type="dxa" w:w="2045"/>
            <w:vAlign w:val="top"/>
          </w:tcPr>
          <w:p>
            <w:r/>
            <w:r>
              <w:rPr>
                <w:rFonts w:ascii="Arial" w:hAnsi="Arial" w:eastAsia="Arial"/>
                <w:b w:val="0"/>
                <w:sz w:val="17"/>
              </w:rPr>
              <w:t>I-01</w:t>
            </w:r>
          </w:p>
        </w:tc>
        <w:tc>
          <w:tcPr>
            <w:tcW w:type="dxa" w:w="2045"/>
            <w:vAlign w:val="top"/>
          </w:tcPr>
          <w:p>
            <w:r/>
            <w:r>
              <w:rPr>
                <w:rFonts w:ascii="Arial" w:hAnsi="Arial" w:eastAsia="Arial"/>
                <w:b w:val="0"/>
                <w:sz w:val="17"/>
              </w:rPr>
              <w:t>Premarital API status is unconfirmed.</w:t>
            </w:r>
          </w:p>
        </w:tc>
        <w:tc>
          <w:tcPr>
            <w:tcW w:type="dxa" w:w="2045"/>
            <w:vAlign w:val="top"/>
          </w:tcPr>
          <w:p>
            <w:r/>
            <w:r>
              <w:rPr>
                <w:rFonts w:ascii="Arial" w:hAnsi="Arial" w:eastAsia="Arial"/>
                <w:b w:val="0"/>
                <w:sz w:val="17"/>
              </w:rPr>
              <w:t>Premarital module may be blocked.</w:t>
            </w:r>
          </w:p>
        </w:tc>
        <w:tc>
          <w:tcPr>
            <w:tcW w:type="dxa" w:w="2045"/>
            <w:vAlign w:val="top"/>
          </w:tcPr>
          <w:p>
            <w:r/>
            <w:r>
              <w:rPr>
                <w:rFonts w:ascii="Arial" w:hAnsi="Arial" w:eastAsia="Arial"/>
                <w:b w:val="0"/>
                <w:sz w:val="17"/>
              </w:rPr>
              <w:t>Confirm API availability, owner, contract, and test endpoint.</w:t>
            </w:r>
          </w:p>
        </w:tc>
      </w:tr>
      <w:tr>
        <w:tc>
          <w:tcPr>
            <w:tcW w:type="dxa" w:w="2045"/>
            <w:vAlign w:val="top"/>
          </w:tcPr>
          <w:p>
            <w:r/>
            <w:r>
              <w:rPr>
                <w:rFonts w:ascii="Arial" w:hAnsi="Arial" w:eastAsia="Arial"/>
                <w:b w:val="0"/>
                <w:sz w:val="17"/>
              </w:rPr>
              <w:t>Issue</w:t>
            </w:r>
          </w:p>
        </w:tc>
        <w:tc>
          <w:tcPr>
            <w:tcW w:type="dxa" w:w="2045"/>
            <w:vAlign w:val="top"/>
          </w:tcPr>
          <w:p>
            <w:r/>
            <w:r>
              <w:rPr>
                <w:rFonts w:ascii="Arial" w:hAnsi="Arial" w:eastAsia="Arial"/>
                <w:b w:val="0"/>
                <w:sz w:val="17"/>
              </w:rPr>
              <w:t>I-02</w:t>
            </w:r>
          </w:p>
        </w:tc>
        <w:tc>
          <w:tcPr>
            <w:tcW w:type="dxa" w:w="2045"/>
            <w:vAlign w:val="top"/>
          </w:tcPr>
          <w:p>
            <w:r/>
            <w:r>
              <w:rPr>
                <w:rFonts w:ascii="Arial" w:hAnsi="Arial" w:eastAsia="Arial"/>
                <w:b w:val="0"/>
                <w:sz w:val="17"/>
              </w:rPr>
              <w:t>Clinical Attachment responsibility-check API is missing.</w:t>
            </w:r>
          </w:p>
        </w:tc>
        <w:tc>
          <w:tcPr>
            <w:tcW w:type="dxa" w:w="2045"/>
            <w:vAlign w:val="top"/>
          </w:tcPr>
          <w:p>
            <w:r/>
            <w:r>
              <w:rPr>
                <w:rFonts w:ascii="Arial" w:hAnsi="Arial" w:eastAsia="Arial"/>
                <w:b w:val="0"/>
                <w:sz w:val="17"/>
              </w:rPr>
              <w:t>Specific support scenario cannot be implemented.</w:t>
            </w:r>
          </w:p>
        </w:tc>
        <w:tc>
          <w:tcPr>
            <w:tcW w:type="dxa" w:w="2045"/>
            <w:vAlign w:val="top"/>
          </w:tcPr>
          <w:p>
            <w:r/>
            <w:r>
              <w:rPr>
                <w:rFonts w:ascii="Arial" w:hAnsi="Arial" w:eastAsia="Arial"/>
                <w:b w:val="0"/>
                <w:sz w:val="17"/>
              </w:rPr>
              <w:t>Build API or defer feature.</w:t>
            </w:r>
          </w:p>
        </w:tc>
      </w:tr>
      <w:tr>
        <w:tc>
          <w:tcPr>
            <w:tcW w:type="dxa" w:w="2045"/>
            <w:vAlign w:val="top"/>
          </w:tcPr>
          <w:p>
            <w:r/>
            <w:r>
              <w:rPr>
                <w:rFonts w:ascii="Arial" w:hAnsi="Arial" w:eastAsia="Arial"/>
                <w:b w:val="0"/>
                <w:sz w:val="17"/>
              </w:rPr>
              <w:t>Dependency</w:t>
            </w:r>
          </w:p>
        </w:tc>
        <w:tc>
          <w:tcPr>
            <w:tcW w:type="dxa" w:w="2045"/>
            <w:vAlign w:val="top"/>
          </w:tcPr>
          <w:p>
            <w:r/>
            <w:r>
              <w:rPr>
                <w:rFonts w:ascii="Arial" w:hAnsi="Arial" w:eastAsia="Arial"/>
                <w:b w:val="0"/>
                <w:sz w:val="17"/>
              </w:rPr>
              <w:t>D-01</w:t>
            </w:r>
          </w:p>
        </w:tc>
        <w:tc>
          <w:tcPr>
            <w:tcW w:type="dxa" w:w="2045"/>
            <w:vAlign w:val="top"/>
          </w:tcPr>
          <w:p>
            <w:r/>
            <w:r>
              <w:rPr>
                <w:rFonts w:ascii="Arial" w:hAnsi="Arial" w:eastAsia="Arial"/>
                <w:b w:val="0"/>
                <w:sz w:val="17"/>
              </w:rPr>
              <w:t>SAML metadata, certificates, claims, and logout rules depend on IDAM team.</w:t>
            </w:r>
          </w:p>
        </w:tc>
        <w:tc>
          <w:tcPr>
            <w:tcW w:type="dxa" w:w="2045"/>
            <w:vAlign w:val="top"/>
          </w:tcPr>
          <w:p>
            <w:r/>
            <w:r>
              <w:rPr>
                <w:rFonts w:ascii="Arial" w:hAnsi="Arial" w:eastAsia="Arial"/>
                <w:b w:val="0"/>
                <w:sz w:val="17"/>
              </w:rPr>
              <w:t>Authentication design cannot be finalized.</w:t>
            </w:r>
          </w:p>
        </w:tc>
        <w:tc>
          <w:tcPr>
            <w:tcW w:type="dxa" w:w="2045"/>
            <w:vAlign w:val="top"/>
          </w:tcPr>
          <w:p>
            <w:r/>
            <w:r>
              <w:rPr>
                <w:rFonts w:ascii="Arial" w:hAnsi="Arial" w:eastAsia="Arial"/>
                <w:b w:val="0"/>
                <w:sz w:val="17"/>
              </w:rPr>
              <w:t>Confirm SAML integration specification.</w:t>
            </w:r>
          </w:p>
        </w:tc>
      </w:tr>
      <w:tr>
        <w:tc>
          <w:tcPr>
            <w:tcW w:type="dxa" w:w="2045"/>
            <w:vAlign w:val="top"/>
          </w:tcPr>
          <w:p>
            <w:r/>
            <w:r>
              <w:rPr>
                <w:rFonts w:ascii="Arial" w:hAnsi="Arial" w:eastAsia="Arial"/>
                <w:b w:val="0"/>
                <w:sz w:val="17"/>
              </w:rPr>
              <w:t>Dependency</w:t>
            </w:r>
          </w:p>
        </w:tc>
        <w:tc>
          <w:tcPr>
            <w:tcW w:type="dxa" w:w="2045"/>
            <w:vAlign w:val="top"/>
          </w:tcPr>
          <w:p>
            <w:r/>
            <w:r>
              <w:rPr>
                <w:rFonts w:ascii="Arial" w:hAnsi="Arial" w:eastAsia="Arial"/>
                <w:b w:val="0"/>
                <w:sz w:val="17"/>
              </w:rPr>
              <w:t>D-02</w:t>
            </w:r>
          </w:p>
        </w:tc>
        <w:tc>
          <w:tcPr>
            <w:tcW w:type="dxa" w:w="2045"/>
            <w:vAlign w:val="top"/>
          </w:tcPr>
          <w:p>
            <w:r/>
            <w:r>
              <w:rPr>
                <w:rFonts w:ascii="Arial" w:hAnsi="Arial" w:eastAsia="Arial"/>
                <w:b w:val="0"/>
                <w:sz w:val="17"/>
              </w:rPr>
              <w:t>Marketplace module and custom Java governance is unknown.</w:t>
            </w:r>
          </w:p>
        </w:tc>
        <w:tc>
          <w:tcPr>
            <w:tcW w:type="dxa" w:w="2045"/>
            <w:vAlign w:val="top"/>
          </w:tcPr>
          <w:p>
            <w:r/>
            <w:r>
              <w:rPr>
                <w:rFonts w:ascii="Arial" w:hAnsi="Arial" w:eastAsia="Arial"/>
                <w:b w:val="0"/>
                <w:sz w:val="17"/>
              </w:rPr>
              <w:t>Component choices may be delayed.</w:t>
            </w:r>
          </w:p>
        </w:tc>
        <w:tc>
          <w:tcPr>
            <w:tcW w:type="dxa" w:w="2045"/>
            <w:vAlign w:val="top"/>
          </w:tcPr>
          <w:p>
            <w:r/>
            <w:r>
              <w:rPr>
                <w:rFonts w:ascii="Arial" w:hAnsi="Arial" w:eastAsia="Arial"/>
                <w:b w:val="0"/>
                <w:sz w:val="17"/>
              </w:rPr>
              <w:t>Confirm secure development and third-party component policy.</w:t>
            </w:r>
          </w:p>
        </w:tc>
      </w:tr>
    </w:tbl>
    <w:p/>
    <w:p>
      <w:pPr>
        <w:pStyle w:val="Heading2"/>
        <w:keepNext/>
      </w:pPr>
      <w:r>
        <w:t>1.5 Architecture Gaps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Gap ID</w:t>
            </w:r>
          </w:p>
        </w:tc>
        <w:tc>
          <w:tcPr>
            <w:tcW w:type="dxa" w:w="3408"/>
            <w:shd w:fill="D9EAF7"/>
            <w:vAlign w:val="center"/>
          </w:tcPr>
          <w:p>
            <w:r/>
            <w:r>
              <w:rPr>
                <w:rFonts w:ascii="Arial" w:hAnsi="Arial" w:eastAsia="Arial"/>
                <w:b/>
                <w:sz w:val="17"/>
              </w:rPr>
              <w:t>Gap</w:t>
            </w:r>
          </w:p>
        </w:tc>
        <w:tc>
          <w:tcPr>
            <w:tcW w:type="dxa" w:w="3408"/>
            <w:shd w:fill="D9EAF7"/>
            <w:vAlign w:val="center"/>
          </w:tcPr>
          <w:p>
            <w:r/>
            <w:r>
              <w:rPr>
                <w:rFonts w:ascii="Arial" w:hAnsi="Arial" w:eastAsia="Arial"/>
                <w:b/>
                <w:sz w:val="17"/>
              </w:rPr>
              <w:t>Required Resolution</w:t>
            </w:r>
          </w:p>
        </w:tc>
      </w:tr>
      <w:tr>
        <w:tc>
          <w:tcPr>
            <w:tcW w:type="dxa" w:w="3408"/>
            <w:vAlign w:val="top"/>
          </w:tcPr>
          <w:p>
            <w:r/>
            <w:r>
              <w:rPr>
                <w:rFonts w:ascii="Arial" w:hAnsi="Arial" w:eastAsia="Arial"/>
                <w:b w:val="0"/>
                <w:sz w:val="17"/>
              </w:rPr>
              <w:t>G-01</w:t>
            </w:r>
          </w:p>
        </w:tc>
        <w:tc>
          <w:tcPr>
            <w:tcW w:type="dxa" w:w="3408"/>
            <w:vAlign w:val="top"/>
          </w:tcPr>
          <w:p>
            <w:r/>
            <w:r>
              <w:rPr>
                <w:rFonts w:ascii="Arial" w:hAnsi="Arial" w:eastAsia="Arial"/>
                <w:b w:val="0"/>
                <w:sz w:val="17"/>
              </w:rPr>
              <w:t>Final Mendix on-premises topology is not defined.</w:t>
            </w:r>
          </w:p>
        </w:tc>
        <w:tc>
          <w:tcPr>
            <w:tcW w:type="dxa" w:w="3408"/>
            <w:vAlign w:val="top"/>
          </w:tcPr>
          <w:p>
            <w:r/>
            <w:r>
              <w:rPr>
                <w:rFonts w:ascii="Arial" w:hAnsi="Arial" w:eastAsia="Arial"/>
                <w:b w:val="0"/>
                <w:sz w:val="17"/>
              </w:rPr>
              <w:t>Confirm whether single-node, clustered runtime, containerized runtime, or VM-based deployment is required.</w:t>
            </w:r>
          </w:p>
        </w:tc>
      </w:tr>
      <w:tr>
        <w:tc>
          <w:tcPr>
            <w:tcW w:type="dxa" w:w="3408"/>
            <w:vAlign w:val="top"/>
          </w:tcPr>
          <w:p>
            <w:r/>
            <w:r>
              <w:rPr>
                <w:rFonts w:ascii="Arial" w:hAnsi="Arial" w:eastAsia="Arial"/>
                <w:b w:val="0"/>
                <w:sz w:val="17"/>
              </w:rPr>
              <w:t>G-02</w:t>
            </w:r>
          </w:p>
        </w:tc>
        <w:tc>
          <w:tcPr>
            <w:tcW w:type="dxa" w:w="3408"/>
            <w:vAlign w:val="top"/>
          </w:tcPr>
          <w:p>
            <w:r/>
            <w:r>
              <w:rPr>
                <w:rFonts w:ascii="Arial" w:hAnsi="Arial" w:eastAsia="Arial"/>
                <w:b w:val="0"/>
                <w:sz w:val="17"/>
              </w:rPr>
              <w:t>SAML SSO detailed flow is not finalized.</w:t>
            </w:r>
          </w:p>
        </w:tc>
        <w:tc>
          <w:tcPr>
            <w:tcW w:type="dxa" w:w="3408"/>
            <w:vAlign w:val="top"/>
          </w:tcPr>
          <w:p>
            <w:r/>
            <w:r>
              <w:rPr>
                <w:rFonts w:ascii="Arial" w:hAnsi="Arial" w:eastAsia="Arial"/>
                <w:b w:val="0"/>
                <w:sz w:val="17"/>
              </w:rPr>
              <w:t>Confirm claims, NameID, groups/roles, session timeout, logout, certificate rotation, and metadata exchange.</w:t>
            </w:r>
          </w:p>
        </w:tc>
      </w:tr>
      <w:tr>
        <w:tc>
          <w:tcPr>
            <w:tcW w:type="dxa" w:w="3408"/>
            <w:vAlign w:val="top"/>
          </w:tcPr>
          <w:p>
            <w:r/>
            <w:r>
              <w:rPr>
                <w:rFonts w:ascii="Arial" w:hAnsi="Arial" w:eastAsia="Arial"/>
                <w:b w:val="0"/>
                <w:sz w:val="17"/>
              </w:rPr>
              <w:t>G-03</w:t>
            </w:r>
          </w:p>
        </w:tc>
        <w:tc>
          <w:tcPr>
            <w:tcW w:type="dxa" w:w="3408"/>
            <w:vAlign w:val="top"/>
          </w:tcPr>
          <w:p>
            <w:r/>
            <w:r>
              <w:rPr>
                <w:rFonts w:ascii="Arial" w:hAnsi="Arial" w:eastAsia="Arial"/>
                <w:b w:val="0"/>
                <w:sz w:val="17"/>
              </w:rPr>
              <w:t>Data classification handling rules need formal mapping.</w:t>
            </w:r>
          </w:p>
        </w:tc>
        <w:tc>
          <w:tcPr>
            <w:tcW w:type="dxa" w:w="3408"/>
            <w:vAlign w:val="top"/>
          </w:tcPr>
          <w:p>
            <w:r/>
            <w:r>
              <w:rPr>
                <w:rFonts w:ascii="Arial" w:hAnsi="Arial" w:eastAsia="Arial"/>
                <w:b w:val="0"/>
                <w:sz w:val="17"/>
              </w:rPr>
              <w:t>Confirm masking rules, log restrictions, screen display rules, and export restrictions per data category.</w:t>
            </w:r>
          </w:p>
        </w:tc>
      </w:tr>
      <w:tr>
        <w:tc>
          <w:tcPr>
            <w:tcW w:type="dxa" w:w="3408"/>
            <w:vAlign w:val="top"/>
          </w:tcPr>
          <w:p>
            <w:r/>
            <w:r>
              <w:rPr>
                <w:rFonts w:ascii="Arial" w:hAnsi="Arial" w:eastAsia="Arial"/>
                <w:b w:val="0"/>
                <w:sz w:val="17"/>
              </w:rPr>
              <w:t>G-04</w:t>
            </w:r>
          </w:p>
        </w:tc>
        <w:tc>
          <w:tcPr>
            <w:tcW w:type="dxa" w:w="3408"/>
            <w:vAlign w:val="top"/>
          </w:tcPr>
          <w:p>
            <w:r/>
            <w:r>
              <w:rPr>
                <w:rFonts w:ascii="Arial" w:hAnsi="Arial" w:eastAsia="Arial"/>
                <w:b w:val="0"/>
                <w:sz w:val="17"/>
              </w:rPr>
              <w:t>Audit retention of 1 year needs governance validation.</w:t>
            </w:r>
          </w:p>
        </w:tc>
        <w:tc>
          <w:tcPr>
            <w:tcW w:type="dxa" w:w="3408"/>
            <w:vAlign w:val="top"/>
          </w:tcPr>
          <w:p>
            <w:r/>
            <w:r>
              <w:rPr>
                <w:rFonts w:ascii="Arial" w:hAnsi="Arial" w:eastAsia="Arial"/>
                <w:b w:val="0"/>
                <w:sz w:val="17"/>
              </w:rPr>
              <w:t>Compliance/Legal/Records Management to approve or amend retention.</w:t>
            </w:r>
          </w:p>
        </w:tc>
      </w:tr>
      <w:tr>
        <w:tc>
          <w:tcPr>
            <w:tcW w:type="dxa" w:w="3408"/>
            <w:vAlign w:val="top"/>
          </w:tcPr>
          <w:p>
            <w:r/>
            <w:r>
              <w:rPr>
                <w:rFonts w:ascii="Arial" w:hAnsi="Arial" w:eastAsia="Arial"/>
                <w:b w:val="0"/>
                <w:sz w:val="17"/>
              </w:rPr>
              <w:t>G-05</w:t>
            </w:r>
          </w:p>
        </w:tc>
        <w:tc>
          <w:tcPr>
            <w:tcW w:type="dxa" w:w="3408"/>
            <w:vAlign w:val="top"/>
          </w:tcPr>
          <w:p>
            <w:r/>
            <w:r>
              <w:rPr>
                <w:rFonts w:ascii="Arial" w:hAnsi="Arial" w:eastAsia="Arial"/>
                <w:b w:val="0"/>
                <w:sz w:val="17"/>
              </w:rPr>
              <w:t>AppDynamics vs SIEM responsibility is unclear.</w:t>
            </w:r>
          </w:p>
        </w:tc>
        <w:tc>
          <w:tcPr>
            <w:tcW w:type="dxa" w:w="3408"/>
            <w:vAlign w:val="top"/>
          </w:tcPr>
          <w:p>
            <w:r/>
            <w:r>
              <w:rPr>
                <w:rFonts w:ascii="Arial" w:hAnsi="Arial" w:eastAsia="Arial"/>
                <w:b w:val="0"/>
                <w:sz w:val="17"/>
              </w:rPr>
              <w:t>Confirm whether AppDynamics is used for operational monitoring only or also forwards security events.</w:t>
            </w:r>
          </w:p>
        </w:tc>
      </w:tr>
      <w:tr>
        <w:tc>
          <w:tcPr>
            <w:tcW w:type="dxa" w:w="3408"/>
            <w:vAlign w:val="top"/>
          </w:tcPr>
          <w:p>
            <w:r/>
            <w:r>
              <w:rPr>
                <w:rFonts w:ascii="Arial" w:hAnsi="Arial" w:eastAsia="Arial"/>
                <w:b w:val="0"/>
                <w:sz w:val="17"/>
              </w:rPr>
              <w:t>G-06</w:t>
            </w:r>
          </w:p>
        </w:tc>
        <w:tc>
          <w:tcPr>
            <w:tcW w:type="dxa" w:w="3408"/>
            <w:vAlign w:val="top"/>
          </w:tcPr>
          <w:p>
            <w:r/>
            <w:r>
              <w:rPr>
                <w:rFonts w:ascii="Arial" w:hAnsi="Arial" w:eastAsia="Arial"/>
                <w:b w:val="0"/>
                <w:sz w:val="17"/>
              </w:rPr>
              <w:t>DR approach lacks proof.</w:t>
            </w:r>
          </w:p>
        </w:tc>
        <w:tc>
          <w:tcPr>
            <w:tcW w:type="dxa" w:w="3408"/>
            <w:vAlign w:val="top"/>
          </w:tcPr>
          <w:p>
            <w:r/>
            <w:r>
              <w:rPr>
                <w:rFonts w:ascii="Arial" w:hAnsi="Arial" w:eastAsia="Arial"/>
                <w:b w:val="0"/>
                <w:sz w:val="17"/>
              </w:rPr>
              <w:t>Run DR test or select a stronger DR topology.</w:t>
            </w:r>
          </w:p>
        </w:tc>
      </w:tr>
      <w:tr>
        <w:tc>
          <w:tcPr>
            <w:tcW w:type="dxa" w:w="3408"/>
            <w:vAlign w:val="top"/>
          </w:tcPr>
          <w:p>
            <w:r/>
            <w:r>
              <w:rPr>
                <w:rFonts w:ascii="Arial" w:hAnsi="Arial" w:eastAsia="Arial"/>
                <w:b w:val="0"/>
                <w:sz w:val="17"/>
              </w:rPr>
              <w:t>G-07</w:t>
            </w:r>
          </w:p>
        </w:tc>
        <w:tc>
          <w:tcPr>
            <w:tcW w:type="dxa" w:w="3408"/>
            <w:vAlign w:val="top"/>
          </w:tcPr>
          <w:p>
            <w:r/>
            <w:r>
              <w:rPr>
                <w:rFonts w:ascii="Arial" w:hAnsi="Arial" w:eastAsia="Arial"/>
                <w:b w:val="0"/>
                <w:sz w:val="17"/>
              </w:rPr>
              <w:t>API contracts are incomplete for some modules.</w:t>
            </w:r>
          </w:p>
        </w:tc>
        <w:tc>
          <w:tcPr>
            <w:tcW w:type="dxa" w:w="3408"/>
            <w:vAlign w:val="top"/>
          </w:tcPr>
          <w:p>
            <w:r/>
            <w:r>
              <w:rPr>
                <w:rFonts w:ascii="Arial" w:hAnsi="Arial" w:eastAsia="Arial"/>
                <w:b w:val="0"/>
                <w:sz w:val="17"/>
              </w:rPr>
              <w:t>Finalize interface register before build closure.</w:t>
            </w:r>
          </w:p>
        </w:tc>
      </w:tr>
    </w:tbl>
    <w:p/>
    <w:p>
      <w:pPr>
        <w:pStyle w:val="Heading2"/>
        <w:keepNext/>
      </w:pPr>
      <w:r>
        <w:t>1.6 References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Reference</w:t>
            </w:r>
          </w:p>
        </w:tc>
        <w:tc>
          <w:tcPr>
            <w:tcW w:type="dxa" w:w="5112"/>
            <w:shd w:fill="D9EAF7"/>
            <w:vAlign w:val="center"/>
          </w:tcPr>
          <w:p>
            <w:r/>
            <w:r>
              <w:rPr>
                <w:rFonts w:ascii="Arial" w:hAnsi="Arial" w:eastAsia="Arial"/>
                <w:b/>
                <w:sz w:val="17"/>
              </w:rPr>
              <w:t>Purpose</w:t>
            </w:r>
          </w:p>
        </w:tc>
      </w:tr>
      <w:tr>
        <w:tc>
          <w:tcPr>
            <w:tcW w:type="dxa" w:w="5112"/>
            <w:vAlign w:val="top"/>
          </w:tcPr>
          <w:p>
            <w:r/>
            <w:r>
              <w:rPr>
                <w:rFonts w:ascii="Arial" w:hAnsi="Arial" w:eastAsia="Arial"/>
                <w:b w:val="0"/>
                <w:sz w:val="17"/>
              </w:rPr>
              <w:t>Original EMH Architecture Proposal v1.6</w:t>
            </w:r>
          </w:p>
        </w:tc>
        <w:tc>
          <w:tcPr>
            <w:tcW w:type="dxa" w:w="5112"/>
            <w:vAlign w:val="top"/>
          </w:tcPr>
          <w:p>
            <w:r/>
            <w:r>
              <w:rPr>
                <w:rFonts w:ascii="Arial" w:hAnsi="Arial" w:eastAsia="Arial"/>
                <w:b w:val="0"/>
                <w:sz w:val="17"/>
              </w:rPr>
              <w:t>Business scope, original Angular/.NET direction, modules, permissions, audit, integration rules.</w:t>
            </w:r>
          </w:p>
        </w:tc>
      </w:tr>
      <w:tr>
        <w:tc>
          <w:tcPr>
            <w:tcW w:type="dxa" w:w="5112"/>
            <w:vAlign w:val="top"/>
          </w:tcPr>
          <w:p>
            <w:r/>
            <w:r>
              <w:rPr>
                <w:rFonts w:ascii="Arial" w:hAnsi="Arial" w:eastAsia="Arial"/>
                <w:b w:val="0"/>
                <w:sz w:val="17"/>
              </w:rPr>
              <w:t>UAE Information Assurance Regulation</w:t>
            </w:r>
          </w:p>
        </w:tc>
        <w:tc>
          <w:tcPr>
            <w:tcW w:type="dxa" w:w="5112"/>
            <w:vAlign w:val="top"/>
          </w:tcPr>
          <w:p>
            <w:r/>
            <w:r>
              <w:rPr>
                <w:rFonts w:ascii="Arial" w:hAnsi="Arial" w:eastAsia="Arial"/>
                <w:b w:val="0"/>
                <w:sz w:val="17"/>
              </w:rPr>
              <w:t>Security and information assurance control reference.</w:t>
            </w:r>
          </w:p>
        </w:tc>
      </w:tr>
      <w:tr>
        <w:tc>
          <w:tcPr>
            <w:tcW w:type="dxa" w:w="5112"/>
            <w:vAlign w:val="top"/>
          </w:tcPr>
          <w:p>
            <w:r/>
            <w:r>
              <w:rPr>
                <w:rFonts w:ascii="Arial" w:hAnsi="Arial" w:eastAsia="Arial"/>
                <w:b w:val="0"/>
                <w:sz w:val="17"/>
              </w:rPr>
              <w:t>Dubai Data Policies / Dubai Data Manual</w:t>
            </w:r>
          </w:p>
        </w:tc>
        <w:tc>
          <w:tcPr>
            <w:tcW w:type="dxa" w:w="5112"/>
            <w:vAlign w:val="top"/>
          </w:tcPr>
          <w:p>
            <w:r/>
            <w:r>
              <w:rPr>
                <w:rFonts w:ascii="Arial" w:hAnsi="Arial" w:eastAsia="Arial"/>
                <w:b w:val="0"/>
                <w:sz w:val="17"/>
              </w:rPr>
              <w:t>Data classification, protection, dissemination, and exchange reference.</w:t>
            </w:r>
          </w:p>
        </w:tc>
      </w:tr>
      <w:tr>
        <w:tc>
          <w:tcPr>
            <w:tcW w:type="dxa" w:w="5112"/>
            <w:vAlign w:val="top"/>
          </w:tcPr>
          <w:p>
            <w:r/>
            <w:r>
              <w:rPr>
                <w:rFonts w:ascii="Arial" w:hAnsi="Arial" w:eastAsia="Arial"/>
                <w:b w:val="0"/>
                <w:sz w:val="17"/>
              </w:rPr>
              <w:t>Organization Information Security Policies</w:t>
            </w:r>
          </w:p>
        </w:tc>
        <w:tc>
          <w:tcPr>
            <w:tcW w:type="dxa" w:w="5112"/>
            <w:vAlign w:val="top"/>
          </w:tcPr>
          <w:p>
            <w:r/>
            <w:r>
              <w:rPr>
                <w:rFonts w:ascii="Arial" w:hAnsi="Arial" w:eastAsia="Arial"/>
                <w:b w:val="0"/>
                <w:sz w:val="17"/>
              </w:rPr>
              <w:t>Binding control requirements for government systems.</w:t>
            </w:r>
          </w:p>
        </w:tc>
      </w:tr>
      <w:tr>
        <w:tc>
          <w:tcPr>
            <w:tcW w:type="dxa" w:w="5112"/>
            <w:vAlign w:val="top"/>
          </w:tcPr>
          <w:p>
            <w:r/>
            <w:r>
              <w:rPr>
                <w:rFonts w:ascii="Arial" w:hAnsi="Arial" w:eastAsia="Arial"/>
                <w:b w:val="0"/>
                <w:sz w:val="17"/>
              </w:rPr>
              <w:t>Organization Data Classification Policy</w:t>
            </w:r>
          </w:p>
        </w:tc>
        <w:tc>
          <w:tcPr>
            <w:tcW w:type="dxa" w:w="5112"/>
            <w:vAlign w:val="top"/>
          </w:tcPr>
          <w:p>
            <w:r/>
            <w:r>
              <w:rPr>
                <w:rFonts w:ascii="Arial" w:hAnsi="Arial" w:eastAsia="Arial"/>
                <w:b w:val="0"/>
                <w:sz w:val="17"/>
              </w:rPr>
              <w:t>Classification and handling rules for Confidential and Highly Confidential data.</w:t>
            </w:r>
          </w:p>
        </w:tc>
      </w:tr>
      <w:tr>
        <w:tc>
          <w:tcPr>
            <w:tcW w:type="dxa" w:w="5112"/>
            <w:vAlign w:val="top"/>
          </w:tcPr>
          <w:p>
            <w:r/>
            <w:r>
              <w:rPr>
                <w:rFonts w:ascii="Arial" w:hAnsi="Arial" w:eastAsia="Arial"/>
                <w:b w:val="0"/>
                <w:sz w:val="17"/>
              </w:rPr>
              <w:t>Mendix Platform Documentation / Vendor Guidance</w:t>
            </w:r>
          </w:p>
        </w:tc>
        <w:tc>
          <w:tcPr>
            <w:tcW w:type="dxa" w:w="5112"/>
            <w:vAlign w:val="top"/>
          </w:tcPr>
          <w:p>
            <w:r/>
            <w:r>
              <w:rPr>
                <w:rFonts w:ascii="Arial" w:hAnsi="Arial" w:eastAsia="Arial"/>
                <w:b w:val="0"/>
                <w:sz w:val="17"/>
              </w:rPr>
              <w:t>Mendix deployment, runtime, security, SAML, monitoring, and operational guidance.</w:t>
            </w:r>
          </w:p>
        </w:tc>
      </w:tr>
    </w:tbl>
    <w:p/>
    <w:p>
      <w:pPr>
        <w:pStyle w:val="Heading3"/>
        <w:keepNext/>
      </w:pPr>
      <w:r>
        <w:t>1.6.1 Principles &amp; Guidelines</w:t>
      </w:r>
    </w:p>
    <w:p>
      <w:pPr>
        <w:pStyle w:val="ListBullet"/>
      </w:pPr>
      <w:r>
        <w:t>Secure by design and privacy by design.</w:t>
      </w:r>
    </w:p>
    <w:p>
      <w:pPr>
        <w:pStyle w:val="ListBullet"/>
      </w:pPr>
      <w:r>
        <w:t>Deny by default; least privilege for every page, entity, microflow, and action.</w:t>
      </w:r>
    </w:p>
    <w:p>
      <w:pPr>
        <w:pStyle w:val="ListBullet"/>
      </w:pPr>
      <w:r>
        <w:t>API-led integration; no direct database access to external systems.</w:t>
      </w:r>
    </w:p>
    <w:p>
      <w:pPr>
        <w:pStyle w:val="ListBullet"/>
      </w:pPr>
      <w:r>
        <w:t>Data minimization: display external data only; avoid persistence by default.</w:t>
      </w:r>
    </w:p>
    <w:p>
      <w:pPr>
        <w:pStyle w:val="ListBullet"/>
      </w:pPr>
      <w:r>
        <w:t>Audit sensitive access, sensitive views, administrative changes, and denied access attempts.</w:t>
      </w:r>
    </w:p>
    <w:p>
      <w:pPr>
        <w:pStyle w:val="ListBullet"/>
      </w:pPr>
      <w:r>
        <w:t>Sanitize logs and avoid sensitive payload logging.</w:t>
      </w:r>
    </w:p>
    <w:p>
      <w:pPr>
        <w:pStyle w:val="ListBullet"/>
      </w:pPr>
      <w:r>
        <w:t>Separate environments, configurations, credentials, and data stores.</w:t>
      </w:r>
    </w:p>
    <w:p>
      <w:pPr>
        <w:pStyle w:val="ListBullet"/>
      </w:pPr>
      <w:r>
        <w:t>Design for maintainability, platform governance, and controlled change management.</w:t>
      </w:r>
    </w:p>
    <w:p>
      <w:pPr>
        <w:pStyle w:val="Heading2"/>
        <w:keepNext/>
      </w:pPr>
      <w:r>
        <w:t>1.7 Stakeholders &amp; Concerns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Stakeholder</w:t>
            </w:r>
          </w:p>
        </w:tc>
        <w:tc>
          <w:tcPr>
            <w:tcW w:type="dxa" w:w="5112"/>
            <w:shd w:fill="D9EAF7"/>
            <w:vAlign w:val="center"/>
          </w:tcPr>
          <w:p>
            <w:r/>
            <w:r>
              <w:rPr>
                <w:rFonts w:ascii="Arial" w:hAnsi="Arial" w:eastAsia="Arial"/>
                <w:b/>
                <w:sz w:val="17"/>
              </w:rPr>
              <w:t>Primary Concerns</w:t>
            </w:r>
          </w:p>
        </w:tc>
      </w:tr>
      <w:tr>
        <w:tc>
          <w:tcPr>
            <w:tcW w:type="dxa" w:w="5112"/>
            <w:vAlign w:val="top"/>
          </w:tcPr>
          <w:p>
            <w:r/>
            <w:r>
              <w:rPr>
                <w:rFonts w:ascii="Arial" w:hAnsi="Arial" w:eastAsia="Arial"/>
                <w:b w:val="0"/>
                <w:sz w:val="17"/>
              </w:rPr>
              <w:t>Business Support Teams</w:t>
            </w:r>
          </w:p>
        </w:tc>
        <w:tc>
          <w:tcPr>
            <w:tcW w:type="dxa" w:w="5112"/>
            <w:vAlign w:val="top"/>
          </w:tcPr>
          <w:p>
            <w:r/>
            <w:r>
              <w:rPr>
                <w:rFonts w:ascii="Arial" w:hAnsi="Arial" w:eastAsia="Arial"/>
                <w:b w:val="0"/>
                <w:sz w:val="17"/>
              </w:rPr>
              <w:t>Fast investigation, reliable search, clear service status, minimal system switching.</w:t>
            </w:r>
          </w:p>
        </w:tc>
      </w:tr>
      <w:tr>
        <w:tc>
          <w:tcPr>
            <w:tcW w:type="dxa" w:w="5112"/>
            <w:vAlign w:val="top"/>
          </w:tcPr>
          <w:p>
            <w:r/>
            <w:r>
              <w:rPr>
                <w:rFonts w:ascii="Arial" w:hAnsi="Arial" w:eastAsia="Arial"/>
                <w:b w:val="0"/>
                <w:sz w:val="17"/>
              </w:rPr>
              <w:t>Solution Architect / Enterprise Architecture</w:t>
            </w:r>
          </w:p>
        </w:tc>
        <w:tc>
          <w:tcPr>
            <w:tcW w:type="dxa" w:w="5112"/>
            <w:vAlign w:val="top"/>
          </w:tcPr>
          <w:p>
            <w:r/>
            <w:r>
              <w:rPr>
                <w:rFonts w:ascii="Arial" w:hAnsi="Arial" w:eastAsia="Arial"/>
                <w:b w:val="0"/>
                <w:sz w:val="17"/>
              </w:rPr>
              <w:t>Platform fit, integration pattern, maintainability, scalability, DR, security alignment.</w:t>
            </w:r>
          </w:p>
        </w:tc>
      </w:tr>
      <w:tr>
        <w:tc>
          <w:tcPr>
            <w:tcW w:type="dxa" w:w="5112"/>
            <w:vAlign w:val="top"/>
          </w:tcPr>
          <w:p>
            <w:r/>
            <w:r>
              <w:rPr>
                <w:rFonts w:ascii="Arial" w:hAnsi="Arial" w:eastAsia="Arial"/>
                <w:b w:val="0"/>
                <w:sz w:val="17"/>
              </w:rPr>
              <w:t>Information Security</w:t>
            </w:r>
          </w:p>
        </w:tc>
        <w:tc>
          <w:tcPr>
            <w:tcW w:type="dxa" w:w="5112"/>
            <w:vAlign w:val="top"/>
          </w:tcPr>
          <w:p>
            <w:r/>
            <w:r>
              <w:rPr>
                <w:rFonts w:ascii="Arial" w:hAnsi="Arial" w:eastAsia="Arial"/>
                <w:b w:val="0"/>
                <w:sz w:val="17"/>
              </w:rPr>
              <w:t>SSO, least privilege, secure coding, data leakage prevention, logging controls, vulnerability management.</w:t>
            </w:r>
          </w:p>
        </w:tc>
      </w:tr>
      <w:tr>
        <w:tc>
          <w:tcPr>
            <w:tcW w:type="dxa" w:w="5112"/>
            <w:vAlign w:val="top"/>
          </w:tcPr>
          <w:p>
            <w:r/>
            <w:r>
              <w:rPr>
                <w:rFonts w:ascii="Arial" w:hAnsi="Arial" w:eastAsia="Arial"/>
                <w:b w:val="0"/>
                <w:sz w:val="17"/>
              </w:rPr>
              <w:t>Data Governance / Compliance</w:t>
            </w:r>
          </w:p>
        </w:tc>
        <w:tc>
          <w:tcPr>
            <w:tcW w:type="dxa" w:w="5112"/>
            <w:vAlign w:val="top"/>
          </w:tcPr>
          <w:p>
            <w:r/>
            <w:r>
              <w:rPr>
                <w:rFonts w:ascii="Arial" w:hAnsi="Arial" w:eastAsia="Arial"/>
                <w:b w:val="0"/>
                <w:sz w:val="17"/>
              </w:rPr>
              <w:t>Data classification, retention, masking, minimization, auditability, data residency.</w:t>
            </w:r>
          </w:p>
        </w:tc>
      </w:tr>
      <w:tr>
        <w:tc>
          <w:tcPr>
            <w:tcW w:type="dxa" w:w="5112"/>
            <w:vAlign w:val="top"/>
          </w:tcPr>
          <w:p>
            <w:r/>
            <w:r>
              <w:rPr>
                <w:rFonts w:ascii="Arial" w:hAnsi="Arial" w:eastAsia="Arial"/>
                <w:b w:val="0"/>
                <w:sz w:val="17"/>
              </w:rPr>
              <w:t>Infrastructure / Operations</w:t>
            </w:r>
          </w:p>
        </w:tc>
        <w:tc>
          <w:tcPr>
            <w:tcW w:type="dxa" w:w="5112"/>
            <w:vAlign w:val="top"/>
          </w:tcPr>
          <w:p>
            <w:r/>
            <w:r>
              <w:rPr>
                <w:rFonts w:ascii="Arial" w:hAnsi="Arial" w:eastAsia="Arial"/>
                <w:b w:val="0"/>
                <w:sz w:val="17"/>
              </w:rPr>
              <w:t>On-premises hosting, runtime availability, monitoring, backup, patching, DR, capacity.</w:t>
            </w:r>
          </w:p>
        </w:tc>
      </w:tr>
      <w:tr>
        <w:tc>
          <w:tcPr>
            <w:tcW w:type="dxa" w:w="5112"/>
            <w:vAlign w:val="top"/>
          </w:tcPr>
          <w:p>
            <w:r/>
            <w:r>
              <w:rPr>
                <w:rFonts w:ascii="Arial" w:hAnsi="Arial" w:eastAsia="Arial"/>
                <w:b w:val="0"/>
                <w:sz w:val="17"/>
              </w:rPr>
              <w:t>Integration Owners</w:t>
            </w:r>
          </w:p>
        </w:tc>
        <w:tc>
          <w:tcPr>
            <w:tcW w:type="dxa" w:w="5112"/>
            <w:vAlign w:val="top"/>
          </w:tcPr>
          <w:p>
            <w:r/>
            <w:r>
              <w:rPr>
                <w:rFonts w:ascii="Arial" w:hAnsi="Arial" w:eastAsia="Arial"/>
                <w:b w:val="0"/>
                <w:sz w:val="17"/>
              </w:rPr>
              <w:t>API contracts, ownership, throttling, availability, error handling, versioning.</w:t>
            </w:r>
          </w:p>
        </w:tc>
      </w:tr>
      <w:tr>
        <w:tc>
          <w:tcPr>
            <w:tcW w:type="dxa" w:w="5112"/>
            <w:vAlign w:val="top"/>
          </w:tcPr>
          <w:p>
            <w:r/>
            <w:r>
              <w:rPr>
                <w:rFonts w:ascii="Arial" w:hAnsi="Arial" w:eastAsia="Arial"/>
                <w:b w:val="0"/>
                <w:sz w:val="17"/>
              </w:rPr>
              <w:t>Mendix Development Team</w:t>
            </w:r>
          </w:p>
        </w:tc>
        <w:tc>
          <w:tcPr>
            <w:tcW w:type="dxa" w:w="5112"/>
            <w:vAlign w:val="top"/>
          </w:tcPr>
          <w:p>
            <w:r/>
            <w:r>
              <w:rPr>
                <w:rFonts w:ascii="Arial" w:hAnsi="Arial" w:eastAsia="Arial"/>
                <w:b w:val="0"/>
                <w:sz w:val="17"/>
              </w:rPr>
              <w:t>Module structure, patterns, reusable components, marketplace approval, custom Java governance.</w:t>
            </w:r>
          </w:p>
        </w:tc>
      </w:tr>
      <w:tr>
        <w:tc>
          <w:tcPr>
            <w:tcW w:type="dxa" w:w="5112"/>
            <w:vAlign w:val="top"/>
          </w:tcPr>
          <w:p>
            <w:r/>
            <w:r>
              <w:rPr>
                <w:rFonts w:ascii="Arial" w:hAnsi="Arial" w:eastAsia="Arial"/>
                <w:b w:val="0"/>
                <w:sz w:val="17"/>
              </w:rPr>
              <w:t>Audit / Risk</w:t>
            </w:r>
          </w:p>
        </w:tc>
        <w:tc>
          <w:tcPr>
            <w:tcW w:type="dxa" w:w="5112"/>
            <w:vAlign w:val="top"/>
          </w:tcPr>
          <w:p>
            <w:r/>
            <w:r>
              <w:rPr>
                <w:rFonts w:ascii="Arial" w:hAnsi="Arial" w:eastAsia="Arial"/>
                <w:b w:val="0"/>
                <w:sz w:val="17"/>
              </w:rPr>
              <w:t>Evidence of controls, traceability, access history, administrative actions, retention.</w:t>
            </w:r>
          </w:p>
        </w:tc>
      </w:tr>
    </w:tbl>
    <w:p/>
    <w:p>
      <w:r>
        <w:br w:type="page"/>
      </w:r>
    </w:p>
    <w:p>
      <w:pPr>
        <w:pStyle w:val="Heading1"/>
        <w:keepNext/>
      </w:pPr>
      <w:r>
        <w:t>2. Data Architecture</w:t>
      </w:r>
    </w:p>
    <w:p>
      <w:pPr>
        <w:pStyle w:val="Heading2"/>
        <w:keepNext/>
      </w:pPr>
      <w:r>
        <w:t>Original Section Summary</w:t>
      </w:r>
    </w:p>
    <w:p>
      <w:r>
        <w:t>The original document defines EMH-owned SQL Server tables for users, roles, permissions, sessions, applications, menus, page actions, audit logs, login history, and error logs. It also defines that external systems remain outside EMH ownership and are accessed only through APIs.</w:t>
      </w:r>
    </w:p>
    <w:p>
      <w:pPr>
        <w:pStyle w:val="Heading2"/>
        <w:keepNext/>
      </w:pPr>
      <w:r>
        <w:t>Issues with Current Design</w:t>
      </w:r>
    </w:p>
    <w:p>
      <w:pPr>
        <w:pStyle w:val="ListBullet"/>
      </w:pPr>
      <w:r>
        <w:t>EF Core Database First is no longer applicable as the primary application persistence model.</w:t>
      </w:r>
    </w:p>
    <w:p>
      <w:pPr>
        <w:pStyle w:val="ListBullet"/>
      </w:pPr>
      <w:r>
        <w:t>The SQL Server conceptual model must be converted into a Mendix domain model and approved database design for on-premises runtime.</w:t>
      </w:r>
    </w:p>
    <w:p>
      <w:pPr>
        <w:pStyle w:val="ListBullet"/>
      </w:pPr>
      <w:r>
        <w:t>External operational data must be display-only and should not become persistent Mendix entities unless approved.</w:t>
      </w:r>
    </w:p>
    <w:p>
      <w:pPr>
        <w:pStyle w:val="ListBullet"/>
      </w:pPr>
      <w:r>
        <w:t>Audit retention and archival rules must be confirmed, especially because one-year retention is not yet validated by governance.</w:t>
      </w:r>
    </w:p>
    <w:p>
      <w:pPr>
        <w:pStyle w:val="Heading2"/>
        <w:keepNext/>
      </w:pPr>
      <w:r>
        <w:t>2.1 Data Scope, Glossary &amp; Reference</w:t>
      </w:r>
    </w:p>
    <w:p>
      <w:r>
        <w:t>The EMH data architecture shall distinguish between EMH-owned data and externally owned operational data. EMH-owned data may be persisted in the EMH application database. Externally owned operational data shall be retrieved through approved APIs and displayed temporarily using non-persistent Mendix entities unless formal approval is granted for persistence.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Data Category</w:t>
            </w:r>
          </w:p>
        </w:tc>
        <w:tc>
          <w:tcPr>
            <w:tcW w:type="dxa" w:w="2556"/>
            <w:shd w:fill="D9EAF7"/>
            <w:vAlign w:val="center"/>
          </w:tcPr>
          <w:p>
            <w:r/>
            <w:r>
              <w:rPr>
                <w:rFonts w:ascii="Arial" w:hAnsi="Arial" w:eastAsia="Arial"/>
                <w:b/>
                <w:sz w:val="17"/>
              </w:rPr>
              <w:t>Ownership</w:t>
            </w:r>
          </w:p>
        </w:tc>
        <w:tc>
          <w:tcPr>
            <w:tcW w:type="dxa" w:w="2556"/>
            <w:shd w:fill="D9EAF7"/>
            <w:vAlign w:val="center"/>
          </w:tcPr>
          <w:p>
            <w:r/>
            <w:r>
              <w:rPr>
                <w:rFonts w:ascii="Arial" w:hAnsi="Arial" w:eastAsia="Arial"/>
                <w:b/>
                <w:sz w:val="17"/>
              </w:rPr>
              <w:t>Persistence in EMH</w:t>
            </w:r>
          </w:p>
        </w:tc>
        <w:tc>
          <w:tcPr>
            <w:tcW w:type="dxa" w:w="2556"/>
            <w:shd w:fill="D9EAF7"/>
            <w:vAlign w:val="center"/>
          </w:tcPr>
          <w:p>
            <w:r/>
            <w:r>
              <w:rPr>
                <w:rFonts w:ascii="Arial" w:hAnsi="Arial" w:eastAsia="Arial"/>
                <w:b/>
                <w:sz w:val="17"/>
              </w:rPr>
              <w:t>Classification / Notes</w:t>
            </w:r>
          </w:p>
        </w:tc>
      </w:tr>
      <w:tr>
        <w:tc>
          <w:tcPr>
            <w:tcW w:type="dxa" w:w="2556"/>
            <w:vAlign w:val="top"/>
          </w:tcPr>
          <w:p>
            <w:r/>
            <w:r>
              <w:rPr>
                <w:rFonts w:ascii="Arial" w:hAnsi="Arial" w:eastAsia="Arial"/>
                <w:b w:val="0"/>
                <w:sz w:val="17"/>
              </w:rPr>
              <w:t>EMH User Profile</w:t>
            </w:r>
          </w:p>
        </w:tc>
        <w:tc>
          <w:tcPr>
            <w:tcW w:type="dxa" w:w="2556"/>
            <w:vAlign w:val="top"/>
          </w:tcPr>
          <w:p>
            <w:r/>
            <w:r>
              <w:rPr>
                <w:rFonts w:ascii="Arial" w:hAnsi="Arial" w:eastAsia="Arial"/>
                <w:b w:val="0"/>
                <w:sz w:val="17"/>
              </w:rPr>
              <w:t>EMH / IDAM-derived</w:t>
            </w:r>
          </w:p>
        </w:tc>
        <w:tc>
          <w:tcPr>
            <w:tcW w:type="dxa" w:w="2556"/>
            <w:vAlign w:val="top"/>
          </w:tcPr>
          <w:p>
            <w:r/>
            <w:r>
              <w:rPr>
                <w:rFonts w:ascii="Arial" w:hAnsi="Arial" w:eastAsia="Arial"/>
                <w:b w:val="0"/>
                <w:sz w:val="17"/>
              </w:rPr>
              <w:t>Yes, minimal identity mapping only</w:t>
            </w:r>
          </w:p>
        </w:tc>
        <w:tc>
          <w:tcPr>
            <w:tcW w:type="dxa" w:w="2556"/>
            <w:vAlign w:val="top"/>
          </w:tcPr>
          <w:p>
            <w:r/>
            <w:r>
              <w:rPr>
                <w:rFonts w:ascii="Arial" w:hAnsi="Arial" w:eastAsia="Arial"/>
                <w:b w:val="0"/>
                <w:sz w:val="17"/>
              </w:rPr>
              <w:t>Confidential. Store only required identifiers and display fields.</w:t>
            </w:r>
          </w:p>
        </w:tc>
      </w:tr>
      <w:tr>
        <w:tc>
          <w:tcPr>
            <w:tcW w:type="dxa" w:w="2556"/>
            <w:vAlign w:val="top"/>
          </w:tcPr>
          <w:p>
            <w:r/>
            <w:r>
              <w:rPr>
                <w:rFonts w:ascii="Arial" w:hAnsi="Arial" w:eastAsia="Arial"/>
                <w:b w:val="0"/>
                <w:sz w:val="17"/>
              </w:rPr>
              <w:t>Roles and Permissions</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Confidential. Controls access and must be audited.</w:t>
            </w:r>
          </w:p>
        </w:tc>
      </w:tr>
      <w:tr>
        <w:tc>
          <w:tcPr>
            <w:tcW w:type="dxa" w:w="2556"/>
            <w:vAlign w:val="top"/>
          </w:tcPr>
          <w:p>
            <w:r/>
            <w:r>
              <w:rPr>
                <w:rFonts w:ascii="Arial" w:hAnsi="Arial" w:eastAsia="Arial"/>
                <w:b w:val="0"/>
                <w:sz w:val="17"/>
              </w:rPr>
              <w:t>Application/Menu Metadata</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Internal configuration.</w:t>
            </w:r>
          </w:p>
        </w:tc>
      </w:tr>
      <w:tr>
        <w:tc>
          <w:tcPr>
            <w:tcW w:type="dxa" w:w="2556"/>
            <w:vAlign w:val="top"/>
          </w:tcPr>
          <w:p>
            <w:r/>
            <w:r>
              <w:rPr>
                <w:rFonts w:ascii="Arial" w:hAnsi="Arial" w:eastAsia="Arial"/>
                <w:b w:val="0"/>
                <w:sz w:val="17"/>
              </w:rPr>
              <w:t>Audit Logs</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Confidential / Highly Confidential metadata depending on action context.</w:t>
            </w:r>
          </w:p>
        </w:tc>
      </w:tr>
      <w:tr>
        <w:tc>
          <w:tcPr>
            <w:tcW w:type="dxa" w:w="2556"/>
            <w:vAlign w:val="top"/>
          </w:tcPr>
          <w:p>
            <w:r/>
            <w:r>
              <w:rPr>
                <w:rFonts w:ascii="Arial" w:hAnsi="Arial" w:eastAsia="Arial"/>
                <w:b w:val="0"/>
                <w:sz w:val="17"/>
              </w:rPr>
              <w:t>External User Details</w:t>
            </w:r>
          </w:p>
        </w:tc>
        <w:tc>
          <w:tcPr>
            <w:tcW w:type="dxa" w:w="2556"/>
            <w:vAlign w:val="top"/>
          </w:tcPr>
          <w:p>
            <w:r/>
            <w:r>
              <w:rPr>
                <w:rFonts w:ascii="Arial" w:hAnsi="Arial" w:eastAsia="Arial"/>
                <w:b w:val="0"/>
                <w:sz w:val="17"/>
              </w:rPr>
              <w:t>IDAM / source system</w:t>
            </w:r>
          </w:p>
        </w:tc>
        <w:tc>
          <w:tcPr>
            <w:tcW w:type="dxa" w:w="2556"/>
            <w:vAlign w:val="top"/>
          </w:tcPr>
          <w:p>
            <w:r/>
            <w:r>
              <w:rPr>
                <w:rFonts w:ascii="Arial" w:hAnsi="Arial" w:eastAsia="Arial"/>
                <w:b w:val="0"/>
                <w:sz w:val="17"/>
              </w:rPr>
              <w:t>Display only by default</w:t>
            </w:r>
          </w:p>
        </w:tc>
        <w:tc>
          <w:tcPr>
            <w:tcW w:type="dxa" w:w="2556"/>
            <w:vAlign w:val="top"/>
          </w:tcPr>
          <w:p>
            <w:r/>
            <w:r>
              <w:rPr>
                <w:rFonts w:ascii="Arial" w:hAnsi="Arial" w:eastAsia="Arial"/>
                <w:b w:val="0"/>
                <w:sz w:val="17"/>
              </w:rPr>
              <w:t>Confidential. Avoid persistence of detailed records.</w:t>
            </w:r>
          </w:p>
        </w:tc>
      </w:tr>
      <w:tr>
        <w:tc>
          <w:tcPr>
            <w:tcW w:type="dxa" w:w="2556"/>
            <w:vAlign w:val="top"/>
          </w:tcPr>
          <w:p>
            <w:r/>
            <w:r>
              <w:rPr>
                <w:rFonts w:ascii="Arial" w:hAnsi="Arial" w:eastAsia="Arial"/>
                <w:b w:val="0"/>
                <w:sz w:val="17"/>
              </w:rPr>
              <w:t>Clinical Attachment Data</w:t>
            </w:r>
          </w:p>
        </w:tc>
        <w:tc>
          <w:tcPr>
            <w:tcW w:type="dxa" w:w="2556"/>
            <w:vAlign w:val="top"/>
          </w:tcPr>
          <w:p>
            <w:r/>
            <w:r>
              <w:rPr>
                <w:rFonts w:ascii="Arial" w:hAnsi="Arial" w:eastAsia="Arial"/>
                <w:b w:val="0"/>
                <w:sz w:val="17"/>
              </w:rPr>
              <w:t>Clinical Attachment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Confidential / Highly Confidential depending on fields.</w:t>
            </w:r>
          </w:p>
        </w:tc>
      </w:tr>
      <w:tr>
        <w:tc>
          <w:tcPr>
            <w:tcW w:type="dxa" w:w="2556"/>
            <w:vAlign w:val="top"/>
          </w:tcPr>
          <w:p>
            <w:r/>
            <w:r>
              <w:rPr>
                <w:rFonts w:ascii="Arial" w:hAnsi="Arial" w:eastAsia="Arial"/>
                <w:b w:val="0"/>
                <w:sz w:val="17"/>
              </w:rPr>
              <w:t>Premarital Data</w:t>
            </w:r>
          </w:p>
        </w:tc>
        <w:tc>
          <w:tcPr>
            <w:tcW w:type="dxa" w:w="2556"/>
            <w:vAlign w:val="top"/>
          </w:tcPr>
          <w:p>
            <w:r/>
            <w:r>
              <w:rPr>
                <w:rFonts w:ascii="Arial" w:hAnsi="Arial" w:eastAsia="Arial"/>
                <w:b w:val="0"/>
                <w:sz w:val="17"/>
              </w:rPr>
              <w:t>Premarital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Highly Confidential health-related data.</w:t>
            </w:r>
          </w:p>
        </w:tc>
      </w:tr>
      <w:tr>
        <w:tc>
          <w:tcPr>
            <w:tcW w:type="dxa" w:w="2556"/>
            <w:vAlign w:val="top"/>
          </w:tcPr>
          <w:p>
            <w:r/>
            <w:r>
              <w:rPr>
                <w:rFonts w:ascii="Arial" w:hAnsi="Arial" w:eastAsia="Arial"/>
                <w:b w:val="0"/>
                <w:sz w:val="17"/>
              </w:rPr>
              <w:t>Patient Services Data</w:t>
            </w:r>
          </w:p>
        </w:tc>
        <w:tc>
          <w:tcPr>
            <w:tcW w:type="dxa" w:w="2556"/>
            <w:vAlign w:val="top"/>
          </w:tcPr>
          <w:p>
            <w:r/>
            <w:r>
              <w:rPr>
                <w:rFonts w:ascii="Arial" w:hAnsi="Arial" w:eastAsia="Arial"/>
                <w:b w:val="0"/>
                <w:sz w:val="17"/>
              </w:rPr>
              <w:t>Patient Services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Highly Confidential patient/health-related data.</w:t>
            </w:r>
          </w:p>
        </w:tc>
      </w:tr>
      <w:tr>
        <w:tc>
          <w:tcPr>
            <w:tcW w:type="dxa" w:w="2556"/>
            <w:vAlign w:val="top"/>
          </w:tcPr>
          <w:p>
            <w:r/>
            <w:r>
              <w:rPr>
                <w:rFonts w:ascii="Arial" w:hAnsi="Arial" w:eastAsia="Arial"/>
                <w:b w:val="0"/>
                <w:sz w:val="17"/>
              </w:rPr>
              <w:t>Payment Status / Transaction Data</w:t>
            </w:r>
          </w:p>
        </w:tc>
        <w:tc>
          <w:tcPr>
            <w:tcW w:type="dxa" w:w="2556"/>
            <w:vAlign w:val="top"/>
          </w:tcPr>
          <w:p>
            <w:r/>
            <w:r>
              <w:rPr>
                <w:rFonts w:ascii="Arial" w:hAnsi="Arial" w:eastAsia="Arial"/>
                <w:b w:val="0"/>
                <w:sz w:val="17"/>
              </w:rPr>
              <w:t>Payment/source systems</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Confidential / Highly Confidential; no full payment data logging.</w:t>
            </w:r>
          </w:p>
        </w:tc>
      </w:tr>
      <w:tr>
        <w:tc>
          <w:tcPr>
            <w:tcW w:type="dxa" w:w="2556"/>
            <w:vAlign w:val="top"/>
          </w:tcPr>
          <w:p>
            <w:r/>
            <w:r>
              <w:rPr>
                <w:rFonts w:ascii="Arial" w:hAnsi="Arial" w:eastAsia="Arial"/>
                <w:b w:val="0"/>
                <w:sz w:val="17"/>
              </w:rPr>
              <w:t>SAML Assertions / Tokens</w:t>
            </w:r>
          </w:p>
        </w:tc>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No</w:t>
            </w:r>
          </w:p>
        </w:tc>
        <w:tc>
          <w:tcPr>
            <w:tcW w:type="dxa" w:w="2556"/>
            <w:vAlign w:val="top"/>
          </w:tcPr>
          <w:p>
            <w:r/>
            <w:r>
              <w:rPr>
                <w:rFonts w:ascii="Arial" w:hAnsi="Arial" w:eastAsia="Arial"/>
                <w:b w:val="0"/>
                <w:sz w:val="17"/>
              </w:rPr>
              <w:t>Must never be logged or stored beyond approved session handling.</w:t>
            </w:r>
          </w:p>
        </w:tc>
      </w:tr>
    </w:tbl>
    <w:p/>
    <w:p>
      <w:pPr>
        <w:pStyle w:val="Heading3"/>
        <w:keepNext/>
      </w:pPr>
      <w:r>
        <w:t>2.1.1 Data Models &amp; Glossary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Term</w:t>
            </w:r>
          </w:p>
        </w:tc>
        <w:tc>
          <w:tcPr>
            <w:tcW w:type="dxa" w:w="5112"/>
            <w:shd w:fill="D9EAF7"/>
            <w:vAlign w:val="center"/>
          </w:tcPr>
          <w:p>
            <w:r/>
            <w:r>
              <w:rPr>
                <w:rFonts w:ascii="Arial" w:hAnsi="Arial" w:eastAsia="Arial"/>
                <w:b/>
                <w:sz w:val="17"/>
              </w:rPr>
              <w:t>Definition</w:t>
            </w:r>
          </w:p>
        </w:tc>
      </w:tr>
      <w:tr>
        <w:tc>
          <w:tcPr>
            <w:tcW w:type="dxa" w:w="5112"/>
            <w:vAlign w:val="top"/>
          </w:tcPr>
          <w:p>
            <w:r/>
            <w:r>
              <w:rPr>
                <w:rFonts w:ascii="Arial" w:hAnsi="Arial" w:eastAsia="Arial"/>
                <w:b w:val="0"/>
                <w:sz w:val="17"/>
              </w:rPr>
              <w:t>Persistent Entity</w:t>
            </w:r>
          </w:p>
        </w:tc>
        <w:tc>
          <w:tcPr>
            <w:tcW w:type="dxa" w:w="5112"/>
            <w:vAlign w:val="top"/>
          </w:tcPr>
          <w:p>
            <w:r/>
            <w:r>
              <w:rPr>
                <w:rFonts w:ascii="Arial" w:hAnsi="Arial" w:eastAsia="Arial"/>
                <w:b w:val="0"/>
                <w:sz w:val="17"/>
              </w:rPr>
              <w:t>A Mendix entity stored in the EMH application database. Used only for EMH-owned data or approved persisted records.</w:t>
            </w:r>
          </w:p>
        </w:tc>
      </w:tr>
      <w:tr>
        <w:tc>
          <w:tcPr>
            <w:tcW w:type="dxa" w:w="5112"/>
            <w:vAlign w:val="top"/>
          </w:tcPr>
          <w:p>
            <w:r/>
            <w:r>
              <w:rPr>
                <w:rFonts w:ascii="Arial" w:hAnsi="Arial" w:eastAsia="Arial"/>
                <w:b w:val="0"/>
                <w:sz w:val="17"/>
              </w:rPr>
              <w:t>Non-Persistent Entity</w:t>
            </w:r>
          </w:p>
        </w:tc>
        <w:tc>
          <w:tcPr>
            <w:tcW w:type="dxa" w:w="5112"/>
            <w:vAlign w:val="top"/>
          </w:tcPr>
          <w:p>
            <w:r/>
            <w:r>
              <w:rPr>
                <w:rFonts w:ascii="Arial" w:hAnsi="Arial" w:eastAsia="Arial"/>
                <w:b w:val="0"/>
                <w:sz w:val="17"/>
              </w:rPr>
              <w:t>A Mendix entity used in runtime memory for temporary display or processing. Preferred for external API responses.</w:t>
            </w:r>
          </w:p>
        </w:tc>
      </w:tr>
      <w:tr>
        <w:tc>
          <w:tcPr>
            <w:tcW w:type="dxa" w:w="5112"/>
            <w:vAlign w:val="top"/>
          </w:tcPr>
          <w:p>
            <w:r/>
            <w:r>
              <w:rPr>
                <w:rFonts w:ascii="Arial" w:hAnsi="Arial" w:eastAsia="Arial"/>
                <w:b w:val="0"/>
                <w:sz w:val="17"/>
              </w:rPr>
              <w:t>EMH-Owned Data</w:t>
            </w:r>
          </w:p>
        </w:tc>
        <w:tc>
          <w:tcPr>
            <w:tcW w:type="dxa" w:w="5112"/>
            <w:vAlign w:val="top"/>
          </w:tcPr>
          <w:p>
            <w:r/>
            <w:r>
              <w:rPr>
                <w:rFonts w:ascii="Arial" w:hAnsi="Arial" w:eastAsia="Arial"/>
                <w:b w:val="0"/>
                <w:sz w:val="17"/>
              </w:rPr>
              <w:t>Data created and governed by EMH, such as permissions, menus, audit logs, and configuration.</w:t>
            </w:r>
          </w:p>
        </w:tc>
      </w:tr>
      <w:tr>
        <w:tc>
          <w:tcPr>
            <w:tcW w:type="dxa" w:w="5112"/>
            <w:vAlign w:val="top"/>
          </w:tcPr>
          <w:p>
            <w:r/>
            <w:r>
              <w:rPr>
                <w:rFonts w:ascii="Arial" w:hAnsi="Arial" w:eastAsia="Arial"/>
                <w:b w:val="0"/>
                <w:sz w:val="17"/>
              </w:rPr>
              <w:t>External Operational Data</w:t>
            </w:r>
          </w:p>
        </w:tc>
        <w:tc>
          <w:tcPr>
            <w:tcW w:type="dxa" w:w="5112"/>
            <w:vAlign w:val="top"/>
          </w:tcPr>
          <w:p>
            <w:r/>
            <w:r>
              <w:rPr>
                <w:rFonts w:ascii="Arial" w:hAnsi="Arial" w:eastAsia="Arial"/>
                <w:b w:val="0"/>
                <w:sz w:val="17"/>
              </w:rPr>
              <w:t>Data owned by IDAM, Clinical Attachment, Premarital, Patient Services, payment systems, or other enterprise systems.</w:t>
            </w:r>
          </w:p>
        </w:tc>
      </w:tr>
      <w:tr>
        <w:tc>
          <w:tcPr>
            <w:tcW w:type="dxa" w:w="5112"/>
            <w:vAlign w:val="top"/>
          </w:tcPr>
          <w:p>
            <w:r/>
            <w:r>
              <w:rPr>
                <w:rFonts w:ascii="Arial" w:hAnsi="Arial" w:eastAsia="Arial"/>
                <w:b w:val="0"/>
                <w:sz w:val="17"/>
              </w:rPr>
              <w:t>Confidential Data</w:t>
            </w:r>
          </w:p>
        </w:tc>
        <w:tc>
          <w:tcPr>
            <w:tcW w:type="dxa" w:w="5112"/>
            <w:vAlign w:val="top"/>
          </w:tcPr>
          <w:p>
            <w:r/>
            <w:r>
              <w:rPr>
                <w:rFonts w:ascii="Arial" w:hAnsi="Arial" w:eastAsia="Arial"/>
                <w:b w:val="0"/>
                <w:sz w:val="17"/>
              </w:rPr>
              <w:t>Data requiring controlled access, monitoring, and protection against unauthorized disclosure.</w:t>
            </w:r>
          </w:p>
        </w:tc>
      </w:tr>
      <w:tr>
        <w:tc>
          <w:tcPr>
            <w:tcW w:type="dxa" w:w="5112"/>
            <w:vAlign w:val="top"/>
          </w:tcPr>
          <w:p>
            <w:r/>
            <w:r>
              <w:rPr>
                <w:rFonts w:ascii="Arial" w:hAnsi="Arial" w:eastAsia="Arial"/>
                <w:b w:val="0"/>
                <w:sz w:val="17"/>
              </w:rPr>
              <w:t>Highly Confidential Data</w:t>
            </w:r>
          </w:p>
        </w:tc>
        <w:tc>
          <w:tcPr>
            <w:tcW w:type="dxa" w:w="5112"/>
            <w:vAlign w:val="top"/>
          </w:tcPr>
          <w:p>
            <w:r/>
            <w:r>
              <w:rPr>
                <w:rFonts w:ascii="Arial" w:hAnsi="Arial" w:eastAsia="Arial"/>
                <w:b w:val="0"/>
                <w:sz w:val="17"/>
              </w:rPr>
              <w:t>Sensitive identity, health, patient, payment, or regulated data requiring stronger controls, minimization, and auditability.</w:t>
            </w:r>
          </w:p>
        </w:tc>
      </w:tr>
    </w:tbl>
    <w:p/>
    <w:p>
      <w:pPr>
        <w:pStyle w:val="Heading2"/>
        <w:keepNext/>
      </w:pPr>
      <w:r>
        <w:t>2.2 Data Membership</w:t>
      </w:r>
    </w:p>
    <w:p>
      <w:r>
        <w:t>Data membership defines which entities and data domains belong to EMH versus external source systems. EMH shall not become a shadow repository of external systems. EMH shall act as a secure support workspace and controlled display layer for authorized support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Domain</w:t>
            </w:r>
          </w:p>
        </w:tc>
        <w:tc>
          <w:tcPr>
            <w:tcW w:type="dxa" w:w="3408"/>
            <w:shd w:fill="D9EAF7"/>
            <w:vAlign w:val="center"/>
          </w:tcPr>
          <w:p>
            <w:r/>
            <w:r>
              <w:rPr>
                <w:rFonts w:ascii="Arial" w:hAnsi="Arial" w:eastAsia="Arial"/>
                <w:b/>
                <w:sz w:val="17"/>
              </w:rPr>
              <w:t>EMH Membership</w:t>
            </w:r>
          </w:p>
        </w:tc>
        <w:tc>
          <w:tcPr>
            <w:tcW w:type="dxa" w:w="3408"/>
            <w:shd w:fill="D9EAF7"/>
            <w:vAlign w:val="center"/>
          </w:tcPr>
          <w:p>
            <w:r/>
            <w:r>
              <w:rPr>
                <w:rFonts w:ascii="Arial" w:hAnsi="Arial" w:eastAsia="Arial"/>
                <w:b/>
                <w:sz w:val="17"/>
              </w:rPr>
              <w:t>Notes</w:t>
            </w:r>
          </w:p>
        </w:tc>
      </w:tr>
      <w:tr>
        <w:tc>
          <w:tcPr>
            <w:tcW w:type="dxa" w:w="3408"/>
            <w:vAlign w:val="top"/>
          </w:tcPr>
          <w:p>
            <w:r/>
            <w:r>
              <w:rPr>
                <w:rFonts w:ascii="Arial" w:hAnsi="Arial" w:eastAsia="Arial"/>
                <w:b w:val="0"/>
                <w:sz w:val="17"/>
              </w:rPr>
              <w:t>Access Control</w:t>
            </w:r>
          </w:p>
        </w:tc>
        <w:tc>
          <w:tcPr>
            <w:tcW w:type="dxa" w:w="3408"/>
            <w:vAlign w:val="top"/>
          </w:tcPr>
          <w:p>
            <w:r/>
            <w:r>
              <w:rPr>
                <w:rFonts w:ascii="Arial" w:hAnsi="Arial" w:eastAsia="Arial"/>
                <w:b w:val="0"/>
                <w:sz w:val="17"/>
              </w:rPr>
              <w:t>Owned by EMH</w:t>
            </w:r>
          </w:p>
        </w:tc>
        <w:tc>
          <w:tcPr>
            <w:tcW w:type="dxa" w:w="3408"/>
            <w:vAlign w:val="top"/>
          </w:tcPr>
          <w:p>
            <w:r/>
            <w:r>
              <w:rPr>
                <w:rFonts w:ascii="Arial" w:hAnsi="Arial" w:eastAsia="Arial"/>
                <w:b w:val="0"/>
                <w:sz w:val="17"/>
              </w:rPr>
              <w:t>Roles, permissions, menu visibility, page/action access.</w:t>
            </w:r>
          </w:p>
        </w:tc>
      </w:tr>
      <w:tr>
        <w:tc>
          <w:tcPr>
            <w:tcW w:type="dxa" w:w="3408"/>
            <w:vAlign w:val="top"/>
          </w:tcPr>
          <w:p>
            <w:r/>
            <w:r>
              <w:rPr>
                <w:rFonts w:ascii="Arial" w:hAnsi="Arial" w:eastAsia="Arial"/>
                <w:b w:val="0"/>
                <w:sz w:val="17"/>
              </w:rPr>
              <w:t>Audit and Security Events</w:t>
            </w:r>
          </w:p>
        </w:tc>
        <w:tc>
          <w:tcPr>
            <w:tcW w:type="dxa" w:w="3408"/>
            <w:vAlign w:val="top"/>
          </w:tcPr>
          <w:p>
            <w:r/>
            <w:r>
              <w:rPr>
                <w:rFonts w:ascii="Arial" w:hAnsi="Arial" w:eastAsia="Arial"/>
                <w:b w:val="0"/>
                <w:sz w:val="17"/>
              </w:rPr>
              <w:t>Owned by EMH</w:t>
            </w:r>
          </w:p>
        </w:tc>
        <w:tc>
          <w:tcPr>
            <w:tcW w:type="dxa" w:w="3408"/>
            <w:vAlign w:val="top"/>
          </w:tcPr>
          <w:p>
            <w:r/>
            <w:r>
              <w:rPr>
                <w:rFonts w:ascii="Arial" w:hAnsi="Arial" w:eastAsia="Arial"/>
                <w:b w:val="0"/>
                <w:sz w:val="17"/>
              </w:rPr>
              <w:t>Audit logs for EMH user actions and access attempts.</w:t>
            </w:r>
          </w:p>
        </w:tc>
      </w:tr>
      <w:tr>
        <w:tc>
          <w:tcPr>
            <w:tcW w:type="dxa" w:w="3408"/>
            <w:vAlign w:val="top"/>
          </w:tcPr>
          <w:p>
            <w:r/>
            <w:r>
              <w:rPr>
                <w:rFonts w:ascii="Arial" w:hAnsi="Arial" w:eastAsia="Arial"/>
                <w:b w:val="0"/>
                <w:sz w:val="17"/>
              </w:rPr>
              <w:t>External Support Results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Displayed only from source APIs.</w:t>
            </w:r>
          </w:p>
        </w:tc>
      </w:tr>
      <w:tr>
        <w:tc>
          <w:tcPr>
            <w:tcW w:type="dxa" w:w="3408"/>
            <w:vAlign w:val="top"/>
          </w:tcPr>
          <w:p>
            <w:r/>
            <w:r>
              <w:rPr>
                <w:rFonts w:ascii="Arial" w:hAnsi="Arial" w:eastAsia="Arial"/>
                <w:b w:val="0"/>
                <w:sz w:val="17"/>
              </w:rPr>
              <w:t>Patient / Health Records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Must remain in source systems. EMH displays approved fields only.</w:t>
            </w:r>
          </w:p>
        </w:tc>
      </w:tr>
      <w:tr>
        <w:tc>
          <w:tcPr>
            <w:tcW w:type="dxa" w:w="3408"/>
            <w:vAlign w:val="top"/>
          </w:tcPr>
          <w:p>
            <w:r/>
            <w:r>
              <w:rPr>
                <w:rFonts w:ascii="Arial" w:hAnsi="Arial" w:eastAsia="Arial"/>
                <w:b w:val="0"/>
                <w:sz w:val="17"/>
              </w:rPr>
              <w:t>Payment Records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Display status only unless approved. No card/payment payload storage.</w:t>
            </w:r>
          </w:p>
        </w:tc>
      </w:tr>
      <w:tr>
        <w:tc>
          <w:tcPr>
            <w:tcW w:type="dxa" w:w="3408"/>
            <w:vAlign w:val="top"/>
          </w:tcPr>
          <w:p>
            <w:r/>
            <w:r>
              <w:rPr>
                <w:rFonts w:ascii="Arial" w:hAnsi="Arial" w:eastAsia="Arial"/>
                <w:b w:val="0"/>
                <w:sz w:val="17"/>
              </w:rPr>
              <w:t>Identity Authentication Data</w:t>
            </w:r>
          </w:p>
        </w:tc>
        <w:tc>
          <w:tcPr>
            <w:tcW w:type="dxa" w:w="3408"/>
            <w:vAlign w:val="top"/>
          </w:tcPr>
          <w:p>
            <w:r/>
            <w:r>
              <w:rPr>
                <w:rFonts w:ascii="Arial" w:hAnsi="Arial" w:eastAsia="Arial"/>
                <w:b w:val="0"/>
                <w:sz w:val="17"/>
              </w:rPr>
              <w:t>Owned by IDAM / UAE Pass / Identity Broker</w:t>
            </w:r>
          </w:p>
        </w:tc>
        <w:tc>
          <w:tcPr>
            <w:tcW w:type="dxa" w:w="3408"/>
            <w:vAlign w:val="top"/>
          </w:tcPr>
          <w:p>
            <w:r/>
            <w:r>
              <w:rPr>
                <w:rFonts w:ascii="Arial" w:hAnsi="Arial" w:eastAsia="Arial"/>
                <w:b w:val="0"/>
                <w:sz w:val="17"/>
              </w:rPr>
              <w:t>EMH stores minimal mapped identity reference only.</w:t>
            </w:r>
          </w:p>
        </w:tc>
      </w:tr>
    </w:tbl>
    <w:p/>
    <w:p>
      <w:pPr>
        <w:pStyle w:val="Heading2"/>
        <w:keepNext/>
      </w:pPr>
      <w:r>
        <w:t>2.3 Data Management</w:t>
      </w:r>
    </w:p>
    <w:p>
      <w:r>
        <w:t>Data management in EMH shall be based on minimization, classification, ownership, auditability, and approved retention. Mendix domain models shall be designed to prevent accidental persistence of external data and to ensure entity-level access controls are enforced.</w:t>
      </w:r>
    </w:p>
    <w:p>
      <w:pPr>
        <w:pStyle w:val="Heading3"/>
        <w:keepNext/>
      </w:pPr>
      <w:r>
        <w:t>2.3.1 Data Profile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Data Object</w:t>
            </w:r>
          </w:p>
        </w:tc>
        <w:tc>
          <w:tcPr>
            <w:tcW w:type="dxa" w:w="2556"/>
            <w:shd w:fill="D9EAF7"/>
            <w:vAlign w:val="center"/>
          </w:tcPr>
          <w:p>
            <w:r/>
            <w:r>
              <w:rPr>
                <w:rFonts w:ascii="Arial" w:hAnsi="Arial" w:eastAsia="Arial"/>
                <w:b/>
                <w:sz w:val="17"/>
              </w:rPr>
              <w:t>Type</w:t>
            </w:r>
          </w:p>
        </w:tc>
        <w:tc>
          <w:tcPr>
            <w:tcW w:type="dxa" w:w="2556"/>
            <w:shd w:fill="D9EAF7"/>
            <w:vAlign w:val="center"/>
          </w:tcPr>
          <w:p>
            <w:r/>
            <w:r>
              <w:rPr>
                <w:rFonts w:ascii="Arial" w:hAnsi="Arial" w:eastAsia="Arial"/>
                <w:b/>
                <w:sz w:val="17"/>
              </w:rPr>
              <w:t>Expected Storage</w:t>
            </w:r>
          </w:p>
        </w:tc>
        <w:tc>
          <w:tcPr>
            <w:tcW w:type="dxa" w:w="2556"/>
            <w:shd w:fill="D9EAF7"/>
            <w:vAlign w:val="center"/>
          </w:tcPr>
          <w:p>
            <w:r/>
            <w:r>
              <w:rPr>
                <w:rFonts w:ascii="Arial" w:hAnsi="Arial" w:eastAsia="Arial"/>
                <w:b/>
                <w:sz w:val="17"/>
              </w:rPr>
              <w:t>Protection Requirement</w:t>
            </w:r>
          </w:p>
        </w:tc>
      </w:tr>
      <w:tr>
        <w:tc>
          <w:tcPr>
            <w:tcW w:type="dxa" w:w="2556"/>
            <w:vAlign w:val="top"/>
          </w:tcPr>
          <w:p>
            <w:r/>
            <w:r>
              <w:rPr>
                <w:rFonts w:ascii="Arial" w:hAnsi="Arial" w:eastAsia="Arial"/>
                <w:b w:val="0"/>
                <w:sz w:val="17"/>
              </w:rPr>
              <w:t>UserAccessProfile</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Minimal identity mapping; least privilege.</w:t>
            </w:r>
          </w:p>
        </w:tc>
      </w:tr>
      <w:tr>
        <w:tc>
          <w:tcPr>
            <w:tcW w:type="dxa" w:w="2556"/>
            <w:vAlign w:val="top"/>
          </w:tcPr>
          <w:p>
            <w:r/>
            <w:r>
              <w:rPr>
                <w:rFonts w:ascii="Arial" w:hAnsi="Arial" w:eastAsia="Arial"/>
                <w:b w:val="0"/>
                <w:sz w:val="17"/>
              </w:rPr>
              <w:t>Role</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Admin-only management; audit changes.</w:t>
            </w:r>
          </w:p>
        </w:tc>
      </w:tr>
      <w:tr>
        <w:tc>
          <w:tcPr>
            <w:tcW w:type="dxa" w:w="2556"/>
            <w:vAlign w:val="top"/>
          </w:tcPr>
          <w:p>
            <w:r/>
            <w:r>
              <w:rPr>
                <w:rFonts w:ascii="Arial" w:hAnsi="Arial" w:eastAsia="Arial"/>
                <w:b w:val="0"/>
                <w:sz w:val="17"/>
              </w:rPr>
              <w:t>Permission</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Admin-only management; deny by default.</w:t>
            </w:r>
          </w:p>
        </w:tc>
      </w:tr>
      <w:tr>
        <w:tc>
          <w:tcPr>
            <w:tcW w:type="dxa" w:w="2556"/>
            <w:vAlign w:val="top"/>
          </w:tcPr>
          <w:p>
            <w:r/>
            <w:r>
              <w:rPr>
                <w:rFonts w:ascii="Arial" w:hAnsi="Arial" w:eastAsia="Arial"/>
                <w:b w:val="0"/>
                <w:sz w:val="17"/>
              </w:rPr>
              <w:t>ApplicationConfig</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Controlled configuration management.</w:t>
            </w:r>
          </w:p>
        </w:tc>
      </w:tr>
      <w:tr>
        <w:tc>
          <w:tcPr>
            <w:tcW w:type="dxa" w:w="2556"/>
            <w:vAlign w:val="top"/>
          </w:tcPr>
          <w:p>
            <w:r/>
            <w:r>
              <w:rPr>
                <w:rFonts w:ascii="Arial" w:hAnsi="Arial" w:eastAsia="Arial"/>
                <w:b w:val="0"/>
                <w:sz w:val="17"/>
              </w:rPr>
              <w:t>MenuConfig</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Controls navigation; validate permissions.</w:t>
            </w:r>
          </w:p>
        </w:tc>
      </w:tr>
      <w:tr>
        <w:tc>
          <w:tcPr>
            <w:tcW w:type="dxa" w:w="2556"/>
            <w:vAlign w:val="top"/>
          </w:tcPr>
          <w:p>
            <w:r/>
            <w:r>
              <w:rPr>
                <w:rFonts w:ascii="Arial" w:hAnsi="Arial" w:eastAsia="Arial"/>
                <w:b w:val="0"/>
                <w:sz w:val="17"/>
              </w:rPr>
              <w:t>AuditEvent</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Retention and archival required.</w:t>
            </w:r>
          </w:p>
        </w:tc>
      </w:tr>
      <w:tr>
        <w:tc>
          <w:tcPr>
            <w:tcW w:type="dxa" w:w="2556"/>
            <w:vAlign w:val="top"/>
          </w:tcPr>
          <w:p>
            <w:r/>
            <w:r>
              <w:rPr>
                <w:rFonts w:ascii="Arial" w:hAnsi="Arial" w:eastAsia="Arial"/>
                <w:b w:val="0"/>
                <w:sz w:val="17"/>
              </w:rPr>
              <w:t>IntegrationResult</w:t>
            </w:r>
          </w:p>
        </w:tc>
        <w:tc>
          <w:tcPr>
            <w:tcW w:type="dxa" w:w="2556"/>
            <w:vAlign w:val="top"/>
          </w:tcPr>
          <w:p>
            <w:r/>
            <w:r>
              <w:rPr>
                <w:rFonts w:ascii="Arial" w:hAnsi="Arial" w:eastAsia="Arial"/>
                <w:b w:val="0"/>
                <w:sz w:val="17"/>
              </w:rPr>
              <w:t>Non-persistent</w:t>
            </w:r>
          </w:p>
        </w:tc>
        <w:tc>
          <w:tcPr>
            <w:tcW w:type="dxa" w:w="2556"/>
            <w:vAlign w:val="top"/>
          </w:tcPr>
          <w:p>
            <w:r/>
            <w:r>
              <w:rPr>
                <w:rFonts w:ascii="Arial" w:hAnsi="Arial" w:eastAsia="Arial"/>
                <w:b w:val="0"/>
                <w:sz w:val="17"/>
              </w:rPr>
              <w:t>Runtime only</w:t>
            </w:r>
          </w:p>
        </w:tc>
        <w:tc>
          <w:tcPr>
            <w:tcW w:type="dxa" w:w="2556"/>
            <w:vAlign w:val="top"/>
          </w:tcPr>
          <w:p>
            <w:r/>
            <w:r>
              <w:rPr>
                <w:rFonts w:ascii="Arial" w:hAnsi="Arial" w:eastAsia="Arial"/>
                <w:b w:val="0"/>
                <w:sz w:val="17"/>
              </w:rPr>
              <w:t>Do not store external payloads.</w:t>
            </w:r>
          </w:p>
        </w:tc>
      </w:tr>
      <w:tr>
        <w:tc>
          <w:tcPr>
            <w:tcW w:type="dxa" w:w="2556"/>
            <w:vAlign w:val="top"/>
          </w:tcPr>
          <w:p>
            <w:r/>
            <w:r>
              <w:rPr>
                <w:rFonts w:ascii="Arial" w:hAnsi="Arial" w:eastAsia="Arial"/>
                <w:b w:val="0"/>
                <w:sz w:val="17"/>
              </w:rPr>
              <w:t>SearchCriteria</w:t>
            </w:r>
          </w:p>
        </w:tc>
        <w:tc>
          <w:tcPr>
            <w:tcW w:type="dxa" w:w="2556"/>
            <w:vAlign w:val="top"/>
          </w:tcPr>
          <w:p>
            <w:r/>
            <w:r>
              <w:rPr>
                <w:rFonts w:ascii="Arial" w:hAnsi="Arial" w:eastAsia="Arial"/>
                <w:b w:val="0"/>
                <w:sz w:val="17"/>
              </w:rPr>
              <w:t>Transient / selectively logged</w:t>
            </w:r>
          </w:p>
        </w:tc>
        <w:tc>
          <w:tcPr>
            <w:tcW w:type="dxa" w:w="2556"/>
            <w:vAlign w:val="top"/>
          </w:tcPr>
          <w:p>
            <w:r/>
            <w:r>
              <w:rPr>
                <w:rFonts w:ascii="Arial" w:hAnsi="Arial" w:eastAsia="Arial"/>
                <w:b w:val="0"/>
                <w:sz w:val="17"/>
              </w:rPr>
              <w:t>Runtime; audit metadata only</w:t>
            </w:r>
          </w:p>
        </w:tc>
        <w:tc>
          <w:tcPr>
            <w:tcW w:type="dxa" w:w="2556"/>
            <w:vAlign w:val="top"/>
          </w:tcPr>
          <w:p>
            <w:r/>
            <w:r>
              <w:rPr>
                <w:rFonts w:ascii="Arial" w:hAnsi="Arial" w:eastAsia="Arial"/>
                <w:b w:val="0"/>
                <w:sz w:val="17"/>
              </w:rPr>
              <w:t>Mask/hash sensitive values where required.</w:t>
            </w:r>
          </w:p>
        </w:tc>
      </w:tr>
    </w:tbl>
    <w:p/>
    <w:p>
      <w:pPr>
        <w:pStyle w:val="Heading3"/>
        <w:keepNext/>
      </w:pPr>
      <w:r>
        <w:t>2.3.2 Data Quality / Reconciliation Checks</w:t>
      </w:r>
    </w:p>
    <w:p>
      <w:r>
        <w:t>Because EMH is display-only for external data, data quality ownership remains with source systems. EMH shall perform validation and reconciliation only for its own configuration and access-control data.</w:t>
      </w:r>
    </w:p>
    <w:p>
      <w:pPr>
        <w:pStyle w:val="ListBullet"/>
      </w:pPr>
      <w:r>
        <w:t>Validate required fields and allowed search combinations before calling external APIs.</w:t>
      </w:r>
    </w:p>
    <w:p>
      <w:pPr>
        <w:pStyle w:val="ListBullet"/>
      </w:pPr>
      <w:r>
        <w:t>Validate permission keys referenced by menus and page actions against the permission catalog.</w:t>
      </w:r>
    </w:p>
    <w:p>
      <w:pPr>
        <w:pStyle w:val="ListBullet"/>
      </w:pPr>
      <w:r>
        <w:t>Validate role assignments and user mappings to prevent orphaned access records.</w:t>
      </w:r>
    </w:p>
    <w:p>
      <w:pPr>
        <w:pStyle w:val="ListBullet"/>
      </w:pPr>
      <w:r>
        <w:t>Log source API inconsistencies as integration issues; do not correct source-system data in EMH.</w:t>
      </w:r>
    </w:p>
    <w:p>
      <w:pPr>
        <w:pStyle w:val="ListBullet"/>
      </w:pPr>
      <w:r>
        <w:t>Where multiple APIs return conflicting data, display source-specific values and raise reconciliation issue to source owners.</w:t>
      </w:r>
    </w:p>
    <w:p>
      <w:pPr>
        <w:pStyle w:val="Heading3"/>
        <w:keepNext/>
      </w:pPr>
      <w:r>
        <w:t>2.3.3 Data Volume &amp; Sizing</w:t>
      </w:r>
    </w:p>
    <w:p>
      <w:r>
        <w:t>Data volume in EMH is expected to be driven mainly by audit logs, login/session records, configuration records, and operational logs. External API response data shall not be persisted, which materially reduces database growth.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Data Area</w:t>
            </w:r>
          </w:p>
        </w:tc>
        <w:tc>
          <w:tcPr>
            <w:tcW w:type="dxa" w:w="3408"/>
            <w:shd w:fill="D9EAF7"/>
            <w:vAlign w:val="center"/>
          </w:tcPr>
          <w:p>
            <w:r/>
            <w:r>
              <w:rPr>
                <w:rFonts w:ascii="Arial" w:hAnsi="Arial" w:eastAsia="Arial"/>
                <w:b/>
                <w:sz w:val="17"/>
              </w:rPr>
              <w:t>Sizing Driver</w:t>
            </w:r>
          </w:p>
        </w:tc>
        <w:tc>
          <w:tcPr>
            <w:tcW w:type="dxa" w:w="3408"/>
            <w:shd w:fill="D9EAF7"/>
            <w:vAlign w:val="center"/>
          </w:tcPr>
          <w:p>
            <w:r/>
            <w:r>
              <w:rPr>
                <w:rFonts w:ascii="Arial" w:hAnsi="Arial" w:eastAsia="Arial"/>
                <w:b/>
                <w:sz w:val="17"/>
              </w:rPr>
              <w:t>Design Consideration</w:t>
            </w:r>
          </w:p>
        </w:tc>
      </w:tr>
      <w:tr>
        <w:tc>
          <w:tcPr>
            <w:tcW w:type="dxa" w:w="3408"/>
            <w:vAlign w:val="top"/>
          </w:tcPr>
          <w:p>
            <w:r/>
            <w:r>
              <w:rPr>
                <w:rFonts w:ascii="Arial" w:hAnsi="Arial" w:eastAsia="Arial"/>
                <w:b w:val="0"/>
                <w:sz w:val="17"/>
              </w:rPr>
              <w:t>Audit Logs</w:t>
            </w:r>
          </w:p>
        </w:tc>
        <w:tc>
          <w:tcPr>
            <w:tcW w:type="dxa" w:w="3408"/>
            <w:vAlign w:val="top"/>
          </w:tcPr>
          <w:p>
            <w:r/>
            <w:r>
              <w:rPr>
                <w:rFonts w:ascii="Arial" w:hAnsi="Arial" w:eastAsia="Arial"/>
                <w:b w:val="0"/>
                <w:sz w:val="17"/>
              </w:rPr>
              <w:t>Number of users × searches/views/actions per day × retention period</w:t>
            </w:r>
          </w:p>
        </w:tc>
        <w:tc>
          <w:tcPr>
            <w:tcW w:type="dxa" w:w="3408"/>
            <w:vAlign w:val="top"/>
          </w:tcPr>
          <w:p>
            <w:r/>
            <w:r>
              <w:rPr>
                <w:rFonts w:ascii="Arial" w:hAnsi="Arial" w:eastAsia="Arial"/>
                <w:b w:val="0"/>
                <w:sz w:val="17"/>
              </w:rPr>
              <w:t>Index by user, timestamp, module, action, and entity reference where applicable.</w:t>
            </w:r>
          </w:p>
        </w:tc>
      </w:tr>
      <w:tr>
        <w:tc>
          <w:tcPr>
            <w:tcW w:type="dxa" w:w="3408"/>
            <w:vAlign w:val="top"/>
          </w:tcPr>
          <w:p>
            <w:r/>
            <w:r>
              <w:rPr>
                <w:rFonts w:ascii="Arial" w:hAnsi="Arial" w:eastAsia="Arial"/>
                <w:b w:val="0"/>
                <w:sz w:val="17"/>
              </w:rPr>
              <w:t>Login / Session Events</w:t>
            </w:r>
          </w:p>
        </w:tc>
        <w:tc>
          <w:tcPr>
            <w:tcW w:type="dxa" w:w="3408"/>
            <w:vAlign w:val="top"/>
          </w:tcPr>
          <w:p>
            <w:r/>
            <w:r>
              <w:rPr>
                <w:rFonts w:ascii="Arial" w:hAnsi="Arial" w:eastAsia="Arial"/>
                <w:b w:val="0"/>
                <w:sz w:val="17"/>
              </w:rPr>
              <w:t>Login/logout and failed access volume</w:t>
            </w:r>
          </w:p>
        </w:tc>
        <w:tc>
          <w:tcPr>
            <w:tcW w:type="dxa" w:w="3408"/>
            <w:vAlign w:val="top"/>
          </w:tcPr>
          <w:p>
            <w:r/>
            <w:r>
              <w:rPr>
                <w:rFonts w:ascii="Arial" w:hAnsi="Arial" w:eastAsia="Arial"/>
                <w:b w:val="0"/>
                <w:sz w:val="17"/>
              </w:rPr>
              <w:t>Retain according to approved audit/security policy.</w:t>
            </w:r>
          </w:p>
        </w:tc>
      </w:tr>
      <w:tr>
        <w:tc>
          <w:tcPr>
            <w:tcW w:type="dxa" w:w="3408"/>
            <w:vAlign w:val="top"/>
          </w:tcPr>
          <w:p>
            <w:r/>
            <w:r>
              <w:rPr>
                <w:rFonts w:ascii="Arial" w:hAnsi="Arial" w:eastAsia="Arial"/>
                <w:b w:val="0"/>
                <w:sz w:val="17"/>
              </w:rPr>
              <w:t>Error / Integration Logs</w:t>
            </w:r>
          </w:p>
        </w:tc>
        <w:tc>
          <w:tcPr>
            <w:tcW w:type="dxa" w:w="3408"/>
            <w:vAlign w:val="top"/>
          </w:tcPr>
          <w:p>
            <w:r/>
            <w:r>
              <w:rPr>
                <w:rFonts w:ascii="Arial" w:hAnsi="Arial" w:eastAsia="Arial"/>
                <w:b w:val="0"/>
                <w:sz w:val="17"/>
              </w:rPr>
              <w:t>External API errors and runtime exceptions</w:t>
            </w:r>
          </w:p>
        </w:tc>
        <w:tc>
          <w:tcPr>
            <w:tcW w:type="dxa" w:w="3408"/>
            <w:vAlign w:val="top"/>
          </w:tcPr>
          <w:p>
            <w:r/>
            <w:r>
              <w:rPr>
                <w:rFonts w:ascii="Arial" w:hAnsi="Arial" w:eastAsia="Arial"/>
                <w:b w:val="0"/>
                <w:sz w:val="17"/>
              </w:rPr>
              <w:t>Store sanitized metadata only. Avoid payload storage.</w:t>
            </w:r>
          </w:p>
        </w:tc>
      </w:tr>
      <w:tr>
        <w:tc>
          <w:tcPr>
            <w:tcW w:type="dxa" w:w="3408"/>
            <w:vAlign w:val="top"/>
          </w:tcPr>
          <w:p>
            <w:r/>
            <w:r>
              <w:rPr>
                <w:rFonts w:ascii="Arial" w:hAnsi="Arial" w:eastAsia="Arial"/>
                <w:b w:val="0"/>
                <w:sz w:val="17"/>
              </w:rPr>
              <w:t>Configuration</w:t>
            </w:r>
          </w:p>
        </w:tc>
        <w:tc>
          <w:tcPr>
            <w:tcW w:type="dxa" w:w="3408"/>
            <w:vAlign w:val="top"/>
          </w:tcPr>
          <w:p>
            <w:r/>
            <w:r>
              <w:rPr>
                <w:rFonts w:ascii="Arial" w:hAnsi="Arial" w:eastAsia="Arial"/>
                <w:b w:val="0"/>
                <w:sz w:val="17"/>
              </w:rPr>
              <w:t>Applications, modules, menus, actions, permissions</w:t>
            </w:r>
          </w:p>
        </w:tc>
        <w:tc>
          <w:tcPr>
            <w:tcW w:type="dxa" w:w="3408"/>
            <w:vAlign w:val="top"/>
          </w:tcPr>
          <w:p>
            <w:r/>
            <w:r>
              <w:rPr>
                <w:rFonts w:ascii="Arial" w:hAnsi="Arial" w:eastAsia="Arial"/>
                <w:b w:val="0"/>
                <w:sz w:val="17"/>
              </w:rPr>
              <w:t>Small volume, high integrity requirement.</w:t>
            </w:r>
          </w:p>
        </w:tc>
      </w:tr>
    </w:tbl>
    <w:p/>
    <w:p>
      <w:r>
        <w:t>A sizing exercise shall be completed once expected user count, daily ticket volume, search volume, audit event volume, and AppDynamics log retention are confirmed.</w:t>
      </w:r>
    </w:p>
    <w:p>
      <w:pPr>
        <w:pStyle w:val="Heading3"/>
        <w:keepNext/>
      </w:pPr>
      <w:r>
        <w:t>2.3.4 Data Retention &amp; Archival Plan</w:t>
      </w:r>
    </w:p>
    <w:p>
      <w:r>
        <w:t>The current stated audit retention is one year. This value shall be treated as pending governance validation until confirmed by Compliance, Legal, Information Security, and Records Management. EMH shall implement retention controls for audit logs, security events, integration logs, and application logs according to the approved retention policy.</w:t>
      </w:r>
    </w:p>
    <w:p>
      <w:pPr>
        <w:pStyle w:val="ListBullet"/>
      </w:pPr>
      <w:r>
        <w:t>Audit logs shall include retention metadata to support archival or deletion workflows.</w:t>
      </w:r>
    </w:p>
    <w:p>
      <w:pPr>
        <w:pStyle w:val="ListBullet"/>
      </w:pPr>
      <w:r>
        <w:t>Retention jobs shall be scheduled and monitored.</w:t>
      </w:r>
    </w:p>
    <w:p>
      <w:pPr>
        <w:pStyle w:val="ListBullet"/>
      </w:pPr>
      <w:r>
        <w:t>Archive storage, if used, must remain within approved data residency and security boundaries.</w:t>
      </w:r>
    </w:p>
    <w:p>
      <w:pPr>
        <w:pStyle w:val="ListBullet"/>
      </w:pPr>
      <w:r>
        <w:t>Retention rules for AppDynamics logs must be aligned with EMH audit retention or exported to an approved archive/SIEM where required.</w:t>
      </w:r>
    </w:p>
    <w:p>
      <w:pPr>
        <w:pStyle w:val="Heading3"/>
        <w:keepNext/>
      </w:pPr>
      <w:r>
        <w:t>2.3.5 Data Privacy Compliance &amp; Decisions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Privacy Decision</w:t>
            </w:r>
          </w:p>
        </w:tc>
        <w:tc>
          <w:tcPr>
            <w:tcW w:type="dxa" w:w="5112"/>
            <w:shd w:fill="D9EAF7"/>
            <w:vAlign w:val="center"/>
          </w:tcPr>
          <w:p>
            <w:r/>
            <w:r>
              <w:rPr>
                <w:rFonts w:ascii="Arial" w:hAnsi="Arial" w:eastAsia="Arial"/>
                <w:b/>
                <w:sz w:val="17"/>
              </w:rPr>
              <w:t>Architecture Control</w:t>
            </w:r>
          </w:p>
        </w:tc>
      </w:tr>
      <w:tr>
        <w:tc>
          <w:tcPr>
            <w:tcW w:type="dxa" w:w="5112"/>
            <w:vAlign w:val="top"/>
          </w:tcPr>
          <w:p>
            <w:r/>
            <w:r>
              <w:rPr>
                <w:rFonts w:ascii="Arial" w:hAnsi="Arial" w:eastAsia="Arial"/>
                <w:b w:val="0"/>
                <w:sz w:val="17"/>
              </w:rPr>
              <w:t>Do not persist external operational data by default.</w:t>
            </w:r>
          </w:p>
        </w:tc>
        <w:tc>
          <w:tcPr>
            <w:tcW w:type="dxa" w:w="5112"/>
            <w:vAlign w:val="top"/>
          </w:tcPr>
          <w:p>
            <w:r/>
            <w:r>
              <w:rPr>
                <w:rFonts w:ascii="Arial" w:hAnsi="Arial" w:eastAsia="Arial"/>
                <w:b w:val="0"/>
                <w:sz w:val="17"/>
              </w:rPr>
              <w:t>Use non-persistent Mendix entities for API responses.</w:t>
            </w:r>
          </w:p>
        </w:tc>
      </w:tr>
      <w:tr>
        <w:tc>
          <w:tcPr>
            <w:tcW w:type="dxa" w:w="5112"/>
            <w:vAlign w:val="top"/>
          </w:tcPr>
          <w:p>
            <w:r/>
            <w:r>
              <w:rPr>
                <w:rFonts w:ascii="Arial" w:hAnsi="Arial" w:eastAsia="Arial"/>
                <w:b w:val="0"/>
                <w:sz w:val="17"/>
              </w:rPr>
              <w:t>Do not log sensitive payloads.</w:t>
            </w:r>
          </w:p>
        </w:tc>
        <w:tc>
          <w:tcPr>
            <w:tcW w:type="dxa" w:w="5112"/>
            <w:vAlign w:val="top"/>
          </w:tcPr>
          <w:p>
            <w:r/>
            <w:r>
              <w:rPr>
                <w:rFonts w:ascii="Arial" w:hAnsi="Arial" w:eastAsia="Arial"/>
                <w:b w:val="0"/>
                <w:sz w:val="17"/>
              </w:rPr>
              <w:t>Log metadata only; mask/hash sensitive identifiers where required.</w:t>
            </w:r>
          </w:p>
        </w:tc>
      </w:tr>
      <w:tr>
        <w:tc>
          <w:tcPr>
            <w:tcW w:type="dxa" w:w="5112"/>
            <w:vAlign w:val="top"/>
          </w:tcPr>
          <w:p>
            <w:r/>
            <w:r>
              <w:rPr>
                <w:rFonts w:ascii="Arial" w:hAnsi="Arial" w:eastAsia="Arial"/>
                <w:b w:val="0"/>
                <w:sz w:val="17"/>
              </w:rPr>
              <w:t>Restrict sensitive views.</w:t>
            </w:r>
          </w:p>
        </w:tc>
        <w:tc>
          <w:tcPr>
            <w:tcW w:type="dxa" w:w="5112"/>
            <w:vAlign w:val="top"/>
          </w:tcPr>
          <w:p>
            <w:r/>
            <w:r>
              <w:rPr>
                <w:rFonts w:ascii="Arial" w:hAnsi="Arial" w:eastAsia="Arial"/>
                <w:b w:val="0"/>
                <w:sz w:val="17"/>
              </w:rPr>
              <w:t>Apply page, microflow, and entity access; audit sensitive record views.</w:t>
            </w:r>
          </w:p>
        </w:tc>
      </w:tr>
      <w:tr>
        <w:tc>
          <w:tcPr>
            <w:tcW w:type="dxa" w:w="5112"/>
            <w:vAlign w:val="top"/>
          </w:tcPr>
          <w:p>
            <w:r/>
            <w:r>
              <w:rPr>
                <w:rFonts w:ascii="Arial" w:hAnsi="Arial" w:eastAsia="Arial"/>
                <w:b w:val="0"/>
                <w:sz w:val="17"/>
              </w:rPr>
              <w:t>Minimize identity storage.</w:t>
            </w:r>
          </w:p>
        </w:tc>
        <w:tc>
          <w:tcPr>
            <w:tcW w:type="dxa" w:w="5112"/>
            <w:vAlign w:val="top"/>
          </w:tcPr>
          <w:p>
            <w:r/>
            <w:r>
              <w:rPr>
                <w:rFonts w:ascii="Arial" w:hAnsi="Arial" w:eastAsia="Arial"/>
                <w:b w:val="0"/>
                <w:sz w:val="17"/>
              </w:rPr>
              <w:t>Store only the minimum SAML/IDAM identity attributes required for access mapping.</w:t>
            </w:r>
          </w:p>
        </w:tc>
      </w:tr>
      <w:tr>
        <w:tc>
          <w:tcPr>
            <w:tcW w:type="dxa" w:w="5112"/>
            <w:vAlign w:val="top"/>
          </w:tcPr>
          <w:p>
            <w:r/>
            <w:r>
              <w:rPr>
                <w:rFonts w:ascii="Arial" w:hAnsi="Arial" w:eastAsia="Arial"/>
                <w:b w:val="0"/>
                <w:sz w:val="17"/>
              </w:rPr>
              <w:t>Prevent uncontrolled exports.</w:t>
            </w:r>
          </w:p>
        </w:tc>
        <w:tc>
          <w:tcPr>
            <w:tcW w:type="dxa" w:w="5112"/>
            <w:vAlign w:val="top"/>
          </w:tcPr>
          <w:p>
            <w:r/>
            <w:r>
              <w:rPr>
                <w:rFonts w:ascii="Arial" w:hAnsi="Arial" w:eastAsia="Arial"/>
                <w:b w:val="0"/>
                <w:sz w:val="17"/>
              </w:rPr>
              <w:t>Disable export unless explicitly permitted and audited.</w:t>
            </w:r>
          </w:p>
        </w:tc>
      </w:tr>
      <w:tr>
        <w:tc>
          <w:tcPr>
            <w:tcW w:type="dxa" w:w="5112"/>
            <w:vAlign w:val="top"/>
          </w:tcPr>
          <w:p>
            <w:r/>
            <w:r>
              <w:rPr>
                <w:rFonts w:ascii="Arial" w:hAnsi="Arial" w:eastAsia="Arial"/>
                <w:b w:val="0"/>
                <w:sz w:val="17"/>
              </w:rPr>
              <w:t>Use least privilege.</w:t>
            </w:r>
          </w:p>
        </w:tc>
        <w:tc>
          <w:tcPr>
            <w:tcW w:type="dxa" w:w="5112"/>
            <w:vAlign w:val="top"/>
          </w:tcPr>
          <w:p>
            <w:r/>
            <w:r>
              <w:rPr>
                <w:rFonts w:ascii="Arial" w:hAnsi="Arial" w:eastAsia="Arial"/>
                <w:b w:val="0"/>
                <w:sz w:val="17"/>
              </w:rPr>
              <w:t>Default deny; explicit permissions only.</w:t>
            </w:r>
          </w:p>
        </w:tc>
      </w:tr>
    </w:tbl>
    <w:p/>
    <w:p>
      <w:pPr>
        <w:pStyle w:val="Heading3"/>
        <w:keepNext/>
      </w:pPr>
      <w:r>
        <w:t>2.3.6 Data Conversion &amp; Data Migration Approach</w:t>
      </w:r>
    </w:p>
    <w:p>
      <w:r>
        <w:t>Because EMH is a new Mendix implementation and external data is display-only, large-scale migration of external operational data is not expected. Migration scope should be limited to EMH-owned configuration and access-control metadata.</w:t>
      </w:r>
    </w:p>
    <w:p>
      <w:pPr>
        <w:pStyle w:val="ListBullet"/>
      </w:pPr>
      <w:r>
        <w:t>Migrate or seed application list, module list, menu structure, permission catalog, and role definitions.</w:t>
      </w:r>
    </w:p>
    <w:p>
      <w:pPr>
        <w:pStyle w:val="ListBullet"/>
      </w:pPr>
      <w:r>
        <w:t>Map approved users or groups from IDAM/SAML claims to EMH roles where applicable.</w:t>
      </w:r>
    </w:p>
    <w:p>
      <w:pPr>
        <w:pStyle w:val="ListBullet"/>
      </w:pPr>
      <w:r>
        <w:t>Do not migrate external patient, payment, premarital, clinical attachment, or IDAM records into EMH.</w:t>
      </w:r>
    </w:p>
    <w:p>
      <w:pPr>
        <w:pStyle w:val="ListBullet"/>
      </w:pPr>
      <w:r>
        <w:t>Run migration validation to ensure no unauthorized permissions are assigned by default.</w:t>
      </w:r>
    </w:p>
    <w:p>
      <w:pPr>
        <w:pStyle w:val="ListBullet"/>
      </w:pPr>
      <w:r>
        <w:t>Keep migration scripts/packages version-controlled and approved through change governance.</w:t>
      </w:r>
    </w:p>
    <w:p>
      <w:pPr>
        <w:pStyle w:val="Heading2"/>
        <w:keepNext/>
      </w:pPr>
      <w:r>
        <w:t>UAE Government Compliance Considerations</w:t>
      </w:r>
    </w:p>
    <w:p>
      <w:pPr>
        <w:pStyle w:val="ListBullet"/>
      </w:pPr>
      <w:r>
        <w:t>Data classification must drive page access, entity access, masking, logging, retention, and integration controls.</w:t>
      </w:r>
    </w:p>
    <w:p>
      <w:pPr>
        <w:pStyle w:val="ListBullet"/>
      </w:pPr>
      <w:r>
        <w:t>Highly Confidential health and identity data must not be duplicated in EMH without formal approval.</w:t>
      </w:r>
    </w:p>
    <w:p>
      <w:pPr>
        <w:pStyle w:val="ListBullet"/>
      </w:pPr>
      <w:r>
        <w:t>Production data must not be copied to non-production environments unless masking and approvals are in place.</w:t>
      </w:r>
    </w:p>
    <w:p>
      <w:pPr>
        <w:pStyle w:val="ListBullet"/>
      </w:pPr>
      <w:r>
        <w:t>All audit, archive, backup, and monitoring data must remain within approved infrastructure and residency boundaries.</w:t>
      </w:r>
    </w:p>
    <w:p>
      <w:pPr>
        <w:pStyle w:val="Heading2"/>
        <w:keepNext/>
      </w:pPr>
      <w:r>
        <w:t>Recommendations</w:t>
      </w:r>
    </w:p>
    <w:p>
      <w:pPr>
        <w:pStyle w:val="ListBullet"/>
      </w:pPr>
      <w:r>
        <w:t>Build the Mendix domain model with separate modules for security, configuration, audit, and each business capability.</w:t>
      </w:r>
    </w:p>
    <w:p>
      <w:pPr>
        <w:pStyle w:val="ListBullet"/>
      </w:pPr>
      <w:r>
        <w:t>Use non-persistent entities for all external API response display objects.</w:t>
      </w:r>
    </w:p>
    <w:p>
      <w:pPr>
        <w:pStyle w:val="ListBullet"/>
      </w:pPr>
      <w:r>
        <w:t>Confirm retention and archival rules before production database sizing is finalized.</w:t>
      </w:r>
    </w:p>
    <w:p>
      <w:pPr>
        <w:pStyle w:val="ListBullet"/>
      </w:pPr>
      <w:r>
        <w:t>Create a data classification matrix at field level for all displayed fields.</w:t>
      </w:r>
    </w:p>
    <w:p>
      <w:pPr>
        <w:pStyle w:val="ListBullet"/>
      </w:pPr>
      <w:r>
        <w:t>Create a log sanitization standard before AppDynamics instrumentation.</w:t>
      </w:r>
    </w:p>
    <w:p>
      <w:r>
        <w:br w:type="page"/>
      </w:r>
    </w:p>
    <w:p>
      <w:pPr>
        <w:pStyle w:val="Heading1"/>
        <w:keepNext/>
      </w:pPr>
      <w:r>
        <w:t>3. Application Architecture</w:t>
      </w:r>
    </w:p>
    <w:p>
      <w:pPr>
        <w:pStyle w:val="Heading2"/>
        <w:keepNext/>
      </w:pPr>
      <w:r>
        <w:t>Original Section Summary</w:t>
      </w:r>
    </w:p>
    <w:p>
      <w:r>
        <w:t>The original application architecture was based on Angular for presentation and ASP.NET Core REST APIs for backend services, with MediatR pipeline behaviors for permission, audit, logging, and validation. It also defined external REST clients, dynamic navigation, admin management, and audit logging.</w:t>
      </w:r>
    </w:p>
    <w:p>
      <w:pPr>
        <w:pStyle w:val="Heading2"/>
        <w:keepNext/>
      </w:pPr>
      <w:r>
        <w:t>Issues with Current Design</w:t>
      </w:r>
    </w:p>
    <w:p>
      <w:pPr>
        <w:pStyle w:val="ListBullet"/>
      </w:pPr>
      <w:r>
        <w:t>Angular route guards, interceptors, standalone components, Signals, and environment files are no longer implementation controls.</w:t>
      </w:r>
    </w:p>
    <w:p>
      <w:pPr>
        <w:pStyle w:val="ListBullet"/>
      </w:pPr>
      <w:r>
        <w:t>ASP.NET Core controllers, middleware, MediatR, FluentValidation, EF Core, and Polly clients must be replaced by Mendix-native equivalents or approved Java/custom extensions where needed.</w:t>
      </w:r>
    </w:p>
    <w:p>
      <w:pPr>
        <w:pStyle w:val="ListBullet"/>
      </w:pPr>
      <w:r>
        <w:t>Authorization must be implemented through Mendix roles, module roles, page/microflow access, entity access, and explicit permission microflows.</w:t>
      </w:r>
    </w:p>
    <w:p>
      <w:pPr>
        <w:pStyle w:val="ListBullet"/>
      </w:pPr>
      <w:r>
        <w:t>The original OIDC/JWT authentication flow must be rewritten for SAML SSO.</w:t>
      </w:r>
    </w:p>
    <w:p>
      <w:pPr>
        <w:pStyle w:val="Heading2"/>
        <w:keepNext/>
      </w:pPr>
      <w:r>
        <w:t>3.1 Application Interface View</w:t>
      </w:r>
    </w:p>
    <w:p>
      <w:r>
        <w:t>EMH shall be implemented as an on-premises Mendix responsive web application. Users shall access EMH through a secure internal URL within the approved network boundary. Authentication shall be delegated to enterprise IDAM using SAML SSO. UAE Pass shall be integrated only through the approved enterprise identity architecture unless a formal requirement mandates direct integration.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Interface</w:t>
            </w:r>
          </w:p>
        </w:tc>
        <w:tc>
          <w:tcPr>
            <w:tcW w:type="dxa" w:w="3408"/>
            <w:shd w:fill="D9EAF7"/>
            <w:vAlign w:val="center"/>
          </w:tcPr>
          <w:p>
            <w:r/>
            <w:r>
              <w:rPr>
                <w:rFonts w:ascii="Arial" w:hAnsi="Arial" w:eastAsia="Arial"/>
                <w:b/>
                <w:sz w:val="17"/>
              </w:rPr>
              <w:t>Purpose</w:t>
            </w:r>
          </w:p>
        </w:tc>
        <w:tc>
          <w:tcPr>
            <w:tcW w:type="dxa" w:w="3408"/>
            <w:shd w:fill="D9EAF7"/>
            <w:vAlign w:val="center"/>
          </w:tcPr>
          <w:p>
            <w:r/>
            <w:r>
              <w:rPr>
                <w:rFonts w:ascii="Arial" w:hAnsi="Arial" w:eastAsia="Arial"/>
                <w:b/>
                <w:sz w:val="17"/>
              </w:rPr>
              <w:t>Mendix Implementation</w:t>
            </w:r>
          </w:p>
        </w:tc>
      </w:tr>
      <w:tr>
        <w:tc>
          <w:tcPr>
            <w:tcW w:type="dxa" w:w="3408"/>
            <w:vAlign w:val="top"/>
          </w:tcPr>
          <w:p>
            <w:r/>
            <w:r>
              <w:rPr>
                <w:rFonts w:ascii="Arial" w:hAnsi="Arial" w:eastAsia="Arial"/>
                <w:b w:val="0"/>
                <w:sz w:val="17"/>
              </w:rPr>
              <w:t>User Interface</w:t>
            </w:r>
          </w:p>
        </w:tc>
        <w:tc>
          <w:tcPr>
            <w:tcW w:type="dxa" w:w="3408"/>
            <w:vAlign w:val="top"/>
          </w:tcPr>
          <w:p>
            <w:r/>
            <w:r>
              <w:rPr>
                <w:rFonts w:ascii="Arial" w:hAnsi="Arial" w:eastAsia="Arial"/>
                <w:b w:val="0"/>
                <w:sz w:val="17"/>
              </w:rPr>
              <w:t>Unified support workspace, application cards, search pages, detail views, admin screens.</w:t>
            </w:r>
          </w:p>
        </w:tc>
        <w:tc>
          <w:tcPr>
            <w:tcW w:type="dxa" w:w="3408"/>
            <w:vAlign w:val="top"/>
          </w:tcPr>
          <w:p>
            <w:r/>
            <w:r>
              <w:rPr>
                <w:rFonts w:ascii="Arial" w:hAnsi="Arial" w:eastAsia="Arial"/>
                <w:b w:val="0"/>
                <w:sz w:val="17"/>
              </w:rPr>
              <w:t>Mendix pages, layouts, snippets, data views, data grids, widgets.</w:t>
            </w:r>
          </w:p>
        </w:tc>
      </w:tr>
      <w:tr>
        <w:tc>
          <w:tcPr>
            <w:tcW w:type="dxa" w:w="3408"/>
            <w:vAlign w:val="top"/>
          </w:tcPr>
          <w:p>
            <w:r/>
            <w:r>
              <w:rPr>
                <w:rFonts w:ascii="Arial" w:hAnsi="Arial" w:eastAsia="Arial"/>
                <w:b w:val="0"/>
                <w:sz w:val="17"/>
              </w:rPr>
              <w:t>Authentication</w:t>
            </w:r>
          </w:p>
        </w:tc>
        <w:tc>
          <w:tcPr>
            <w:tcW w:type="dxa" w:w="3408"/>
            <w:vAlign w:val="top"/>
          </w:tcPr>
          <w:p>
            <w:r/>
            <w:r>
              <w:rPr>
                <w:rFonts w:ascii="Arial" w:hAnsi="Arial" w:eastAsia="Arial"/>
                <w:b w:val="0"/>
                <w:sz w:val="17"/>
              </w:rPr>
              <w:t>Authenticate users through enterprise identity provider.</w:t>
            </w:r>
          </w:p>
        </w:tc>
        <w:tc>
          <w:tcPr>
            <w:tcW w:type="dxa" w:w="3408"/>
            <w:vAlign w:val="top"/>
          </w:tcPr>
          <w:p>
            <w:r/>
            <w:r>
              <w:rPr>
                <w:rFonts w:ascii="Arial" w:hAnsi="Arial" w:eastAsia="Arial"/>
                <w:b w:val="0"/>
                <w:sz w:val="17"/>
              </w:rPr>
              <w:t>SAML SSO configuration / approved SAML module / platform-supported integration.</w:t>
            </w:r>
          </w:p>
        </w:tc>
      </w:tr>
      <w:tr>
        <w:tc>
          <w:tcPr>
            <w:tcW w:type="dxa" w:w="3408"/>
            <w:vAlign w:val="top"/>
          </w:tcPr>
          <w:p>
            <w:r/>
            <w:r>
              <w:rPr>
                <w:rFonts w:ascii="Arial" w:hAnsi="Arial" w:eastAsia="Arial"/>
                <w:b w:val="0"/>
                <w:sz w:val="17"/>
              </w:rPr>
              <w:t>Authorization</w:t>
            </w:r>
          </w:p>
        </w:tc>
        <w:tc>
          <w:tcPr>
            <w:tcW w:type="dxa" w:w="3408"/>
            <w:vAlign w:val="top"/>
          </w:tcPr>
          <w:p>
            <w:r/>
            <w:r>
              <w:rPr>
                <w:rFonts w:ascii="Arial" w:hAnsi="Arial" w:eastAsia="Arial"/>
                <w:b w:val="0"/>
                <w:sz w:val="17"/>
              </w:rPr>
              <w:t>Restrict access by application, module, page, entity, and action.</w:t>
            </w:r>
          </w:p>
        </w:tc>
        <w:tc>
          <w:tcPr>
            <w:tcW w:type="dxa" w:w="3408"/>
            <w:vAlign w:val="top"/>
          </w:tcPr>
          <w:p>
            <w:r/>
            <w:r>
              <w:rPr>
                <w:rFonts w:ascii="Arial" w:hAnsi="Arial" w:eastAsia="Arial"/>
                <w:b w:val="0"/>
                <w:sz w:val="17"/>
              </w:rPr>
              <w:t>Mendix roles, module roles, page access, microflow access, entity access, permission microflows.</w:t>
            </w:r>
          </w:p>
        </w:tc>
      </w:tr>
      <w:tr>
        <w:tc>
          <w:tcPr>
            <w:tcW w:type="dxa" w:w="3408"/>
            <w:vAlign w:val="top"/>
          </w:tcPr>
          <w:p>
            <w:r/>
            <w:r>
              <w:rPr>
                <w:rFonts w:ascii="Arial" w:hAnsi="Arial" w:eastAsia="Arial"/>
                <w:b w:val="0"/>
                <w:sz w:val="17"/>
              </w:rPr>
              <w:t>External APIs</w:t>
            </w:r>
          </w:p>
        </w:tc>
        <w:tc>
          <w:tcPr>
            <w:tcW w:type="dxa" w:w="3408"/>
            <w:vAlign w:val="top"/>
          </w:tcPr>
          <w:p>
            <w:r/>
            <w:r>
              <w:rPr>
                <w:rFonts w:ascii="Arial" w:hAnsi="Arial" w:eastAsia="Arial"/>
                <w:b w:val="0"/>
                <w:sz w:val="17"/>
              </w:rPr>
              <w:t>Retrieve support data from source systems.</w:t>
            </w:r>
          </w:p>
        </w:tc>
        <w:tc>
          <w:tcPr>
            <w:tcW w:type="dxa" w:w="3408"/>
            <w:vAlign w:val="top"/>
          </w:tcPr>
          <w:p>
            <w:r/>
            <w:r>
              <w:rPr>
                <w:rFonts w:ascii="Arial" w:hAnsi="Arial" w:eastAsia="Arial"/>
                <w:b w:val="0"/>
                <w:sz w:val="17"/>
              </w:rPr>
              <w:t>Consumed REST services, import mappings, integration microflows, service wrappers.</w:t>
            </w:r>
          </w:p>
        </w:tc>
      </w:tr>
      <w:tr>
        <w:tc>
          <w:tcPr>
            <w:tcW w:type="dxa" w:w="3408"/>
            <w:vAlign w:val="top"/>
          </w:tcPr>
          <w:p>
            <w:r/>
            <w:r>
              <w:rPr>
                <w:rFonts w:ascii="Arial" w:hAnsi="Arial" w:eastAsia="Arial"/>
                <w:b w:val="0"/>
                <w:sz w:val="17"/>
              </w:rPr>
              <w:t>Audit</w:t>
            </w:r>
          </w:p>
        </w:tc>
        <w:tc>
          <w:tcPr>
            <w:tcW w:type="dxa" w:w="3408"/>
            <w:vAlign w:val="top"/>
          </w:tcPr>
          <w:p>
            <w:r/>
            <w:r>
              <w:rPr>
                <w:rFonts w:ascii="Arial" w:hAnsi="Arial" w:eastAsia="Arial"/>
                <w:b w:val="0"/>
                <w:sz w:val="17"/>
              </w:rPr>
              <w:t>Record sensitive access and administrative actions.</w:t>
            </w:r>
          </w:p>
        </w:tc>
        <w:tc>
          <w:tcPr>
            <w:tcW w:type="dxa" w:w="3408"/>
            <w:vAlign w:val="top"/>
          </w:tcPr>
          <w:p>
            <w:r/>
            <w:r>
              <w:rPr>
                <w:rFonts w:ascii="Arial" w:hAnsi="Arial" w:eastAsia="Arial"/>
                <w:b w:val="0"/>
                <w:sz w:val="17"/>
              </w:rPr>
              <w:t>Audit entities, reusable audit microflows, AppDynamics metadata, optional SIEM forwarding.</w:t>
            </w:r>
          </w:p>
        </w:tc>
      </w:tr>
      <w:tr>
        <w:tc>
          <w:tcPr>
            <w:tcW w:type="dxa" w:w="3408"/>
            <w:vAlign w:val="top"/>
          </w:tcPr>
          <w:p>
            <w:r/>
            <w:r>
              <w:rPr>
                <w:rFonts w:ascii="Arial" w:hAnsi="Arial" w:eastAsia="Arial"/>
                <w:b w:val="0"/>
                <w:sz w:val="17"/>
              </w:rPr>
              <w:t>Monitoring</w:t>
            </w:r>
          </w:p>
        </w:tc>
        <w:tc>
          <w:tcPr>
            <w:tcW w:type="dxa" w:w="3408"/>
            <w:vAlign w:val="top"/>
          </w:tcPr>
          <w:p>
            <w:r/>
            <w:r>
              <w:rPr>
                <w:rFonts w:ascii="Arial" w:hAnsi="Arial" w:eastAsia="Arial"/>
                <w:b w:val="0"/>
                <w:sz w:val="17"/>
              </w:rPr>
              <w:t>Observe performance, errors, dependencies, and availability.</w:t>
            </w:r>
          </w:p>
        </w:tc>
        <w:tc>
          <w:tcPr>
            <w:tcW w:type="dxa" w:w="3408"/>
            <w:vAlign w:val="top"/>
          </w:tcPr>
          <w:p>
            <w:r/>
            <w:r>
              <w:rPr>
                <w:rFonts w:ascii="Arial" w:hAnsi="Arial" w:eastAsia="Arial"/>
                <w:b w:val="0"/>
                <w:sz w:val="17"/>
              </w:rPr>
              <w:t>AppDynamics agent/integration and on-premises infrastructure monitoring.</w:t>
            </w:r>
          </w:p>
        </w:tc>
      </w:tr>
    </w:tbl>
    <w:p/>
    <w:p>
      <w:pPr>
        <w:pStyle w:val="Heading2"/>
        <w:keepNext/>
      </w:pPr>
      <w:r>
        <w:t>3.2 Component Description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Component</w:t>
            </w:r>
          </w:p>
        </w:tc>
        <w:tc>
          <w:tcPr>
            <w:tcW w:type="dxa" w:w="3408"/>
            <w:shd w:fill="D9EAF7"/>
            <w:vAlign w:val="center"/>
          </w:tcPr>
          <w:p>
            <w:r/>
            <w:r>
              <w:rPr>
                <w:rFonts w:ascii="Arial" w:hAnsi="Arial" w:eastAsia="Arial"/>
                <w:b/>
                <w:sz w:val="17"/>
              </w:rPr>
              <w:t>Description</w:t>
            </w:r>
          </w:p>
        </w:tc>
        <w:tc>
          <w:tcPr>
            <w:tcW w:type="dxa" w:w="3408"/>
            <w:shd w:fill="D9EAF7"/>
            <w:vAlign w:val="center"/>
          </w:tcPr>
          <w:p>
            <w:r/>
            <w:r>
              <w:rPr>
                <w:rFonts w:ascii="Arial" w:hAnsi="Arial" w:eastAsia="Arial"/>
                <w:b/>
                <w:sz w:val="17"/>
              </w:rPr>
              <w:t>Key Controls</w:t>
            </w:r>
          </w:p>
        </w:tc>
      </w:tr>
      <w:tr>
        <w:tc>
          <w:tcPr>
            <w:tcW w:type="dxa" w:w="3408"/>
            <w:vAlign w:val="top"/>
          </w:tcPr>
          <w:p>
            <w:r/>
            <w:r>
              <w:rPr>
                <w:rFonts w:ascii="Arial" w:hAnsi="Arial" w:eastAsia="Arial"/>
                <w:b w:val="0"/>
                <w:sz w:val="17"/>
              </w:rPr>
              <w:t>Core Shell Module</w:t>
            </w:r>
          </w:p>
        </w:tc>
        <w:tc>
          <w:tcPr>
            <w:tcW w:type="dxa" w:w="3408"/>
            <w:vAlign w:val="top"/>
          </w:tcPr>
          <w:p>
            <w:r/>
            <w:r>
              <w:rPr>
                <w:rFonts w:ascii="Arial" w:hAnsi="Arial" w:eastAsia="Arial"/>
                <w:b w:val="0"/>
                <w:sz w:val="17"/>
              </w:rPr>
              <w:t>Landing page, layouts, application cards, navigation entry points.</w:t>
            </w:r>
          </w:p>
        </w:tc>
        <w:tc>
          <w:tcPr>
            <w:tcW w:type="dxa" w:w="3408"/>
            <w:vAlign w:val="top"/>
          </w:tcPr>
          <w:p>
            <w:r/>
            <w:r>
              <w:rPr>
                <w:rFonts w:ascii="Arial" w:hAnsi="Arial" w:eastAsia="Arial"/>
                <w:b w:val="0"/>
                <w:sz w:val="17"/>
              </w:rPr>
              <w:t>Filtered application list; no unauthorized menu leakage.</w:t>
            </w:r>
          </w:p>
        </w:tc>
      </w:tr>
      <w:tr>
        <w:tc>
          <w:tcPr>
            <w:tcW w:type="dxa" w:w="3408"/>
            <w:vAlign w:val="top"/>
          </w:tcPr>
          <w:p>
            <w:r/>
            <w:r>
              <w:rPr>
                <w:rFonts w:ascii="Arial" w:hAnsi="Arial" w:eastAsia="Arial"/>
                <w:b w:val="0"/>
                <w:sz w:val="17"/>
              </w:rPr>
              <w:t>Security &amp; Access Module</w:t>
            </w:r>
          </w:p>
        </w:tc>
        <w:tc>
          <w:tcPr>
            <w:tcW w:type="dxa" w:w="3408"/>
            <w:vAlign w:val="top"/>
          </w:tcPr>
          <w:p>
            <w:r/>
            <w:r>
              <w:rPr>
                <w:rFonts w:ascii="Arial" w:hAnsi="Arial" w:eastAsia="Arial"/>
                <w:b w:val="0"/>
                <w:sz w:val="17"/>
              </w:rPr>
              <w:t>Maps authenticated SAML identity to EMH user and permissions.</w:t>
            </w:r>
          </w:p>
        </w:tc>
        <w:tc>
          <w:tcPr>
            <w:tcW w:type="dxa" w:w="3408"/>
            <w:vAlign w:val="top"/>
          </w:tcPr>
          <w:p>
            <w:r/>
            <w:r>
              <w:rPr>
                <w:rFonts w:ascii="Arial" w:hAnsi="Arial" w:eastAsia="Arial"/>
                <w:b w:val="0"/>
                <w:sz w:val="17"/>
              </w:rPr>
              <w:t>Least privilege, deny by default, audit denied access.</w:t>
            </w:r>
          </w:p>
        </w:tc>
      </w:tr>
      <w:tr>
        <w:tc>
          <w:tcPr>
            <w:tcW w:type="dxa" w:w="3408"/>
            <w:vAlign w:val="top"/>
          </w:tcPr>
          <w:p>
            <w:r/>
            <w:r>
              <w:rPr>
                <w:rFonts w:ascii="Arial" w:hAnsi="Arial" w:eastAsia="Arial"/>
                <w:b w:val="0"/>
                <w:sz w:val="17"/>
              </w:rPr>
              <w:t>User Management Module</w:t>
            </w:r>
          </w:p>
        </w:tc>
        <w:tc>
          <w:tcPr>
            <w:tcW w:type="dxa" w:w="3408"/>
            <w:vAlign w:val="top"/>
          </w:tcPr>
          <w:p>
            <w:r/>
            <w:r>
              <w:rPr>
                <w:rFonts w:ascii="Arial" w:hAnsi="Arial" w:eastAsia="Arial"/>
                <w:b w:val="0"/>
                <w:sz w:val="17"/>
              </w:rPr>
              <w:t>Provides user lookup and status investigation from IDAM APIs.</w:t>
            </w:r>
          </w:p>
        </w:tc>
        <w:tc>
          <w:tcPr>
            <w:tcW w:type="dxa" w:w="3408"/>
            <w:vAlign w:val="top"/>
          </w:tcPr>
          <w:p>
            <w:r/>
            <w:r>
              <w:rPr>
                <w:rFonts w:ascii="Arial" w:hAnsi="Arial" w:eastAsia="Arial"/>
                <w:b w:val="0"/>
                <w:sz w:val="17"/>
              </w:rPr>
              <w:t>Display-only results, sanitized logs.</w:t>
            </w:r>
          </w:p>
        </w:tc>
      </w:tr>
      <w:tr>
        <w:tc>
          <w:tcPr>
            <w:tcW w:type="dxa" w:w="3408"/>
            <w:vAlign w:val="top"/>
          </w:tcPr>
          <w:p>
            <w:r/>
            <w:r>
              <w:rPr>
                <w:rFonts w:ascii="Arial" w:hAnsi="Arial" w:eastAsia="Arial"/>
                <w:b w:val="0"/>
                <w:sz w:val="17"/>
              </w:rPr>
              <w:t>Clinical Attachment Module</w:t>
            </w:r>
          </w:p>
        </w:tc>
        <w:tc>
          <w:tcPr>
            <w:tcW w:type="dxa" w:w="3408"/>
            <w:vAlign w:val="top"/>
          </w:tcPr>
          <w:p>
            <w:r/>
            <w:r>
              <w:rPr>
                <w:rFonts w:ascii="Arial" w:hAnsi="Arial" w:eastAsia="Arial"/>
                <w:b w:val="0"/>
                <w:sz w:val="17"/>
              </w:rPr>
              <w:t>Provides application, payment, ICP, facilities, and responsibility support views.</w:t>
            </w:r>
          </w:p>
        </w:tc>
        <w:tc>
          <w:tcPr>
            <w:tcW w:type="dxa" w:w="3408"/>
            <w:vAlign w:val="top"/>
          </w:tcPr>
          <w:p>
            <w:r/>
            <w:r>
              <w:rPr>
                <w:rFonts w:ascii="Arial" w:hAnsi="Arial" w:eastAsia="Arial"/>
                <w:b w:val="0"/>
                <w:sz w:val="17"/>
              </w:rPr>
              <w:t>Sensitive view audit; blocked features if API missing.</w:t>
            </w:r>
          </w:p>
        </w:tc>
      </w:tr>
      <w:tr>
        <w:tc>
          <w:tcPr>
            <w:tcW w:type="dxa" w:w="3408"/>
            <w:vAlign w:val="top"/>
          </w:tcPr>
          <w:p>
            <w:r/>
            <w:r>
              <w:rPr>
                <w:rFonts w:ascii="Arial" w:hAnsi="Arial" w:eastAsia="Arial"/>
                <w:b w:val="0"/>
                <w:sz w:val="17"/>
              </w:rPr>
              <w:t>Premarital Module</w:t>
            </w:r>
          </w:p>
        </w:tc>
        <w:tc>
          <w:tcPr>
            <w:tcW w:type="dxa" w:w="3408"/>
            <w:vAlign w:val="top"/>
          </w:tcPr>
          <w:p>
            <w:r/>
            <w:r>
              <w:rPr>
                <w:rFonts w:ascii="Arial" w:hAnsi="Arial" w:eastAsia="Arial"/>
                <w:b w:val="0"/>
                <w:sz w:val="17"/>
              </w:rPr>
              <w:t>Provides premarital application and payment validation support once APIs are confirmed.</w:t>
            </w:r>
          </w:p>
        </w:tc>
        <w:tc>
          <w:tcPr>
            <w:tcW w:type="dxa" w:w="3408"/>
            <w:vAlign w:val="top"/>
          </w:tcPr>
          <w:p>
            <w:r/>
            <w:r>
              <w:rPr>
                <w:rFonts w:ascii="Arial" w:hAnsi="Arial" w:eastAsia="Arial"/>
                <w:b w:val="0"/>
                <w:sz w:val="17"/>
              </w:rPr>
              <w:t>Highly Confidential data handling; API contract required.</w:t>
            </w:r>
          </w:p>
        </w:tc>
      </w:tr>
      <w:tr>
        <w:tc>
          <w:tcPr>
            <w:tcW w:type="dxa" w:w="3408"/>
            <w:vAlign w:val="top"/>
          </w:tcPr>
          <w:p>
            <w:r/>
            <w:r>
              <w:rPr>
                <w:rFonts w:ascii="Arial" w:hAnsi="Arial" w:eastAsia="Arial"/>
                <w:b w:val="0"/>
                <w:sz w:val="17"/>
              </w:rPr>
              <w:t>Patient Services Module</w:t>
            </w:r>
          </w:p>
        </w:tc>
        <w:tc>
          <w:tcPr>
            <w:tcW w:type="dxa" w:w="3408"/>
            <w:vAlign w:val="top"/>
          </w:tcPr>
          <w:p>
            <w:r/>
            <w:r>
              <w:rPr>
                <w:rFonts w:ascii="Arial" w:hAnsi="Arial" w:eastAsia="Arial"/>
                <w:b w:val="0"/>
                <w:sz w:val="17"/>
              </w:rPr>
              <w:t>Provides health card, sick leave, and medical report support views.</w:t>
            </w:r>
          </w:p>
        </w:tc>
        <w:tc>
          <w:tcPr>
            <w:tcW w:type="dxa" w:w="3408"/>
            <w:vAlign w:val="top"/>
          </w:tcPr>
          <w:p>
            <w:r/>
            <w:r>
              <w:rPr>
                <w:rFonts w:ascii="Arial" w:hAnsi="Arial" w:eastAsia="Arial"/>
                <w:b w:val="0"/>
                <w:sz w:val="17"/>
              </w:rPr>
              <w:t>Highly Confidential health data; mandatory audit.</w:t>
            </w:r>
          </w:p>
        </w:tc>
      </w:tr>
      <w:tr>
        <w:tc>
          <w:tcPr>
            <w:tcW w:type="dxa" w:w="3408"/>
            <w:vAlign w:val="top"/>
          </w:tcPr>
          <w:p>
            <w:r/>
            <w:r>
              <w:rPr>
                <w:rFonts w:ascii="Arial" w:hAnsi="Arial" w:eastAsia="Arial"/>
                <w:b w:val="0"/>
                <w:sz w:val="17"/>
              </w:rPr>
              <w:t>Integration Module(s)</w:t>
            </w:r>
          </w:p>
        </w:tc>
        <w:tc>
          <w:tcPr>
            <w:tcW w:type="dxa" w:w="3408"/>
            <w:vAlign w:val="top"/>
          </w:tcPr>
          <w:p>
            <w:r/>
            <w:r>
              <w:rPr>
                <w:rFonts w:ascii="Arial" w:hAnsi="Arial" w:eastAsia="Arial"/>
                <w:b w:val="0"/>
                <w:sz w:val="17"/>
              </w:rPr>
              <w:t>Encapsulates REST calls, mappings, timeouts, error handling, and correlation IDs.</w:t>
            </w:r>
          </w:p>
        </w:tc>
        <w:tc>
          <w:tcPr>
            <w:tcW w:type="dxa" w:w="3408"/>
            <w:vAlign w:val="top"/>
          </w:tcPr>
          <w:p>
            <w:r/>
            <w:r>
              <w:rPr>
                <w:rFonts w:ascii="Arial" w:hAnsi="Arial" w:eastAsia="Arial"/>
                <w:b w:val="0"/>
                <w:sz w:val="17"/>
              </w:rPr>
              <w:t>No direct DB access; no payload logging.</w:t>
            </w:r>
          </w:p>
        </w:tc>
      </w:tr>
      <w:tr>
        <w:tc>
          <w:tcPr>
            <w:tcW w:type="dxa" w:w="3408"/>
            <w:vAlign w:val="top"/>
          </w:tcPr>
          <w:p>
            <w:r/>
            <w:r>
              <w:rPr>
                <w:rFonts w:ascii="Arial" w:hAnsi="Arial" w:eastAsia="Arial"/>
                <w:b w:val="0"/>
                <w:sz w:val="17"/>
              </w:rPr>
              <w:t>Audit Module</w:t>
            </w:r>
          </w:p>
        </w:tc>
        <w:tc>
          <w:tcPr>
            <w:tcW w:type="dxa" w:w="3408"/>
            <w:vAlign w:val="top"/>
          </w:tcPr>
          <w:p>
            <w:r/>
            <w:r>
              <w:rPr>
                <w:rFonts w:ascii="Arial" w:hAnsi="Arial" w:eastAsia="Arial"/>
                <w:b w:val="0"/>
                <w:sz w:val="17"/>
              </w:rPr>
              <w:t>Records access, searches, views, admin changes, and integration failures.</w:t>
            </w:r>
          </w:p>
        </w:tc>
        <w:tc>
          <w:tcPr>
            <w:tcW w:type="dxa" w:w="3408"/>
            <w:vAlign w:val="top"/>
          </w:tcPr>
          <w:p>
            <w:r/>
            <w:r>
              <w:rPr>
                <w:rFonts w:ascii="Arial" w:hAnsi="Arial" w:eastAsia="Arial"/>
                <w:b w:val="0"/>
                <w:sz w:val="17"/>
              </w:rPr>
              <w:t>Retention, masking, restricted access.</w:t>
            </w:r>
          </w:p>
        </w:tc>
      </w:tr>
      <w:tr>
        <w:tc>
          <w:tcPr>
            <w:tcW w:type="dxa" w:w="3408"/>
            <w:vAlign w:val="top"/>
          </w:tcPr>
          <w:p>
            <w:r/>
            <w:r>
              <w:rPr>
                <w:rFonts w:ascii="Arial" w:hAnsi="Arial" w:eastAsia="Arial"/>
                <w:b w:val="0"/>
                <w:sz w:val="17"/>
              </w:rPr>
              <w:t>Administration Module</w:t>
            </w:r>
          </w:p>
        </w:tc>
        <w:tc>
          <w:tcPr>
            <w:tcW w:type="dxa" w:w="3408"/>
            <w:vAlign w:val="top"/>
          </w:tcPr>
          <w:p>
            <w:r/>
            <w:r>
              <w:rPr>
                <w:rFonts w:ascii="Arial" w:hAnsi="Arial" w:eastAsia="Arial"/>
                <w:b w:val="0"/>
                <w:sz w:val="17"/>
              </w:rPr>
              <w:t>Manages EMH roles, permissions, applications, and menus subject to approval.</w:t>
            </w:r>
          </w:p>
        </w:tc>
        <w:tc>
          <w:tcPr>
            <w:tcW w:type="dxa" w:w="3408"/>
            <w:vAlign w:val="top"/>
          </w:tcPr>
          <w:p>
            <w:r/>
            <w:r>
              <w:rPr>
                <w:rFonts w:ascii="Arial" w:hAnsi="Arial" w:eastAsia="Arial"/>
                <w:b w:val="0"/>
                <w:sz w:val="17"/>
              </w:rPr>
              <w:t>Separation of duties; full audit.</w:t>
            </w:r>
          </w:p>
        </w:tc>
      </w:tr>
    </w:tbl>
    <w:p/>
    <w:p>
      <w:pPr>
        <w:pStyle w:val="Heading2"/>
        <w:keepNext/>
      </w:pPr>
      <w:r>
        <w:t>3.3 Interface Description</w:t>
      </w:r>
    </w:p>
    <w:p>
      <w:r>
        <w:t>All external integrations shall be API-led and must be approved by system owners. EMH shall not connect directly to external databases. Each integration shall have a documented contract including endpoint, owner, security method, request fields, response fields, error handling, timeout, classification, logging restrictions, and SLA/OLA expectations.</w:t>
      </w:r>
    </w:p>
    <w:p>
      <w:pPr>
        <w:pStyle w:val="Heading3"/>
        <w:keepNext/>
      </w:pPr>
      <w:r>
        <w:t>3.3.1 Interface Design</w:t>
      </w:r>
    </w:p>
    <w:p>
      <w:pPr>
        <w:pStyle w:val="ListNumber"/>
      </w:pPr>
      <w:r>
        <w:t>User accesses EMH through the on-premises Mendix web application.</w:t>
      </w:r>
    </w:p>
    <w:p>
      <w:pPr>
        <w:pStyle w:val="ListNumber"/>
      </w:pPr>
      <w:r>
        <w:t>SAML SSO authenticates the user via enterprise IDAM.</w:t>
      </w:r>
    </w:p>
    <w:p>
      <w:pPr>
        <w:pStyle w:val="ListNumber"/>
      </w:pPr>
      <w:r>
        <w:t>EMH maps the SAML identity to an EMH user profile and resolves permissions.</w:t>
      </w:r>
    </w:p>
    <w:p>
      <w:pPr>
        <w:pStyle w:val="ListNumber"/>
      </w:pPr>
      <w:r>
        <w:t>A secured Mendix page or microflow validates the requested action.</w:t>
      </w:r>
    </w:p>
    <w:p>
      <w:pPr>
        <w:pStyle w:val="ListNumber"/>
      </w:pPr>
      <w:r>
        <w:t>Input validation is performed before any API call.</w:t>
      </w:r>
    </w:p>
    <w:p>
      <w:pPr>
        <w:pStyle w:val="ListNumber"/>
      </w:pPr>
      <w:r>
        <w:t>The integration microflow calls the approved external REST API.</w:t>
      </w:r>
    </w:p>
    <w:p>
      <w:pPr>
        <w:pStyle w:val="ListNumber"/>
      </w:pPr>
      <w:r>
        <w:t>The response is mapped to non-persistent entities for display.</w:t>
      </w:r>
    </w:p>
    <w:p>
      <w:pPr>
        <w:pStyle w:val="ListNumber"/>
      </w:pPr>
      <w:r>
        <w:t>Sensitive access and result status are audited.</w:t>
      </w:r>
    </w:p>
    <w:p>
      <w:pPr>
        <w:pStyle w:val="ListNumber"/>
      </w:pPr>
      <w:r>
        <w:t>Errors are displayed as controlled user messages and logged in sanitized form.</w:t>
      </w:r>
    </w:p>
    <w:p>
      <w:pPr>
        <w:pStyle w:val="Heading3"/>
        <w:keepNext/>
      </w:pPr>
      <w:r>
        <w:t>3.3.2 API 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API Group</w:t>
            </w:r>
          </w:p>
        </w:tc>
        <w:tc>
          <w:tcPr>
            <w:tcW w:type="dxa" w:w="2556"/>
            <w:shd w:fill="D9EAF7"/>
            <w:vAlign w:val="center"/>
          </w:tcPr>
          <w:p>
            <w:r/>
            <w:r>
              <w:rPr>
                <w:rFonts w:ascii="Arial" w:hAnsi="Arial" w:eastAsia="Arial"/>
                <w:b/>
                <w:sz w:val="17"/>
              </w:rPr>
              <w:t>Capability</w:t>
            </w:r>
          </w:p>
        </w:tc>
        <w:tc>
          <w:tcPr>
            <w:tcW w:type="dxa" w:w="2556"/>
            <w:shd w:fill="D9EAF7"/>
            <w:vAlign w:val="center"/>
          </w:tcPr>
          <w:p>
            <w:r/>
            <w:r>
              <w:rPr>
                <w:rFonts w:ascii="Arial" w:hAnsi="Arial" w:eastAsia="Arial"/>
                <w:b/>
                <w:sz w:val="17"/>
              </w:rPr>
              <w:t>Status</w:t>
            </w:r>
          </w:p>
        </w:tc>
        <w:tc>
          <w:tcPr>
            <w:tcW w:type="dxa" w:w="2556"/>
            <w:shd w:fill="D9EAF7"/>
            <w:vAlign w:val="center"/>
          </w:tcPr>
          <w:p>
            <w:r/>
            <w:r>
              <w:rPr>
                <w:rFonts w:ascii="Arial" w:hAnsi="Arial" w:eastAsia="Arial"/>
                <w:b/>
                <w:sz w:val="17"/>
              </w:rPr>
              <w:t>Mendix Notes</w:t>
            </w:r>
          </w:p>
        </w:tc>
      </w:tr>
      <w:tr>
        <w:tc>
          <w:tcPr>
            <w:tcW w:type="dxa" w:w="2556"/>
            <w:vAlign w:val="top"/>
          </w:tcPr>
          <w:p>
            <w:r/>
            <w:r>
              <w:rPr>
                <w:rFonts w:ascii="Arial" w:hAnsi="Arial" w:eastAsia="Arial"/>
                <w:b w:val="0"/>
                <w:sz w:val="17"/>
              </w:rPr>
              <w:t>IDAM / SSO</w:t>
            </w:r>
          </w:p>
        </w:tc>
        <w:tc>
          <w:tcPr>
            <w:tcW w:type="dxa" w:w="2556"/>
            <w:vAlign w:val="top"/>
          </w:tcPr>
          <w:p>
            <w:r/>
            <w:r>
              <w:rPr>
                <w:rFonts w:ascii="Arial" w:hAnsi="Arial" w:eastAsia="Arial"/>
                <w:b w:val="0"/>
                <w:sz w:val="17"/>
              </w:rPr>
              <w:t>SAML authentication</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Confirm SAML metadata, claims, certificates, logout, session timeout.</w:t>
            </w:r>
          </w:p>
        </w:tc>
      </w:tr>
      <w:tr>
        <w:tc>
          <w:tcPr>
            <w:tcW w:type="dxa" w:w="2556"/>
            <w:vAlign w:val="top"/>
          </w:tcPr>
          <w:p>
            <w:r/>
            <w:r>
              <w:rPr>
                <w:rFonts w:ascii="Arial" w:hAnsi="Arial" w:eastAsia="Arial"/>
                <w:b w:val="0"/>
                <w:sz w:val="17"/>
              </w:rPr>
              <w:t>UAE Pass</w:t>
            </w:r>
          </w:p>
        </w:tc>
        <w:tc>
          <w:tcPr>
            <w:tcW w:type="dxa" w:w="2556"/>
            <w:vAlign w:val="top"/>
          </w:tcPr>
          <w:p>
            <w:r/>
            <w:r>
              <w:rPr>
                <w:rFonts w:ascii="Arial" w:hAnsi="Arial" w:eastAsia="Arial"/>
                <w:b w:val="0"/>
                <w:sz w:val="17"/>
              </w:rPr>
              <w:t>Identity support if required</w:t>
            </w:r>
          </w:p>
        </w:tc>
        <w:tc>
          <w:tcPr>
            <w:tcW w:type="dxa" w:w="2556"/>
            <w:vAlign w:val="top"/>
          </w:tcPr>
          <w:p>
            <w:r/>
            <w:r>
              <w:rPr>
                <w:rFonts w:ascii="Arial" w:hAnsi="Arial" w:eastAsia="Arial"/>
                <w:b w:val="0"/>
                <w:sz w:val="17"/>
              </w:rPr>
              <w:t>TBD</w:t>
            </w:r>
          </w:p>
        </w:tc>
        <w:tc>
          <w:tcPr>
            <w:tcW w:type="dxa" w:w="2556"/>
            <w:vAlign w:val="top"/>
          </w:tcPr>
          <w:p>
            <w:r/>
            <w:r>
              <w:rPr>
                <w:rFonts w:ascii="Arial" w:hAnsi="Arial" w:eastAsia="Arial"/>
                <w:b w:val="0"/>
                <w:sz w:val="17"/>
              </w:rPr>
              <w:t>Preferred through IDAM/identity broker unless mandated direct.</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Internal user search</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display-only.</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External user search</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display-only.</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Get user roles</w:t>
            </w:r>
          </w:p>
        </w:tc>
        <w:tc>
          <w:tcPr>
            <w:tcW w:type="dxa" w:w="2556"/>
            <w:vAlign w:val="top"/>
          </w:tcPr>
          <w:p>
            <w:r/>
            <w:r>
              <w:rPr>
                <w:rFonts w:ascii="Arial" w:hAnsi="Arial" w:eastAsia="Arial"/>
                <w:b w:val="0"/>
                <w:sz w:val="17"/>
              </w:rPr>
              <w:t>Missing in original scope</w:t>
            </w:r>
          </w:p>
        </w:tc>
        <w:tc>
          <w:tcPr>
            <w:tcW w:type="dxa" w:w="2556"/>
            <w:vAlign w:val="top"/>
          </w:tcPr>
          <w:p>
            <w:r/>
            <w:r>
              <w:rPr>
                <w:rFonts w:ascii="Arial" w:hAnsi="Arial" w:eastAsia="Arial"/>
                <w:b w:val="0"/>
                <w:sz w:val="17"/>
              </w:rPr>
              <w:t>Build API or defer feature.</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Check user applications</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audit search.</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Application details and payment</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Payment status display only; no payload logging.</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ICP data</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sensitive; strict audit and masking.</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Facilities and specialities</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Potential controlled cache if approved.</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Application responsibility</w:t>
            </w:r>
          </w:p>
        </w:tc>
        <w:tc>
          <w:tcPr>
            <w:tcW w:type="dxa" w:w="2556"/>
            <w:vAlign w:val="top"/>
          </w:tcPr>
          <w:p>
            <w:r/>
            <w:r>
              <w:rPr>
                <w:rFonts w:ascii="Arial" w:hAnsi="Arial" w:eastAsia="Arial"/>
                <w:b w:val="0"/>
                <w:sz w:val="17"/>
              </w:rPr>
              <w:t>Missing in original scope</w:t>
            </w:r>
          </w:p>
        </w:tc>
        <w:tc>
          <w:tcPr>
            <w:tcW w:type="dxa" w:w="2556"/>
            <w:vAlign w:val="top"/>
          </w:tcPr>
          <w:p>
            <w:r/>
            <w:r>
              <w:rPr>
                <w:rFonts w:ascii="Arial" w:hAnsi="Arial" w:eastAsia="Arial"/>
                <w:b w:val="0"/>
                <w:sz w:val="17"/>
              </w:rPr>
              <w:t>Build API or defer.</w:t>
            </w:r>
          </w:p>
        </w:tc>
      </w:tr>
      <w:tr>
        <w:tc>
          <w:tcPr>
            <w:tcW w:type="dxa" w:w="2556"/>
            <w:vAlign w:val="top"/>
          </w:tcPr>
          <w:p>
            <w:r/>
            <w:r>
              <w:rPr>
                <w:rFonts w:ascii="Arial" w:hAnsi="Arial" w:eastAsia="Arial"/>
                <w:b w:val="0"/>
                <w:sz w:val="17"/>
              </w:rPr>
              <w:t>Premarital</w:t>
            </w:r>
          </w:p>
        </w:tc>
        <w:tc>
          <w:tcPr>
            <w:tcW w:type="dxa" w:w="2556"/>
            <w:vAlign w:val="top"/>
          </w:tcPr>
          <w:p>
            <w:r/>
            <w:r>
              <w:rPr>
                <w:rFonts w:ascii="Arial" w:hAnsi="Arial" w:eastAsia="Arial"/>
                <w:b w:val="0"/>
                <w:sz w:val="17"/>
              </w:rPr>
              <w:t>Application lookup</w:t>
            </w:r>
          </w:p>
        </w:tc>
        <w:tc>
          <w:tcPr>
            <w:tcW w:type="dxa" w:w="2556"/>
            <w:vAlign w:val="top"/>
          </w:tcPr>
          <w:p>
            <w:r/>
            <w:r>
              <w:rPr>
                <w:rFonts w:ascii="Arial" w:hAnsi="Arial" w:eastAsia="Arial"/>
                <w:b w:val="0"/>
                <w:sz w:val="17"/>
              </w:rPr>
              <w:t>Unconfirmed</w:t>
            </w:r>
          </w:p>
        </w:tc>
        <w:tc>
          <w:tcPr>
            <w:tcW w:type="dxa" w:w="2556"/>
            <w:vAlign w:val="top"/>
          </w:tcPr>
          <w:p>
            <w:r/>
            <w:r>
              <w:rPr>
                <w:rFonts w:ascii="Arial" w:hAnsi="Arial" w:eastAsia="Arial"/>
                <w:b w:val="0"/>
                <w:sz w:val="17"/>
              </w:rPr>
              <w:t>Blocking dependency.</w:t>
            </w:r>
          </w:p>
        </w:tc>
      </w:tr>
      <w:tr>
        <w:tc>
          <w:tcPr>
            <w:tcW w:type="dxa" w:w="2556"/>
            <w:vAlign w:val="top"/>
          </w:tcPr>
          <w:p>
            <w:r/>
            <w:r>
              <w:rPr>
                <w:rFonts w:ascii="Arial" w:hAnsi="Arial" w:eastAsia="Arial"/>
                <w:b w:val="0"/>
                <w:sz w:val="17"/>
              </w:rPr>
              <w:t>Premarital</w:t>
            </w:r>
          </w:p>
        </w:tc>
        <w:tc>
          <w:tcPr>
            <w:tcW w:type="dxa" w:w="2556"/>
            <w:vAlign w:val="top"/>
          </w:tcPr>
          <w:p>
            <w:r/>
            <w:r>
              <w:rPr>
                <w:rFonts w:ascii="Arial" w:hAnsi="Arial" w:eastAsia="Arial"/>
                <w:b w:val="0"/>
                <w:sz w:val="17"/>
              </w:rPr>
              <w:t>Payment validation</w:t>
            </w:r>
          </w:p>
        </w:tc>
        <w:tc>
          <w:tcPr>
            <w:tcW w:type="dxa" w:w="2556"/>
            <w:vAlign w:val="top"/>
          </w:tcPr>
          <w:p>
            <w:r/>
            <w:r>
              <w:rPr>
                <w:rFonts w:ascii="Arial" w:hAnsi="Arial" w:eastAsia="Arial"/>
                <w:b w:val="0"/>
                <w:sz w:val="17"/>
              </w:rPr>
              <w:t>Unconfirmed</w:t>
            </w:r>
          </w:p>
        </w:tc>
        <w:tc>
          <w:tcPr>
            <w:tcW w:type="dxa" w:w="2556"/>
            <w:vAlign w:val="top"/>
          </w:tcPr>
          <w:p>
            <w:r/>
            <w:r>
              <w:rPr>
                <w:rFonts w:ascii="Arial" w:hAnsi="Arial" w:eastAsia="Arial"/>
                <w:b w:val="0"/>
                <w:sz w:val="17"/>
              </w:rPr>
              <w:t>Blocking dependency.</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Health card</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Sick leave</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Medical report</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AppDynamics</w:t>
            </w:r>
          </w:p>
        </w:tc>
        <w:tc>
          <w:tcPr>
            <w:tcW w:type="dxa" w:w="2556"/>
            <w:vAlign w:val="top"/>
          </w:tcPr>
          <w:p>
            <w:r/>
            <w:r>
              <w:rPr>
                <w:rFonts w:ascii="Arial" w:hAnsi="Arial" w:eastAsia="Arial"/>
                <w:b w:val="0"/>
                <w:sz w:val="17"/>
              </w:rPr>
              <w:t>APM/logging/monitoring</w:t>
            </w:r>
          </w:p>
        </w:tc>
        <w:tc>
          <w:tcPr>
            <w:tcW w:type="dxa" w:w="2556"/>
            <w:vAlign w:val="top"/>
          </w:tcPr>
          <w:p>
            <w:r/>
            <w:r>
              <w:rPr>
                <w:rFonts w:ascii="Arial" w:hAnsi="Arial" w:eastAsia="Arial"/>
                <w:b w:val="0"/>
                <w:sz w:val="17"/>
              </w:rPr>
              <w:t>Proposed/confirmed direction</w:t>
            </w:r>
          </w:p>
        </w:tc>
        <w:tc>
          <w:tcPr>
            <w:tcW w:type="dxa" w:w="2556"/>
            <w:vAlign w:val="top"/>
          </w:tcPr>
          <w:p>
            <w:r/>
            <w:r>
              <w:rPr>
                <w:rFonts w:ascii="Arial" w:hAnsi="Arial" w:eastAsia="Arial"/>
                <w:b w:val="0"/>
                <w:sz w:val="17"/>
              </w:rPr>
              <w:t>Confirm agent model, log retention, masking, alerting.</w:t>
            </w:r>
          </w:p>
        </w:tc>
      </w:tr>
    </w:tbl>
    <w:p/>
    <w:p>
      <w:pPr>
        <w:pStyle w:val="Heading3"/>
        <w:keepNext/>
      </w:pPr>
      <w:r>
        <w:t>3.3.3 Event 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Event</w:t>
            </w:r>
          </w:p>
        </w:tc>
        <w:tc>
          <w:tcPr>
            <w:tcW w:type="dxa" w:w="3408"/>
            <w:shd w:fill="D9EAF7"/>
            <w:vAlign w:val="center"/>
          </w:tcPr>
          <w:p>
            <w:r/>
            <w:r>
              <w:rPr>
                <w:rFonts w:ascii="Arial" w:hAnsi="Arial" w:eastAsia="Arial"/>
                <w:b/>
                <w:sz w:val="17"/>
              </w:rPr>
              <w:t>Trigger</w:t>
            </w:r>
          </w:p>
        </w:tc>
        <w:tc>
          <w:tcPr>
            <w:tcW w:type="dxa" w:w="3408"/>
            <w:shd w:fill="D9EAF7"/>
            <w:vAlign w:val="center"/>
          </w:tcPr>
          <w:p>
            <w:r/>
            <w:r>
              <w:rPr>
                <w:rFonts w:ascii="Arial" w:hAnsi="Arial" w:eastAsia="Arial"/>
                <w:b/>
                <w:sz w:val="17"/>
              </w:rPr>
              <w:t>Audit / Monitoring Requirement</w:t>
            </w:r>
          </w:p>
        </w:tc>
      </w:tr>
      <w:tr>
        <w:tc>
          <w:tcPr>
            <w:tcW w:type="dxa" w:w="3408"/>
            <w:vAlign w:val="top"/>
          </w:tcPr>
          <w:p>
            <w:r/>
            <w:r>
              <w:rPr>
                <w:rFonts w:ascii="Arial" w:hAnsi="Arial" w:eastAsia="Arial"/>
                <w:b w:val="0"/>
                <w:sz w:val="17"/>
              </w:rPr>
              <w:t>Login success</w:t>
            </w:r>
          </w:p>
        </w:tc>
        <w:tc>
          <w:tcPr>
            <w:tcW w:type="dxa" w:w="3408"/>
            <w:vAlign w:val="top"/>
          </w:tcPr>
          <w:p>
            <w:r/>
            <w:r>
              <w:rPr>
                <w:rFonts w:ascii="Arial" w:hAnsi="Arial" w:eastAsia="Arial"/>
                <w:b w:val="0"/>
                <w:sz w:val="17"/>
              </w:rPr>
              <w:t>Successful SAML session established</w:t>
            </w:r>
          </w:p>
        </w:tc>
        <w:tc>
          <w:tcPr>
            <w:tcW w:type="dxa" w:w="3408"/>
            <w:vAlign w:val="top"/>
          </w:tcPr>
          <w:p>
            <w:r/>
            <w:r>
              <w:rPr>
                <w:rFonts w:ascii="Arial" w:hAnsi="Arial" w:eastAsia="Arial"/>
                <w:b w:val="0"/>
                <w:sz w:val="17"/>
              </w:rPr>
              <w:t>Record user, timestamp, source metadata where available.</w:t>
            </w:r>
          </w:p>
        </w:tc>
      </w:tr>
      <w:tr>
        <w:tc>
          <w:tcPr>
            <w:tcW w:type="dxa" w:w="3408"/>
            <w:vAlign w:val="top"/>
          </w:tcPr>
          <w:p>
            <w:r/>
            <w:r>
              <w:rPr>
                <w:rFonts w:ascii="Arial" w:hAnsi="Arial" w:eastAsia="Arial"/>
                <w:b w:val="0"/>
                <w:sz w:val="17"/>
              </w:rPr>
              <w:t>Logout</w:t>
            </w:r>
          </w:p>
        </w:tc>
        <w:tc>
          <w:tcPr>
            <w:tcW w:type="dxa" w:w="3408"/>
            <w:vAlign w:val="top"/>
          </w:tcPr>
          <w:p>
            <w:r/>
            <w:r>
              <w:rPr>
                <w:rFonts w:ascii="Arial" w:hAnsi="Arial" w:eastAsia="Arial"/>
                <w:b w:val="0"/>
                <w:sz w:val="17"/>
              </w:rPr>
              <w:t>User ends session or session expires</w:t>
            </w:r>
          </w:p>
        </w:tc>
        <w:tc>
          <w:tcPr>
            <w:tcW w:type="dxa" w:w="3408"/>
            <w:vAlign w:val="top"/>
          </w:tcPr>
          <w:p>
            <w:r/>
            <w:r>
              <w:rPr>
                <w:rFonts w:ascii="Arial" w:hAnsi="Arial" w:eastAsia="Arial"/>
                <w:b w:val="0"/>
                <w:sz w:val="17"/>
              </w:rPr>
              <w:t>Record user and timestamp where technically available.</w:t>
            </w:r>
          </w:p>
        </w:tc>
      </w:tr>
      <w:tr>
        <w:tc>
          <w:tcPr>
            <w:tcW w:type="dxa" w:w="3408"/>
            <w:vAlign w:val="top"/>
          </w:tcPr>
          <w:p>
            <w:r/>
            <w:r>
              <w:rPr>
                <w:rFonts w:ascii="Arial" w:hAnsi="Arial" w:eastAsia="Arial"/>
                <w:b w:val="0"/>
                <w:sz w:val="17"/>
              </w:rPr>
              <w:t>Access denied</w:t>
            </w:r>
          </w:p>
        </w:tc>
        <w:tc>
          <w:tcPr>
            <w:tcW w:type="dxa" w:w="3408"/>
            <w:vAlign w:val="top"/>
          </w:tcPr>
          <w:p>
            <w:r/>
            <w:r>
              <w:rPr>
                <w:rFonts w:ascii="Arial" w:hAnsi="Arial" w:eastAsia="Arial"/>
                <w:b w:val="0"/>
                <w:sz w:val="17"/>
              </w:rPr>
              <w:t>Unauthorized page, microflow, entity, or action attempt</w:t>
            </w:r>
          </w:p>
        </w:tc>
        <w:tc>
          <w:tcPr>
            <w:tcW w:type="dxa" w:w="3408"/>
            <w:vAlign w:val="top"/>
          </w:tcPr>
          <w:p>
            <w:r/>
            <w:r>
              <w:rPr>
                <w:rFonts w:ascii="Arial" w:hAnsi="Arial" w:eastAsia="Arial"/>
                <w:b w:val="0"/>
                <w:sz w:val="17"/>
              </w:rPr>
              <w:t>Mandatory audit with sanitized resource reference.</w:t>
            </w:r>
          </w:p>
        </w:tc>
      </w:tr>
      <w:tr>
        <w:tc>
          <w:tcPr>
            <w:tcW w:type="dxa" w:w="3408"/>
            <w:vAlign w:val="top"/>
          </w:tcPr>
          <w:p>
            <w:r/>
            <w:r>
              <w:rPr>
                <w:rFonts w:ascii="Arial" w:hAnsi="Arial" w:eastAsia="Arial"/>
                <w:b w:val="0"/>
                <w:sz w:val="17"/>
              </w:rPr>
              <w:t>Sensitive search</w:t>
            </w:r>
          </w:p>
        </w:tc>
        <w:tc>
          <w:tcPr>
            <w:tcW w:type="dxa" w:w="3408"/>
            <w:vAlign w:val="top"/>
          </w:tcPr>
          <w:p>
            <w:r/>
            <w:r>
              <w:rPr>
                <w:rFonts w:ascii="Arial" w:hAnsi="Arial" w:eastAsia="Arial"/>
                <w:b w:val="0"/>
                <w:sz w:val="17"/>
              </w:rPr>
              <w:t>Search by EID, MRN, transaction, application number, mobile, email</w:t>
            </w:r>
          </w:p>
        </w:tc>
        <w:tc>
          <w:tcPr>
            <w:tcW w:type="dxa" w:w="3408"/>
            <w:vAlign w:val="top"/>
          </w:tcPr>
          <w:p>
            <w:r/>
            <w:r>
              <w:rPr>
                <w:rFonts w:ascii="Arial" w:hAnsi="Arial" w:eastAsia="Arial"/>
                <w:b w:val="0"/>
                <w:sz w:val="17"/>
              </w:rPr>
              <w:t>Mandatory audit; mask/hash search values where required.</w:t>
            </w:r>
          </w:p>
        </w:tc>
      </w:tr>
      <w:tr>
        <w:tc>
          <w:tcPr>
            <w:tcW w:type="dxa" w:w="3408"/>
            <w:vAlign w:val="top"/>
          </w:tcPr>
          <w:p>
            <w:r/>
            <w:r>
              <w:rPr>
                <w:rFonts w:ascii="Arial" w:hAnsi="Arial" w:eastAsia="Arial"/>
                <w:b w:val="0"/>
                <w:sz w:val="17"/>
              </w:rPr>
              <w:t>Sensitive record view</w:t>
            </w:r>
          </w:p>
        </w:tc>
        <w:tc>
          <w:tcPr>
            <w:tcW w:type="dxa" w:w="3408"/>
            <w:vAlign w:val="top"/>
          </w:tcPr>
          <w:p>
            <w:r/>
            <w:r>
              <w:rPr>
                <w:rFonts w:ascii="Arial" w:hAnsi="Arial" w:eastAsia="Arial"/>
                <w:b w:val="0"/>
                <w:sz w:val="17"/>
              </w:rPr>
              <w:t>User opens patient, identity, payment, premarital, or clinical details</w:t>
            </w:r>
          </w:p>
        </w:tc>
        <w:tc>
          <w:tcPr>
            <w:tcW w:type="dxa" w:w="3408"/>
            <w:vAlign w:val="top"/>
          </w:tcPr>
          <w:p>
            <w:r/>
            <w:r>
              <w:rPr>
                <w:rFonts w:ascii="Arial" w:hAnsi="Arial" w:eastAsia="Arial"/>
                <w:b w:val="0"/>
                <w:sz w:val="17"/>
              </w:rPr>
              <w:t>Mandatory audit.</w:t>
            </w:r>
          </w:p>
        </w:tc>
      </w:tr>
      <w:tr>
        <w:tc>
          <w:tcPr>
            <w:tcW w:type="dxa" w:w="3408"/>
            <w:vAlign w:val="top"/>
          </w:tcPr>
          <w:p>
            <w:r/>
            <w:r>
              <w:rPr>
                <w:rFonts w:ascii="Arial" w:hAnsi="Arial" w:eastAsia="Arial"/>
                <w:b w:val="0"/>
                <w:sz w:val="17"/>
              </w:rPr>
              <w:t>Admin permission change</w:t>
            </w:r>
          </w:p>
        </w:tc>
        <w:tc>
          <w:tcPr>
            <w:tcW w:type="dxa" w:w="3408"/>
            <w:vAlign w:val="top"/>
          </w:tcPr>
          <w:p>
            <w:r/>
            <w:r>
              <w:rPr>
                <w:rFonts w:ascii="Arial" w:hAnsi="Arial" w:eastAsia="Arial"/>
                <w:b w:val="0"/>
                <w:sz w:val="17"/>
              </w:rPr>
              <w:t>Role, permission, user-role, menu/action changes</w:t>
            </w:r>
          </w:p>
        </w:tc>
        <w:tc>
          <w:tcPr>
            <w:tcW w:type="dxa" w:w="3408"/>
            <w:vAlign w:val="top"/>
          </w:tcPr>
          <w:p>
            <w:r/>
            <w:r>
              <w:rPr>
                <w:rFonts w:ascii="Arial" w:hAnsi="Arial" w:eastAsia="Arial"/>
                <w:b w:val="0"/>
                <w:sz w:val="17"/>
              </w:rPr>
              <w:t>Mandatory before/after audit.</w:t>
            </w:r>
          </w:p>
        </w:tc>
      </w:tr>
      <w:tr>
        <w:tc>
          <w:tcPr>
            <w:tcW w:type="dxa" w:w="3408"/>
            <w:vAlign w:val="top"/>
          </w:tcPr>
          <w:p>
            <w:r/>
            <w:r>
              <w:rPr>
                <w:rFonts w:ascii="Arial" w:hAnsi="Arial" w:eastAsia="Arial"/>
                <w:b w:val="0"/>
                <w:sz w:val="17"/>
              </w:rPr>
              <w:t>External API failure</w:t>
            </w:r>
          </w:p>
        </w:tc>
        <w:tc>
          <w:tcPr>
            <w:tcW w:type="dxa" w:w="3408"/>
            <w:vAlign w:val="top"/>
          </w:tcPr>
          <w:p>
            <w:r/>
            <w:r>
              <w:rPr>
                <w:rFonts w:ascii="Arial" w:hAnsi="Arial" w:eastAsia="Arial"/>
                <w:b w:val="0"/>
                <w:sz w:val="17"/>
              </w:rPr>
              <w:t>Timeout, 4xx/5xx, mapping failure</w:t>
            </w:r>
          </w:p>
        </w:tc>
        <w:tc>
          <w:tcPr>
            <w:tcW w:type="dxa" w:w="3408"/>
            <w:vAlign w:val="top"/>
          </w:tcPr>
          <w:p>
            <w:r/>
            <w:r>
              <w:rPr>
                <w:rFonts w:ascii="Arial" w:hAnsi="Arial" w:eastAsia="Arial"/>
                <w:b w:val="0"/>
                <w:sz w:val="17"/>
              </w:rPr>
              <w:t>Log system, endpoint identifier, status, duration, correlation ID.</w:t>
            </w:r>
          </w:p>
        </w:tc>
      </w:tr>
      <w:tr>
        <w:tc>
          <w:tcPr>
            <w:tcW w:type="dxa" w:w="3408"/>
            <w:vAlign w:val="top"/>
          </w:tcPr>
          <w:p>
            <w:r/>
            <w:r>
              <w:rPr>
                <w:rFonts w:ascii="Arial" w:hAnsi="Arial" w:eastAsia="Arial"/>
                <w:b w:val="0"/>
                <w:sz w:val="17"/>
              </w:rPr>
              <w:t>Suspicious behavior</w:t>
            </w:r>
          </w:p>
        </w:tc>
        <w:tc>
          <w:tcPr>
            <w:tcW w:type="dxa" w:w="3408"/>
            <w:vAlign w:val="top"/>
          </w:tcPr>
          <w:p>
            <w:r/>
            <w:r>
              <w:rPr>
                <w:rFonts w:ascii="Arial" w:hAnsi="Arial" w:eastAsia="Arial"/>
                <w:b w:val="0"/>
                <w:sz w:val="17"/>
              </w:rPr>
              <w:t>Excessive searches or repeated denied access</w:t>
            </w:r>
          </w:p>
        </w:tc>
        <w:tc>
          <w:tcPr>
            <w:tcW w:type="dxa" w:w="3408"/>
            <w:vAlign w:val="top"/>
          </w:tcPr>
          <w:p>
            <w:r/>
            <w:r>
              <w:rPr>
                <w:rFonts w:ascii="Arial" w:hAnsi="Arial" w:eastAsia="Arial"/>
                <w:b w:val="0"/>
                <w:sz w:val="17"/>
              </w:rPr>
              <w:t>AppDynamics alert and optional SIEM forwarding.</w:t>
            </w:r>
          </w:p>
        </w:tc>
      </w:tr>
    </w:tbl>
    <w:p/>
    <w:p>
      <w:pPr>
        <w:pStyle w:val="Heading2"/>
        <w:keepNext/>
      </w:pPr>
      <w:r>
        <w:t>3.4 Application Environments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Environment</w:t>
            </w:r>
          </w:p>
        </w:tc>
        <w:tc>
          <w:tcPr>
            <w:tcW w:type="dxa" w:w="2556"/>
            <w:shd w:fill="D9EAF7"/>
            <w:vAlign w:val="center"/>
          </w:tcPr>
          <w:p>
            <w:r/>
            <w:r>
              <w:rPr>
                <w:rFonts w:ascii="Arial" w:hAnsi="Arial" w:eastAsia="Arial"/>
                <w:b/>
                <w:sz w:val="17"/>
              </w:rPr>
              <w:t>Purpose</w:t>
            </w:r>
          </w:p>
        </w:tc>
        <w:tc>
          <w:tcPr>
            <w:tcW w:type="dxa" w:w="2556"/>
            <w:shd w:fill="D9EAF7"/>
            <w:vAlign w:val="center"/>
          </w:tcPr>
          <w:p>
            <w:r/>
            <w:r>
              <w:rPr>
                <w:rFonts w:ascii="Arial" w:hAnsi="Arial" w:eastAsia="Arial"/>
                <w:b/>
                <w:sz w:val="17"/>
              </w:rPr>
              <w:t>Data Usage</w:t>
            </w:r>
          </w:p>
        </w:tc>
        <w:tc>
          <w:tcPr>
            <w:tcW w:type="dxa" w:w="2556"/>
            <w:shd w:fill="D9EAF7"/>
            <w:vAlign w:val="center"/>
          </w:tcPr>
          <w:p>
            <w:r/>
            <w:r>
              <w:rPr>
                <w:rFonts w:ascii="Arial" w:hAnsi="Arial" w:eastAsia="Arial"/>
                <w:b/>
                <w:sz w:val="17"/>
              </w:rPr>
              <w:t>Access</w:t>
            </w:r>
          </w:p>
        </w:tc>
      </w:tr>
      <w:tr>
        <w:tc>
          <w:tcPr>
            <w:tcW w:type="dxa" w:w="2556"/>
            <w:vAlign w:val="top"/>
          </w:tcPr>
          <w:p>
            <w:r/>
            <w:r>
              <w:rPr>
                <w:rFonts w:ascii="Arial" w:hAnsi="Arial" w:eastAsia="Arial"/>
                <w:b w:val="0"/>
                <w:sz w:val="17"/>
              </w:rPr>
              <w:t>Development</w:t>
            </w:r>
          </w:p>
        </w:tc>
        <w:tc>
          <w:tcPr>
            <w:tcW w:type="dxa" w:w="2556"/>
            <w:vAlign w:val="top"/>
          </w:tcPr>
          <w:p>
            <w:r/>
            <w:r>
              <w:rPr>
                <w:rFonts w:ascii="Arial" w:hAnsi="Arial" w:eastAsia="Arial"/>
                <w:b w:val="0"/>
                <w:sz w:val="17"/>
              </w:rPr>
              <w:t>Build and unit validation</w:t>
            </w:r>
          </w:p>
        </w:tc>
        <w:tc>
          <w:tcPr>
            <w:tcW w:type="dxa" w:w="2556"/>
            <w:vAlign w:val="top"/>
          </w:tcPr>
          <w:p>
            <w:r/>
            <w:r>
              <w:rPr>
                <w:rFonts w:ascii="Arial" w:hAnsi="Arial" w:eastAsia="Arial"/>
                <w:b w:val="0"/>
                <w:sz w:val="17"/>
              </w:rPr>
              <w:t>Synthetic data only</w:t>
            </w:r>
          </w:p>
        </w:tc>
        <w:tc>
          <w:tcPr>
            <w:tcW w:type="dxa" w:w="2556"/>
            <w:vAlign w:val="top"/>
          </w:tcPr>
          <w:p>
            <w:r/>
            <w:r>
              <w:rPr>
                <w:rFonts w:ascii="Arial" w:hAnsi="Arial" w:eastAsia="Arial"/>
                <w:b w:val="0"/>
                <w:sz w:val="17"/>
              </w:rPr>
              <w:t>Development team.</w:t>
            </w:r>
          </w:p>
        </w:tc>
      </w:tr>
      <w:tr>
        <w:tc>
          <w:tcPr>
            <w:tcW w:type="dxa" w:w="2556"/>
            <w:vAlign w:val="top"/>
          </w:tcPr>
          <w:p>
            <w:r/>
            <w:r>
              <w:rPr>
                <w:rFonts w:ascii="Arial" w:hAnsi="Arial" w:eastAsia="Arial"/>
                <w:b w:val="0"/>
                <w:sz w:val="17"/>
              </w:rPr>
              <w:t>SIT</w:t>
            </w:r>
          </w:p>
        </w:tc>
        <w:tc>
          <w:tcPr>
            <w:tcW w:type="dxa" w:w="2556"/>
            <w:vAlign w:val="top"/>
          </w:tcPr>
          <w:p>
            <w:r/>
            <w:r>
              <w:rPr>
                <w:rFonts w:ascii="Arial" w:hAnsi="Arial" w:eastAsia="Arial"/>
                <w:b w:val="0"/>
                <w:sz w:val="17"/>
              </w:rPr>
              <w:t>Integration validation</w:t>
            </w:r>
          </w:p>
        </w:tc>
        <w:tc>
          <w:tcPr>
            <w:tcW w:type="dxa" w:w="2556"/>
            <w:vAlign w:val="top"/>
          </w:tcPr>
          <w:p>
            <w:r/>
            <w:r>
              <w:rPr>
                <w:rFonts w:ascii="Arial" w:hAnsi="Arial" w:eastAsia="Arial"/>
                <w:b w:val="0"/>
                <w:sz w:val="17"/>
              </w:rPr>
              <w:t>Synthetic/masked data; non-prod APIs</w:t>
            </w:r>
          </w:p>
        </w:tc>
        <w:tc>
          <w:tcPr>
            <w:tcW w:type="dxa" w:w="2556"/>
            <w:vAlign w:val="top"/>
          </w:tcPr>
          <w:p>
            <w:r/>
            <w:r>
              <w:rPr>
                <w:rFonts w:ascii="Arial" w:hAnsi="Arial" w:eastAsia="Arial"/>
                <w:b w:val="0"/>
                <w:sz w:val="17"/>
              </w:rPr>
              <w:t>Technical team and integration owners.</w:t>
            </w:r>
          </w:p>
        </w:tc>
      </w:tr>
      <w:tr>
        <w:tc>
          <w:tcPr>
            <w:tcW w:type="dxa" w:w="2556"/>
            <w:vAlign w:val="top"/>
          </w:tcPr>
          <w:p>
            <w:r/>
            <w:r>
              <w:rPr>
                <w:rFonts w:ascii="Arial" w:hAnsi="Arial" w:eastAsia="Arial"/>
                <w:b w:val="0"/>
                <w:sz w:val="17"/>
              </w:rPr>
              <w:t>UAT</w:t>
            </w:r>
          </w:p>
        </w:tc>
        <w:tc>
          <w:tcPr>
            <w:tcW w:type="dxa" w:w="2556"/>
            <w:vAlign w:val="top"/>
          </w:tcPr>
          <w:p>
            <w:r/>
            <w:r>
              <w:rPr>
                <w:rFonts w:ascii="Arial" w:hAnsi="Arial" w:eastAsia="Arial"/>
                <w:b w:val="0"/>
                <w:sz w:val="17"/>
              </w:rPr>
              <w:t>Business validation</w:t>
            </w:r>
          </w:p>
        </w:tc>
        <w:tc>
          <w:tcPr>
            <w:tcW w:type="dxa" w:w="2556"/>
            <w:vAlign w:val="top"/>
          </w:tcPr>
          <w:p>
            <w:r/>
            <w:r>
              <w:rPr>
                <w:rFonts w:ascii="Arial" w:hAnsi="Arial" w:eastAsia="Arial"/>
                <w:b w:val="0"/>
                <w:sz w:val="17"/>
              </w:rPr>
              <w:t>Approved UAT data only</w:t>
            </w:r>
          </w:p>
        </w:tc>
        <w:tc>
          <w:tcPr>
            <w:tcW w:type="dxa" w:w="2556"/>
            <w:vAlign w:val="top"/>
          </w:tcPr>
          <w:p>
            <w:r/>
            <w:r>
              <w:rPr>
                <w:rFonts w:ascii="Arial" w:hAnsi="Arial" w:eastAsia="Arial"/>
                <w:b w:val="0"/>
                <w:sz w:val="17"/>
              </w:rPr>
              <w:t>Nominated business testers.</w:t>
            </w:r>
          </w:p>
        </w:tc>
      </w:tr>
      <w:tr>
        <w:tc>
          <w:tcPr>
            <w:tcW w:type="dxa" w:w="2556"/>
            <w:vAlign w:val="top"/>
          </w:tcPr>
          <w:p>
            <w:r/>
            <w:r>
              <w:rPr>
                <w:rFonts w:ascii="Arial" w:hAnsi="Arial" w:eastAsia="Arial"/>
                <w:b w:val="0"/>
                <w:sz w:val="17"/>
              </w:rPr>
              <w:t>Security / Performance</w:t>
            </w:r>
          </w:p>
        </w:tc>
        <w:tc>
          <w:tcPr>
            <w:tcW w:type="dxa" w:w="2556"/>
            <w:vAlign w:val="top"/>
          </w:tcPr>
          <w:p>
            <w:r/>
            <w:r>
              <w:rPr>
                <w:rFonts w:ascii="Arial" w:hAnsi="Arial" w:eastAsia="Arial"/>
                <w:b w:val="0"/>
                <w:sz w:val="17"/>
              </w:rPr>
              <w:t>Security scanning and load testing</w:t>
            </w:r>
          </w:p>
        </w:tc>
        <w:tc>
          <w:tcPr>
            <w:tcW w:type="dxa" w:w="2556"/>
            <w:vAlign w:val="top"/>
          </w:tcPr>
          <w:p>
            <w:r/>
            <w:r>
              <w:rPr>
                <w:rFonts w:ascii="Arial" w:hAnsi="Arial" w:eastAsia="Arial"/>
                <w:b w:val="0"/>
                <w:sz w:val="17"/>
              </w:rPr>
              <w:t>Synthetic/masked data</w:t>
            </w:r>
          </w:p>
        </w:tc>
        <w:tc>
          <w:tcPr>
            <w:tcW w:type="dxa" w:w="2556"/>
            <w:vAlign w:val="top"/>
          </w:tcPr>
          <w:p>
            <w:r/>
            <w:r>
              <w:rPr>
                <w:rFonts w:ascii="Arial" w:hAnsi="Arial" w:eastAsia="Arial"/>
                <w:b w:val="0"/>
                <w:sz w:val="17"/>
              </w:rPr>
              <w:t>Security and performance teams.</w:t>
            </w:r>
          </w:p>
        </w:tc>
      </w:tr>
      <w:tr>
        <w:tc>
          <w:tcPr>
            <w:tcW w:type="dxa" w:w="2556"/>
            <w:vAlign w:val="top"/>
          </w:tcPr>
          <w:p>
            <w:r/>
            <w:r>
              <w:rPr>
                <w:rFonts w:ascii="Arial" w:hAnsi="Arial" w:eastAsia="Arial"/>
                <w:b w:val="0"/>
                <w:sz w:val="17"/>
              </w:rPr>
              <w:t>Pre-Production</w:t>
            </w:r>
          </w:p>
        </w:tc>
        <w:tc>
          <w:tcPr>
            <w:tcW w:type="dxa" w:w="2556"/>
            <w:vAlign w:val="top"/>
          </w:tcPr>
          <w:p>
            <w:r/>
            <w:r>
              <w:rPr>
                <w:rFonts w:ascii="Arial" w:hAnsi="Arial" w:eastAsia="Arial"/>
                <w:b w:val="0"/>
                <w:sz w:val="17"/>
              </w:rPr>
              <w:t>Production-like release rehearsal</w:t>
            </w:r>
          </w:p>
        </w:tc>
        <w:tc>
          <w:tcPr>
            <w:tcW w:type="dxa" w:w="2556"/>
            <w:vAlign w:val="top"/>
          </w:tcPr>
          <w:p>
            <w:r/>
            <w:r>
              <w:rPr>
                <w:rFonts w:ascii="Arial" w:hAnsi="Arial" w:eastAsia="Arial"/>
                <w:b w:val="0"/>
                <w:sz w:val="17"/>
              </w:rPr>
              <w:t>Masked or approved controlled data</w:t>
            </w:r>
          </w:p>
        </w:tc>
        <w:tc>
          <w:tcPr>
            <w:tcW w:type="dxa" w:w="2556"/>
            <w:vAlign w:val="top"/>
          </w:tcPr>
          <w:p>
            <w:r/>
            <w:r>
              <w:rPr>
                <w:rFonts w:ascii="Arial" w:hAnsi="Arial" w:eastAsia="Arial"/>
                <w:b w:val="0"/>
                <w:sz w:val="17"/>
              </w:rPr>
              <w:t>Restricted technical users.</w:t>
            </w:r>
          </w:p>
        </w:tc>
      </w:tr>
      <w:tr>
        <w:tc>
          <w:tcPr>
            <w:tcW w:type="dxa" w:w="2556"/>
            <w:vAlign w:val="top"/>
          </w:tcPr>
          <w:p>
            <w:r/>
            <w:r>
              <w:rPr>
                <w:rFonts w:ascii="Arial" w:hAnsi="Arial" w:eastAsia="Arial"/>
                <w:b w:val="0"/>
                <w:sz w:val="17"/>
              </w:rPr>
              <w:t>Production</w:t>
            </w:r>
          </w:p>
        </w:tc>
        <w:tc>
          <w:tcPr>
            <w:tcW w:type="dxa" w:w="2556"/>
            <w:vAlign w:val="top"/>
          </w:tcPr>
          <w:p>
            <w:r/>
            <w:r>
              <w:rPr>
                <w:rFonts w:ascii="Arial" w:hAnsi="Arial" w:eastAsia="Arial"/>
                <w:b w:val="0"/>
                <w:sz w:val="17"/>
              </w:rPr>
              <w:t>Live service</w:t>
            </w:r>
          </w:p>
        </w:tc>
        <w:tc>
          <w:tcPr>
            <w:tcW w:type="dxa" w:w="2556"/>
            <w:vAlign w:val="top"/>
          </w:tcPr>
          <w:p>
            <w:r/>
            <w:r>
              <w:rPr>
                <w:rFonts w:ascii="Arial" w:hAnsi="Arial" w:eastAsia="Arial"/>
                <w:b w:val="0"/>
                <w:sz w:val="17"/>
              </w:rPr>
              <w:t>Live data via APIs only</w:t>
            </w:r>
          </w:p>
        </w:tc>
        <w:tc>
          <w:tcPr>
            <w:tcW w:type="dxa" w:w="2556"/>
            <w:vAlign w:val="top"/>
          </w:tcPr>
          <w:p>
            <w:r/>
            <w:r>
              <w:rPr>
                <w:rFonts w:ascii="Arial" w:hAnsi="Arial" w:eastAsia="Arial"/>
                <w:b w:val="0"/>
                <w:sz w:val="17"/>
              </w:rPr>
              <w:t>Authorized support users.</w:t>
            </w:r>
          </w:p>
        </w:tc>
      </w:tr>
      <w:tr>
        <w:tc>
          <w:tcPr>
            <w:tcW w:type="dxa" w:w="2556"/>
            <w:vAlign w:val="top"/>
          </w:tcPr>
          <w:p>
            <w:r/>
            <w:r>
              <w:rPr>
                <w:rFonts w:ascii="Arial" w:hAnsi="Arial" w:eastAsia="Arial"/>
                <w:b w:val="0"/>
                <w:sz w:val="17"/>
              </w:rPr>
              <w:t>DR</w:t>
            </w:r>
          </w:p>
        </w:tc>
        <w:tc>
          <w:tcPr>
            <w:tcW w:type="dxa" w:w="2556"/>
            <w:vAlign w:val="top"/>
          </w:tcPr>
          <w:p>
            <w:r/>
            <w:r>
              <w:rPr>
                <w:rFonts w:ascii="Arial" w:hAnsi="Arial" w:eastAsia="Arial"/>
                <w:b w:val="0"/>
                <w:sz w:val="17"/>
              </w:rPr>
              <w:t>Recovery environment/process</w:t>
            </w:r>
          </w:p>
        </w:tc>
        <w:tc>
          <w:tcPr>
            <w:tcW w:type="dxa" w:w="2556"/>
            <w:vAlign w:val="top"/>
          </w:tcPr>
          <w:p>
            <w:r/>
            <w:r>
              <w:rPr>
                <w:rFonts w:ascii="Arial" w:hAnsi="Arial" w:eastAsia="Arial"/>
                <w:b w:val="0"/>
                <w:sz w:val="17"/>
              </w:rPr>
              <w:t>Restored/replicated data according to DR design</w:t>
            </w:r>
          </w:p>
        </w:tc>
        <w:tc>
          <w:tcPr>
            <w:tcW w:type="dxa" w:w="2556"/>
            <w:vAlign w:val="top"/>
          </w:tcPr>
          <w:p>
            <w:r/>
            <w:r>
              <w:rPr>
                <w:rFonts w:ascii="Arial" w:hAnsi="Arial" w:eastAsia="Arial"/>
                <w:b w:val="0"/>
                <w:sz w:val="17"/>
              </w:rPr>
              <w:t>Operations only.</w:t>
            </w:r>
          </w:p>
        </w:tc>
      </w:tr>
    </w:tbl>
    <w:p/>
    <w:p>
      <w:pPr>
        <w:pStyle w:val="Heading3"/>
        <w:keepNext/>
      </w:pPr>
      <w:r>
        <w:t>3.4.1 Environment Mappings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rFonts w:ascii="Arial" w:hAnsi="Arial" w:eastAsia="Arial"/>
                <w:b/>
                <w:sz w:val="17"/>
              </w:rPr>
              <w:t>EMH Environment</w:t>
            </w:r>
          </w:p>
        </w:tc>
        <w:tc>
          <w:tcPr>
            <w:tcW w:type="dxa" w:w="2045"/>
            <w:shd w:fill="D9EAF7"/>
            <w:vAlign w:val="center"/>
          </w:tcPr>
          <w:p>
            <w:r/>
            <w:r>
              <w:rPr>
                <w:rFonts w:ascii="Arial" w:hAnsi="Arial" w:eastAsia="Arial"/>
                <w:b/>
                <w:sz w:val="17"/>
              </w:rPr>
              <w:t>Mendix Runtime</w:t>
            </w:r>
          </w:p>
        </w:tc>
        <w:tc>
          <w:tcPr>
            <w:tcW w:type="dxa" w:w="2045"/>
            <w:shd w:fill="D9EAF7"/>
            <w:vAlign w:val="center"/>
          </w:tcPr>
          <w:p>
            <w:r/>
            <w:r>
              <w:rPr>
                <w:rFonts w:ascii="Arial" w:hAnsi="Arial" w:eastAsia="Arial"/>
                <w:b/>
                <w:sz w:val="17"/>
              </w:rPr>
              <w:t>IDAM</w:t>
            </w:r>
          </w:p>
        </w:tc>
        <w:tc>
          <w:tcPr>
            <w:tcW w:type="dxa" w:w="2045"/>
            <w:shd w:fill="D9EAF7"/>
            <w:vAlign w:val="center"/>
          </w:tcPr>
          <w:p>
            <w:r/>
            <w:r>
              <w:rPr>
                <w:rFonts w:ascii="Arial" w:hAnsi="Arial" w:eastAsia="Arial"/>
                <w:b/>
                <w:sz w:val="17"/>
              </w:rPr>
              <w:t>External APIs</w:t>
            </w:r>
          </w:p>
        </w:tc>
        <w:tc>
          <w:tcPr>
            <w:tcW w:type="dxa" w:w="2045"/>
            <w:shd w:fill="D9EAF7"/>
            <w:vAlign w:val="center"/>
          </w:tcPr>
          <w:p>
            <w:r/>
            <w:r>
              <w:rPr>
                <w:rFonts w:ascii="Arial" w:hAnsi="Arial" w:eastAsia="Arial"/>
                <w:b/>
                <w:sz w:val="17"/>
              </w:rPr>
              <w:t>Monitoring</w:t>
            </w:r>
          </w:p>
        </w:tc>
      </w:tr>
      <w:tr>
        <w:tc>
          <w:tcPr>
            <w:tcW w:type="dxa" w:w="2045"/>
            <w:vAlign w:val="top"/>
          </w:tcPr>
          <w:p>
            <w:r/>
            <w:r>
              <w:rPr>
                <w:rFonts w:ascii="Arial" w:hAnsi="Arial" w:eastAsia="Arial"/>
                <w:b w:val="0"/>
                <w:sz w:val="17"/>
              </w:rPr>
              <w:t>Development</w:t>
            </w:r>
          </w:p>
        </w:tc>
        <w:tc>
          <w:tcPr>
            <w:tcW w:type="dxa" w:w="2045"/>
            <w:vAlign w:val="top"/>
          </w:tcPr>
          <w:p>
            <w:r/>
            <w:r>
              <w:rPr>
                <w:rFonts w:ascii="Arial" w:hAnsi="Arial" w:eastAsia="Arial"/>
                <w:b w:val="0"/>
                <w:sz w:val="17"/>
              </w:rPr>
              <w:t>On-prem dev runtime</w:t>
            </w:r>
          </w:p>
        </w:tc>
        <w:tc>
          <w:tcPr>
            <w:tcW w:type="dxa" w:w="2045"/>
            <w:vAlign w:val="top"/>
          </w:tcPr>
          <w:p>
            <w:r/>
            <w:r>
              <w:rPr>
                <w:rFonts w:ascii="Arial" w:hAnsi="Arial" w:eastAsia="Arial"/>
                <w:b w:val="0"/>
                <w:sz w:val="17"/>
              </w:rPr>
              <w:t>IDAM sandbox/test if available</w:t>
            </w:r>
          </w:p>
        </w:tc>
        <w:tc>
          <w:tcPr>
            <w:tcW w:type="dxa" w:w="2045"/>
            <w:vAlign w:val="top"/>
          </w:tcPr>
          <w:p>
            <w:r/>
            <w:r>
              <w:rPr>
                <w:rFonts w:ascii="Arial" w:hAnsi="Arial" w:eastAsia="Arial"/>
                <w:b w:val="0"/>
                <w:sz w:val="17"/>
              </w:rPr>
              <w:t>Mock/test APIs</w:t>
            </w:r>
          </w:p>
        </w:tc>
        <w:tc>
          <w:tcPr>
            <w:tcW w:type="dxa" w:w="2045"/>
            <w:vAlign w:val="top"/>
          </w:tcPr>
          <w:p>
            <w:r/>
            <w:r>
              <w:rPr>
                <w:rFonts w:ascii="Arial" w:hAnsi="Arial" w:eastAsia="Arial"/>
                <w:b w:val="0"/>
                <w:sz w:val="17"/>
              </w:rPr>
              <w:t>Developer logs / AppDynamics if available.</w:t>
            </w:r>
          </w:p>
        </w:tc>
      </w:tr>
      <w:tr>
        <w:tc>
          <w:tcPr>
            <w:tcW w:type="dxa" w:w="2045"/>
            <w:vAlign w:val="top"/>
          </w:tcPr>
          <w:p>
            <w:r/>
            <w:r>
              <w:rPr>
                <w:rFonts w:ascii="Arial" w:hAnsi="Arial" w:eastAsia="Arial"/>
                <w:b w:val="0"/>
                <w:sz w:val="17"/>
              </w:rPr>
              <w:t>SIT</w:t>
            </w:r>
          </w:p>
        </w:tc>
        <w:tc>
          <w:tcPr>
            <w:tcW w:type="dxa" w:w="2045"/>
            <w:vAlign w:val="top"/>
          </w:tcPr>
          <w:p>
            <w:r/>
            <w:r>
              <w:rPr>
                <w:rFonts w:ascii="Arial" w:hAnsi="Arial" w:eastAsia="Arial"/>
                <w:b w:val="0"/>
                <w:sz w:val="17"/>
              </w:rPr>
              <w:t>On-prem SIT runtime</w:t>
            </w:r>
          </w:p>
        </w:tc>
        <w:tc>
          <w:tcPr>
            <w:tcW w:type="dxa" w:w="2045"/>
            <w:vAlign w:val="top"/>
          </w:tcPr>
          <w:p>
            <w:r/>
            <w:r>
              <w:rPr>
                <w:rFonts w:ascii="Arial" w:hAnsi="Arial" w:eastAsia="Arial"/>
                <w:b w:val="0"/>
                <w:sz w:val="17"/>
              </w:rPr>
              <w:t>IDAM test</w:t>
            </w:r>
          </w:p>
        </w:tc>
        <w:tc>
          <w:tcPr>
            <w:tcW w:type="dxa" w:w="2045"/>
            <w:vAlign w:val="top"/>
          </w:tcPr>
          <w:p>
            <w:r/>
            <w:r>
              <w:rPr>
                <w:rFonts w:ascii="Arial" w:hAnsi="Arial" w:eastAsia="Arial"/>
                <w:b w:val="0"/>
                <w:sz w:val="17"/>
              </w:rPr>
              <w:t>SIT APIs</w:t>
            </w:r>
          </w:p>
        </w:tc>
        <w:tc>
          <w:tcPr>
            <w:tcW w:type="dxa" w:w="2045"/>
            <w:vAlign w:val="top"/>
          </w:tcPr>
          <w:p>
            <w:r/>
            <w:r>
              <w:rPr>
                <w:rFonts w:ascii="Arial" w:hAnsi="Arial" w:eastAsia="Arial"/>
                <w:b w:val="0"/>
                <w:sz w:val="17"/>
              </w:rPr>
              <w:t>AppDynamics non-prod monitoring.</w:t>
            </w:r>
          </w:p>
        </w:tc>
      </w:tr>
      <w:tr>
        <w:tc>
          <w:tcPr>
            <w:tcW w:type="dxa" w:w="2045"/>
            <w:vAlign w:val="top"/>
          </w:tcPr>
          <w:p>
            <w:r/>
            <w:r>
              <w:rPr>
                <w:rFonts w:ascii="Arial" w:hAnsi="Arial" w:eastAsia="Arial"/>
                <w:b w:val="0"/>
                <w:sz w:val="17"/>
              </w:rPr>
              <w:t>UAT</w:t>
            </w:r>
          </w:p>
        </w:tc>
        <w:tc>
          <w:tcPr>
            <w:tcW w:type="dxa" w:w="2045"/>
            <w:vAlign w:val="top"/>
          </w:tcPr>
          <w:p>
            <w:r/>
            <w:r>
              <w:rPr>
                <w:rFonts w:ascii="Arial" w:hAnsi="Arial" w:eastAsia="Arial"/>
                <w:b w:val="0"/>
                <w:sz w:val="17"/>
              </w:rPr>
              <w:t>On-prem UAT runtime</w:t>
            </w:r>
          </w:p>
        </w:tc>
        <w:tc>
          <w:tcPr>
            <w:tcW w:type="dxa" w:w="2045"/>
            <w:vAlign w:val="top"/>
          </w:tcPr>
          <w:p>
            <w:r/>
            <w:r>
              <w:rPr>
                <w:rFonts w:ascii="Arial" w:hAnsi="Arial" w:eastAsia="Arial"/>
                <w:b w:val="0"/>
                <w:sz w:val="17"/>
              </w:rPr>
              <w:t>IDAM UAT</w:t>
            </w:r>
          </w:p>
        </w:tc>
        <w:tc>
          <w:tcPr>
            <w:tcW w:type="dxa" w:w="2045"/>
            <w:vAlign w:val="top"/>
          </w:tcPr>
          <w:p>
            <w:r/>
            <w:r>
              <w:rPr>
                <w:rFonts w:ascii="Arial" w:hAnsi="Arial" w:eastAsia="Arial"/>
                <w:b w:val="0"/>
                <w:sz w:val="17"/>
              </w:rPr>
              <w:t>UAT APIs</w:t>
            </w:r>
          </w:p>
        </w:tc>
        <w:tc>
          <w:tcPr>
            <w:tcW w:type="dxa" w:w="2045"/>
            <w:vAlign w:val="top"/>
          </w:tcPr>
          <w:p>
            <w:r/>
            <w:r>
              <w:rPr>
                <w:rFonts w:ascii="Arial" w:hAnsi="Arial" w:eastAsia="Arial"/>
                <w:b w:val="0"/>
                <w:sz w:val="17"/>
              </w:rPr>
              <w:t>AppDynamics non-prod monitoring.</w:t>
            </w:r>
          </w:p>
        </w:tc>
      </w:tr>
      <w:tr>
        <w:tc>
          <w:tcPr>
            <w:tcW w:type="dxa" w:w="2045"/>
            <w:vAlign w:val="top"/>
          </w:tcPr>
          <w:p>
            <w:r/>
            <w:r>
              <w:rPr>
                <w:rFonts w:ascii="Arial" w:hAnsi="Arial" w:eastAsia="Arial"/>
                <w:b w:val="0"/>
                <w:sz w:val="17"/>
              </w:rPr>
              <w:t>Pre-Production</w:t>
            </w:r>
          </w:p>
        </w:tc>
        <w:tc>
          <w:tcPr>
            <w:tcW w:type="dxa" w:w="2045"/>
            <w:vAlign w:val="top"/>
          </w:tcPr>
          <w:p>
            <w:r/>
            <w:r>
              <w:rPr>
                <w:rFonts w:ascii="Arial" w:hAnsi="Arial" w:eastAsia="Arial"/>
                <w:b w:val="0"/>
                <w:sz w:val="17"/>
              </w:rPr>
              <w:t>Production-like runtime</w:t>
            </w:r>
          </w:p>
        </w:tc>
        <w:tc>
          <w:tcPr>
            <w:tcW w:type="dxa" w:w="2045"/>
            <w:vAlign w:val="top"/>
          </w:tcPr>
          <w:p>
            <w:r/>
            <w:r>
              <w:rPr>
                <w:rFonts w:ascii="Arial" w:hAnsi="Arial" w:eastAsia="Arial"/>
                <w:b w:val="0"/>
                <w:sz w:val="17"/>
              </w:rPr>
              <w:t>Pre-prod IDAM</w:t>
            </w:r>
          </w:p>
        </w:tc>
        <w:tc>
          <w:tcPr>
            <w:tcW w:type="dxa" w:w="2045"/>
            <w:vAlign w:val="top"/>
          </w:tcPr>
          <w:p>
            <w:r/>
            <w:r>
              <w:rPr>
                <w:rFonts w:ascii="Arial" w:hAnsi="Arial" w:eastAsia="Arial"/>
                <w:b w:val="0"/>
                <w:sz w:val="17"/>
              </w:rPr>
              <w:t>Pre-prod APIs</w:t>
            </w:r>
          </w:p>
        </w:tc>
        <w:tc>
          <w:tcPr>
            <w:tcW w:type="dxa" w:w="2045"/>
            <w:vAlign w:val="top"/>
          </w:tcPr>
          <w:p>
            <w:r/>
            <w:r>
              <w:rPr>
                <w:rFonts w:ascii="Arial" w:hAnsi="Arial" w:eastAsia="Arial"/>
                <w:b w:val="0"/>
                <w:sz w:val="17"/>
              </w:rPr>
              <w:t>Production-like monitoring and alerts.</w:t>
            </w:r>
          </w:p>
        </w:tc>
      </w:tr>
      <w:tr>
        <w:tc>
          <w:tcPr>
            <w:tcW w:type="dxa" w:w="2045"/>
            <w:vAlign w:val="top"/>
          </w:tcPr>
          <w:p>
            <w:r/>
            <w:r>
              <w:rPr>
                <w:rFonts w:ascii="Arial" w:hAnsi="Arial" w:eastAsia="Arial"/>
                <w:b w:val="0"/>
                <w:sz w:val="17"/>
              </w:rPr>
              <w:t>Production</w:t>
            </w:r>
          </w:p>
        </w:tc>
        <w:tc>
          <w:tcPr>
            <w:tcW w:type="dxa" w:w="2045"/>
            <w:vAlign w:val="top"/>
          </w:tcPr>
          <w:p>
            <w:r/>
            <w:r>
              <w:rPr>
                <w:rFonts w:ascii="Arial" w:hAnsi="Arial" w:eastAsia="Arial"/>
                <w:b w:val="0"/>
                <w:sz w:val="17"/>
              </w:rPr>
              <w:t>On-prem production runtime</w:t>
            </w:r>
          </w:p>
        </w:tc>
        <w:tc>
          <w:tcPr>
            <w:tcW w:type="dxa" w:w="2045"/>
            <w:vAlign w:val="top"/>
          </w:tcPr>
          <w:p>
            <w:r/>
            <w:r>
              <w:rPr>
                <w:rFonts w:ascii="Arial" w:hAnsi="Arial" w:eastAsia="Arial"/>
                <w:b w:val="0"/>
                <w:sz w:val="17"/>
              </w:rPr>
              <w:t>Production IDAM</w:t>
            </w:r>
          </w:p>
        </w:tc>
        <w:tc>
          <w:tcPr>
            <w:tcW w:type="dxa" w:w="2045"/>
            <w:vAlign w:val="top"/>
          </w:tcPr>
          <w:p>
            <w:r/>
            <w:r>
              <w:rPr>
                <w:rFonts w:ascii="Arial" w:hAnsi="Arial" w:eastAsia="Arial"/>
                <w:b w:val="0"/>
                <w:sz w:val="17"/>
              </w:rPr>
              <w:t>Production APIs</w:t>
            </w:r>
          </w:p>
        </w:tc>
        <w:tc>
          <w:tcPr>
            <w:tcW w:type="dxa" w:w="2045"/>
            <w:vAlign w:val="top"/>
          </w:tcPr>
          <w:p>
            <w:r/>
            <w:r>
              <w:rPr>
                <w:rFonts w:ascii="Arial" w:hAnsi="Arial" w:eastAsia="Arial"/>
                <w:b w:val="0"/>
                <w:sz w:val="17"/>
              </w:rPr>
              <w:t>AppDynamics production monitoring/logging.</w:t>
            </w:r>
          </w:p>
        </w:tc>
      </w:tr>
      <w:tr>
        <w:tc>
          <w:tcPr>
            <w:tcW w:type="dxa" w:w="2045"/>
            <w:vAlign w:val="top"/>
          </w:tcPr>
          <w:p>
            <w:r/>
            <w:r>
              <w:rPr>
                <w:rFonts w:ascii="Arial" w:hAnsi="Arial" w:eastAsia="Arial"/>
                <w:b w:val="0"/>
                <w:sz w:val="17"/>
              </w:rPr>
              <w:t>DR</w:t>
            </w:r>
          </w:p>
        </w:tc>
        <w:tc>
          <w:tcPr>
            <w:tcW w:type="dxa" w:w="2045"/>
            <w:vAlign w:val="top"/>
          </w:tcPr>
          <w:p>
            <w:r/>
            <w:r>
              <w:rPr>
                <w:rFonts w:ascii="Arial" w:hAnsi="Arial" w:eastAsia="Arial"/>
                <w:b w:val="0"/>
                <w:sz w:val="17"/>
              </w:rPr>
              <w:t>Redeploy or pre-provisioned DR runtime TBD</w:t>
            </w:r>
          </w:p>
        </w:tc>
        <w:tc>
          <w:tcPr>
            <w:tcW w:type="dxa" w:w="2045"/>
            <w:vAlign w:val="top"/>
          </w:tcPr>
          <w:p>
            <w:r/>
            <w:r>
              <w:rPr>
                <w:rFonts w:ascii="Arial" w:hAnsi="Arial" w:eastAsia="Arial"/>
                <w:b w:val="0"/>
                <w:sz w:val="17"/>
              </w:rPr>
              <w:t>Production/DR IDAM pattern TBD</w:t>
            </w:r>
          </w:p>
        </w:tc>
        <w:tc>
          <w:tcPr>
            <w:tcW w:type="dxa" w:w="2045"/>
            <w:vAlign w:val="top"/>
          </w:tcPr>
          <w:p>
            <w:r/>
            <w:r>
              <w:rPr>
                <w:rFonts w:ascii="Arial" w:hAnsi="Arial" w:eastAsia="Arial"/>
                <w:b w:val="0"/>
                <w:sz w:val="17"/>
              </w:rPr>
              <w:t>DR-capable APIs TBD</w:t>
            </w:r>
          </w:p>
        </w:tc>
        <w:tc>
          <w:tcPr>
            <w:tcW w:type="dxa" w:w="2045"/>
            <w:vAlign w:val="top"/>
          </w:tcPr>
          <w:p>
            <w:r/>
            <w:r>
              <w:rPr>
                <w:rFonts w:ascii="Arial" w:hAnsi="Arial" w:eastAsia="Arial"/>
                <w:b w:val="0"/>
                <w:sz w:val="17"/>
              </w:rPr>
              <w:t>DR monitoring TBD.</w:t>
            </w:r>
          </w:p>
        </w:tc>
      </w:tr>
    </w:tbl>
    <w:p/>
    <w:p>
      <w:pPr>
        <w:pStyle w:val="Heading2"/>
        <w:keepNext/>
      </w:pPr>
      <w:r>
        <w:t>UAE Government Compliance Considerations</w:t>
      </w:r>
    </w:p>
    <w:p>
      <w:pPr>
        <w:pStyle w:val="ListBullet"/>
      </w:pPr>
      <w:r>
        <w:t>Mendix page security must be complemented by entity access and microflow security.</w:t>
      </w:r>
    </w:p>
    <w:p>
      <w:pPr>
        <w:pStyle w:val="ListBullet"/>
      </w:pPr>
      <w:r>
        <w:t>SAML assertions, session IDs, tokens, and identity claims must not be logged.</w:t>
      </w:r>
    </w:p>
    <w:p>
      <w:pPr>
        <w:pStyle w:val="ListBullet"/>
      </w:pPr>
      <w:r>
        <w:t>Patient, identity, and payment data must be displayed only and not persisted unless approved.</w:t>
      </w:r>
    </w:p>
    <w:p>
      <w:pPr>
        <w:pStyle w:val="ListBullet"/>
      </w:pPr>
      <w:r>
        <w:t>Any export capability must be disabled by default and explicitly approved per role/action.</w:t>
      </w:r>
    </w:p>
    <w:p>
      <w:pPr>
        <w:pStyle w:val="Heading2"/>
        <w:keepNext/>
      </w:pPr>
      <w:r>
        <w:t>Recommendations</w:t>
      </w:r>
    </w:p>
    <w:p>
      <w:pPr>
        <w:pStyle w:val="ListBullet"/>
      </w:pPr>
      <w:r>
        <w:t>Create a Mendix module dependency diagram.</w:t>
      </w:r>
    </w:p>
    <w:p>
      <w:pPr>
        <w:pStyle w:val="ListBullet"/>
      </w:pPr>
      <w:r>
        <w:t>Create SAML authentication and logout sequence diagrams.</w:t>
      </w:r>
    </w:p>
    <w:p>
      <w:pPr>
        <w:pStyle w:val="ListBullet"/>
      </w:pPr>
      <w:r>
        <w:t>Create permission resolution flow diagram.</w:t>
      </w:r>
    </w:p>
    <w:p>
      <w:pPr>
        <w:pStyle w:val="ListBullet"/>
      </w:pPr>
      <w:r>
        <w:t>Create external API integration flow diagram.</w:t>
      </w:r>
    </w:p>
    <w:p>
      <w:pPr>
        <w:pStyle w:val="ListBullet"/>
      </w:pPr>
      <w:r>
        <w:t>Create audit event flow diagram.</w:t>
      </w:r>
    </w:p>
    <w:p>
      <w:r>
        <w:br w:type="page"/>
      </w:r>
    </w:p>
    <w:p>
      <w:pPr>
        <w:pStyle w:val="Heading1"/>
        <w:keepNext/>
      </w:pPr>
      <w:r>
        <w:t>4. Technical Architecture</w:t>
      </w:r>
    </w:p>
    <w:p>
      <w:pPr>
        <w:pStyle w:val="Heading2"/>
        <w:keepNext/>
      </w:pPr>
      <w:r>
        <w:t>Original Section Summary</w:t>
      </w:r>
    </w:p>
    <w:p>
      <w:r>
        <w:t>The original technical architecture described cloud deployment, Angular/.NET technology stack, high availability, backup/recovery, disaster recovery, logging/monitoring, DevSecOps, and performance practices using .NET, SQL Server, Serilog, Azure Monitor/Application Insights, AppDynamics as future scope, and Angular frontend optimization.</w:t>
      </w:r>
    </w:p>
    <w:p>
      <w:pPr>
        <w:pStyle w:val="Heading2"/>
        <w:keepNext/>
      </w:pPr>
      <w:r>
        <w:t>Issues with Current Design</w:t>
      </w:r>
    </w:p>
    <w:p>
      <w:pPr>
        <w:pStyle w:val="ListBullet"/>
      </w:pPr>
      <w:r>
        <w:t>Cloud deployment view must be replaced with on-premises Mendix deployment view.</w:t>
      </w:r>
    </w:p>
    <w:p>
      <w:pPr>
        <w:pStyle w:val="ListBullet"/>
      </w:pPr>
      <w:r>
        <w:t>Angular/.NET technology landscape must be replaced with Mendix runtime, Mendix database, SAML, REST, on-premises infrastructure, and AppDynamics.</w:t>
      </w:r>
    </w:p>
    <w:p>
      <w:pPr>
        <w:pStyle w:val="ListBullet"/>
      </w:pPr>
      <w:r>
        <w:t>Serilog/Azure Monitor implementation must be replaced or reframed as Mendix/AppDynamics/on-premises logging architecture.</w:t>
      </w:r>
    </w:p>
    <w:p>
      <w:pPr>
        <w:pStyle w:val="ListBullet"/>
      </w:pPr>
      <w:r>
        <w:t>Backend/frontend performance practices must be converted to Mendix-specific page, microflow, entity, database, and integration performance practices.</w:t>
      </w:r>
    </w:p>
    <w:p>
      <w:pPr>
        <w:pStyle w:val="Heading2"/>
        <w:keepNext/>
      </w:pPr>
      <w:r>
        <w:t>4.1 Implementation &amp; Deployment View</w:t>
      </w:r>
    </w:p>
    <w:p>
      <w:r>
        <w:t>EMH shall be deployed as an on-premises Mendix application within the approved government infrastructure boundary. The deployment model shall be confirmed by Infrastructure, Enterprise Architecture, Information Security, and the Mendix Platform Owner. The design should support segregation of environments, controlled release management, secure configuration, backup, monitoring, and disaster recovery.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Layer</w:t>
            </w:r>
          </w:p>
        </w:tc>
        <w:tc>
          <w:tcPr>
            <w:tcW w:type="dxa" w:w="3408"/>
            <w:shd w:fill="D9EAF7"/>
            <w:vAlign w:val="center"/>
          </w:tcPr>
          <w:p>
            <w:r/>
            <w:r>
              <w:rPr>
                <w:rFonts w:ascii="Arial" w:hAnsi="Arial" w:eastAsia="Arial"/>
                <w:b/>
                <w:sz w:val="17"/>
              </w:rPr>
              <w:t>Technology / Platform Direction</w:t>
            </w:r>
          </w:p>
        </w:tc>
        <w:tc>
          <w:tcPr>
            <w:tcW w:type="dxa" w:w="3408"/>
            <w:shd w:fill="D9EAF7"/>
            <w:vAlign w:val="center"/>
          </w:tcPr>
          <w:p>
            <w:r/>
            <w:r>
              <w:rPr>
                <w:rFonts w:ascii="Arial" w:hAnsi="Arial" w:eastAsia="Arial"/>
                <w:b/>
                <w:sz w:val="17"/>
              </w:rPr>
              <w:t>Notes</w:t>
            </w:r>
          </w:p>
        </w:tc>
      </w:tr>
      <w:tr>
        <w:tc>
          <w:tcPr>
            <w:tcW w:type="dxa" w:w="3408"/>
            <w:vAlign w:val="top"/>
          </w:tcPr>
          <w:p>
            <w:r/>
            <w:r>
              <w:rPr>
                <w:rFonts w:ascii="Arial" w:hAnsi="Arial" w:eastAsia="Arial"/>
                <w:b w:val="0"/>
                <w:sz w:val="17"/>
              </w:rPr>
              <w:t>User Access</w:t>
            </w:r>
          </w:p>
        </w:tc>
        <w:tc>
          <w:tcPr>
            <w:tcW w:type="dxa" w:w="3408"/>
            <w:vAlign w:val="top"/>
          </w:tcPr>
          <w:p>
            <w:r/>
            <w:r>
              <w:rPr>
                <w:rFonts w:ascii="Arial" w:hAnsi="Arial" w:eastAsia="Arial"/>
                <w:b w:val="0"/>
                <w:sz w:val="17"/>
              </w:rPr>
              <w:t>Internal browser access over HTTPS</w:t>
            </w:r>
          </w:p>
        </w:tc>
        <w:tc>
          <w:tcPr>
            <w:tcW w:type="dxa" w:w="3408"/>
            <w:vAlign w:val="top"/>
          </w:tcPr>
          <w:p>
            <w:r/>
            <w:r>
              <w:rPr>
                <w:rFonts w:ascii="Arial" w:hAnsi="Arial" w:eastAsia="Arial"/>
                <w:b w:val="0"/>
                <w:sz w:val="17"/>
              </w:rPr>
              <w:t>Accessible only through approved network path / reverse proxy / load balancer.</w:t>
            </w:r>
          </w:p>
        </w:tc>
      </w:tr>
      <w:tr>
        <w:tc>
          <w:tcPr>
            <w:tcW w:type="dxa" w:w="3408"/>
            <w:vAlign w:val="top"/>
          </w:tcPr>
          <w:p>
            <w:r/>
            <w:r>
              <w:rPr>
                <w:rFonts w:ascii="Arial" w:hAnsi="Arial" w:eastAsia="Arial"/>
                <w:b w:val="0"/>
                <w:sz w:val="17"/>
              </w:rPr>
              <w:t>Application Runtime</w:t>
            </w:r>
          </w:p>
        </w:tc>
        <w:tc>
          <w:tcPr>
            <w:tcW w:type="dxa" w:w="3408"/>
            <w:vAlign w:val="top"/>
          </w:tcPr>
          <w:p>
            <w:r/>
            <w:r>
              <w:rPr>
                <w:rFonts w:ascii="Arial" w:hAnsi="Arial" w:eastAsia="Arial"/>
                <w:b w:val="0"/>
                <w:sz w:val="17"/>
              </w:rPr>
              <w:t>Mendix Runtime on-premises</w:t>
            </w:r>
          </w:p>
        </w:tc>
        <w:tc>
          <w:tcPr>
            <w:tcW w:type="dxa" w:w="3408"/>
            <w:vAlign w:val="top"/>
          </w:tcPr>
          <w:p>
            <w:r/>
            <w:r>
              <w:rPr>
                <w:rFonts w:ascii="Arial" w:hAnsi="Arial" w:eastAsia="Arial"/>
                <w:b w:val="0"/>
                <w:sz w:val="17"/>
              </w:rPr>
              <w:t>Topology TBD: VM, containerized runtime, or clustered deployment.</w:t>
            </w:r>
          </w:p>
        </w:tc>
      </w:tr>
      <w:tr>
        <w:tc>
          <w:tcPr>
            <w:tcW w:type="dxa" w:w="3408"/>
            <w:vAlign w:val="top"/>
          </w:tcPr>
          <w:p>
            <w:r/>
            <w:r>
              <w:rPr>
                <w:rFonts w:ascii="Arial" w:hAnsi="Arial" w:eastAsia="Arial"/>
                <w:b w:val="0"/>
                <w:sz w:val="17"/>
              </w:rPr>
              <w:t>Identity</w:t>
            </w:r>
          </w:p>
        </w:tc>
        <w:tc>
          <w:tcPr>
            <w:tcW w:type="dxa" w:w="3408"/>
            <w:vAlign w:val="top"/>
          </w:tcPr>
          <w:p>
            <w:r/>
            <w:r>
              <w:rPr>
                <w:rFonts w:ascii="Arial" w:hAnsi="Arial" w:eastAsia="Arial"/>
                <w:b w:val="0"/>
                <w:sz w:val="17"/>
              </w:rPr>
              <w:t>Enterprise IDAM via SAML SSO</w:t>
            </w:r>
          </w:p>
        </w:tc>
        <w:tc>
          <w:tcPr>
            <w:tcW w:type="dxa" w:w="3408"/>
            <w:vAlign w:val="top"/>
          </w:tcPr>
          <w:p>
            <w:r/>
            <w:r>
              <w:rPr>
                <w:rFonts w:ascii="Arial" w:hAnsi="Arial" w:eastAsia="Arial"/>
                <w:b w:val="0"/>
                <w:sz w:val="17"/>
              </w:rPr>
              <w:t>UAE Pass through approved identity layer if required.</w:t>
            </w:r>
          </w:p>
        </w:tc>
      </w:tr>
      <w:tr>
        <w:tc>
          <w:tcPr>
            <w:tcW w:type="dxa" w:w="3408"/>
            <w:vAlign w:val="top"/>
          </w:tcPr>
          <w:p>
            <w:r/>
            <w:r>
              <w:rPr>
                <w:rFonts w:ascii="Arial" w:hAnsi="Arial" w:eastAsia="Arial"/>
                <w:b w:val="0"/>
                <w:sz w:val="17"/>
              </w:rPr>
              <w:t>Database</w:t>
            </w:r>
          </w:p>
        </w:tc>
        <w:tc>
          <w:tcPr>
            <w:tcW w:type="dxa" w:w="3408"/>
            <w:vAlign w:val="top"/>
          </w:tcPr>
          <w:p>
            <w:r/>
            <w:r>
              <w:rPr>
                <w:rFonts w:ascii="Arial" w:hAnsi="Arial" w:eastAsia="Arial"/>
                <w:b w:val="0"/>
                <w:sz w:val="17"/>
              </w:rPr>
              <w:t>Mendix-supported on-premises database</w:t>
            </w:r>
          </w:p>
        </w:tc>
        <w:tc>
          <w:tcPr>
            <w:tcW w:type="dxa" w:w="3408"/>
            <w:vAlign w:val="top"/>
          </w:tcPr>
          <w:p>
            <w:r/>
            <w:r>
              <w:rPr>
                <w:rFonts w:ascii="Arial" w:hAnsi="Arial" w:eastAsia="Arial"/>
                <w:b w:val="0"/>
                <w:sz w:val="17"/>
              </w:rPr>
              <w:t>Exact DB technology and HA pattern to be confirmed.</w:t>
            </w:r>
          </w:p>
        </w:tc>
      </w:tr>
      <w:tr>
        <w:tc>
          <w:tcPr>
            <w:tcW w:type="dxa" w:w="3408"/>
            <w:vAlign w:val="top"/>
          </w:tcPr>
          <w:p>
            <w:r/>
            <w:r>
              <w:rPr>
                <w:rFonts w:ascii="Arial" w:hAnsi="Arial" w:eastAsia="Arial"/>
                <w:b w:val="0"/>
                <w:sz w:val="17"/>
              </w:rPr>
              <w:t>Integration</w:t>
            </w:r>
          </w:p>
        </w:tc>
        <w:tc>
          <w:tcPr>
            <w:tcW w:type="dxa" w:w="3408"/>
            <w:vAlign w:val="top"/>
          </w:tcPr>
          <w:p>
            <w:r/>
            <w:r>
              <w:rPr>
                <w:rFonts w:ascii="Arial" w:hAnsi="Arial" w:eastAsia="Arial"/>
                <w:b w:val="0"/>
                <w:sz w:val="17"/>
              </w:rPr>
              <w:t>HTTPS REST APIs through approved network/security controls</w:t>
            </w:r>
          </w:p>
        </w:tc>
        <w:tc>
          <w:tcPr>
            <w:tcW w:type="dxa" w:w="3408"/>
            <w:vAlign w:val="top"/>
          </w:tcPr>
          <w:p>
            <w:r/>
            <w:r>
              <w:rPr>
                <w:rFonts w:ascii="Arial" w:hAnsi="Arial" w:eastAsia="Arial"/>
                <w:b w:val="0"/>
                <w:sz w:val="17"/>
              </w:rPr>
              <w:t>No direct external DB access.</w:t>
            </w:r>
          </w:p>
        </w:tc>
      </w:tr>
      <w:tr>
        <w:tc>
          <w:tcPr>
            <w:tcW w:type="dxa" w:w="3408"/>
            <w:vAlign w:val="top"/>
          </w:tcPr>
          <w:p>
            <w:r/>
            <w:r>
              <w:rPr>
                <w:rFonts w:ascii="Arial" w:hAnsi="Arial" w:eastAsia="Arial"/>
                <w:b w:val="0"/>
                <w:sz w:val="17"/>
              </w:rPr>
              <w:t>Secrets</w:t>
            </w:r>
          </w:p>
        </w:tc>
        <w:tc>
          <w:tcPr>
            <w:tcW w:type="dxa" w:w="3408"/>
            <w:vAlign w:val="top"/>
          </w:tcPr>
          <w:p>
            <w:r/>
            <w:r>
              <w:rPr>
                <w:rFonts w:ascii="Arial" w:hAnsi="Arial" w:eastAsia="Arial"/>
                <w:b w:val="0"/>
                <w:sz w:val="17"/>
              </w:rPr>
              <w:t>Approved enterprise secret store / secure runtime configuration</w:t>
            </w:r>
          </w:p>
        </w:tc>
        <w:tc>
          <w:tcPr>
            <w:tcW w:type="dxa" w:w="3408"/>
            <w:vAlign w:val="top"/>
          </w:tcPr>
          <w:p>
            <w:r/>
            <w:r>
              <w:rPr>
                <w:rFonts w:ascii="Arial" w:hAnsi="Arial" w:eastAsia="Arial"/>
                <w:b w:val="0"/>
                <w:sz w:val="17"/>
              </w:rPr>
              <w:t>No secrets in source control or plain configuration documents.</w:t>
            </w:r>
          </w:p>
        </w:tc>
      </w:tr>
      <w:tr>
        <w:tc>
          <w:tcPr>
            <w:tcW w:type="dxa" w:w="3408"/>
            <w:vAlign w:val="top"/>
          </w:tcPr>
          <w:p>
            <w:r/>
            <w:r>
              <w:rPr>
                <w:rFonts w:ascii="Arial" w:hAnsi="Arial" w:eastAsia="Arial"/>
                <w:b w:val="0"/>
                <w:sz w:val="17"/>
              </w:rPr>
              <w:t>Monitoring</w:t>
            </w:r>
          </w:p>
        </w:tc>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APM, logs, dependency monitoring, dashboards, alerts.</w:t>
            </w:r>
          </w:p>
        </w:tc>
      </w:tr>
    </w:tbl>
    <w:p/>
    <w:p>
      <w:pPr>
        <w:pStyle w:val="Heading3"/>
        <w:keepNext/>
      </w:pPr>
      <w:r>
        <w:t>4.1.1 Cloud Deployment View</w:t>
      </w:r>
    </w:p>
    <w:p>
      <w:r>
        <w:t>The original cloud deployment view is not applicable because the confirmed direction is on-premises. This section shall be replaced by an On-Premises Deployment View. If private cloud or government cloud becomes relevant later, a separate deployment pattern shall be reviewed and approved.</w:t>
      </w:r>
    </w:p>
    <w:p>
      <w:pPr>
        <w:pStyle w:val="Heading4"/>
        <w:keepNext/>
      </w:pPr>
      <w:r>
        <w:t>On-Premises Deployment View — Proposed</w:t>
      </w:r>
    </w:p>
    <w:p>
      <w:pPr>
        <w:pStyle w:val="ListNumber"/>
      </w:pPr>
      <w:r>
        <w:t>User browser connects to the approved internal URL over HTTPS.</w:t>
      </w:r>
    </w:p>
    <w:p>
      <w:pPr>
        <w:pStyle w:val="ListNumber"/>
      </w:pPr>
      <w:r>
        <w:t>Traffic is routed through approved network controls such as firewall, reverse proxy, WAF, or load balancer as applicable.</w:t>
      </w:r>
    </w:p>
    <w:p>
      <w:pPr>
        <w:pStyle w:val="ListNumber"/>
      </w:pPr>
      <w:r>
        <w:t>The Mendix runtime hosts the EMH application modules.</w:t>
      </w:r>
    </w:p>
    <w:p>
      <w:pPr>
        <w:pStyle w:val="ListNumber"/>
      </w:pPr>
      <w:r>
        <w:t>The runtime connects to the EMH application database for EMH-owned persistent data only.</w:t>
      </w:r>
    </w:p>
    <w:p>
      <w:pPr>
        <w:pStyle w:val="ListNumber"/>
      </w:pPr>
      <w:r>
        <w:t>The runtime integrates with enterprise IDAM using SAML.</w:t>
      </w:r>
    </w:p>
    <w:p>
      <w:pPr>
        <w:pStyle w:val="ListNumber"/>
      </w:pPr>
      <w:r>
        <w:t>The runtime calls approved external REST APIs through controlled network routes.</w:t>
      </w:r>
    </w:p>
    <w:p>
      <w:pPr>
        <w:pStyle w:val="ListNumber"/>
      </w:pPr>
      <w:r>
        <w:t>AppDynamics monitors runtime performance, API dependencies, errors, logs, and alerts.</w:t>
      </w:r>
    </w:p>
    <w:p>
      <w:pPr>
        <w:pStyle w:val="Heading2"/>
        <w:keepNext/>
      </w:pPr>
      <w:r>
        <w:t>4.2 Technology Landscape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Area</w:t>
            </w:r>
          </w:p>
        </w:tc>
        <w:tc>
          <w:tcPr>
            <w:tcW w:type="dxa" w:w="3408"/>
            <w:shd w:fill="D9EAF7"/>
            <w:vAlign w:val="center"/>
          </w:tcPr>
          <w:p>
            <w:r/>
            <w:r>
              <w:rPr>
                <w:rFonts w:ascii="Arial" w:hAnsi="Arial" w:eastAsia="Arial"/>
                <w:b/>
                <w:sz w:val="17"/>
              </w:rPr>
              <w:t>Target Technology / Pattern</w:t>
            </w:r>
          </w:p>
        </w:tc>
        <w:tc>
          <w:tcPr>
            <w:tcW w:type="dxa" w:w="3408"/>
            <w:shd w:fill="D9EAF7"/>
            <w:vAlign w:val="center"/>
          </w:tcPr>
          <w:p>
            <w:r/>
            <w:r>
              <w:rPr>
                <w:rFonts w:ascii="Arial" w:hAnsi="Arial" w:eastAsia="Arial"/>
                <w:b/>
                <w:sz w:val="17"/>
              </w:rPr>
              <w:t>Status</w:t>
            </w:r>
          </w:p>
        </w:tc>
      </w:tr>
      <w:tr>
        <w:tc>
          <w:tcPr>
            <w:tcW w:type="dxa" w:w="3408"/>
            <w:vAlign w:val="top"/>
          </w:tcPr>
          <w:p>
            <w:r/>
            <w:r>
              <w:rPr>
                <w:rFonts w:ascii="Arial" w:hAnsi="Arial" w:eastAsia="Arial"/>
                <w:b w:val="0"/>
                <w:sz w:val="17"/>
              </w:rPr>
              <w:t>Application Platform</w:t>
            </w:r>
          </w:p>
        </w:tc>
        <w:tc>
          <w:tcPr>
            <w:tcW w:type="dxa" w:w="3408"/>
            <w:vAlign w:val="top"/>
          </w:tcPr>
          <w:p>
            <w:r/>
            <w:r>
              <w:rPr>
                <w:rFonts w:ascii="Arial" w:hAnsi="Arial" w:eastAsia="Arial"/>
                <w:b w:val="0"/>
                <w:sz w:val="17"/>
              </w:rPr>
              <w:t>Mendix Low-Code Platform</w:t>
            </w:r>
          </w:p>
        </w:tc>
        <w:tc>
          <w:tcPr>
            <w:tcW w:type="dxa" w:w="3408"/>
            <w:vAlign w:val="top"/>
          </w:tcPr>
          <w:p>
            <w:r/>
            <w:r>
              <w:rPr>
                <w:rFonts w:ascii="Arial" w:hAnsi="Arial" w:eastAsia="Arial"/>
                <w:b w:val="0"/>
                <w:sz w:val="17"/>
              </w:rPr>
              <w:t>Confirmed direction.</w:t>
            </w:r>
          </w:p>
        </w:tc>
      </w:tr>
      <w:tr>
        <w:tc>
          <w:tcPr>
            <w:tcW w:type="dxa" w:w="3408"/>
            <w:vAlign w:val="top"/>
          </w:tcPr>
          <w:p>
            <w:r/>
            <w:r>
              <w:rPr>
                <w:rFonts w:ascii="Arial" w:hAnsi="Arial" w:eastAsia="Arial"/>
                <w:b w:val="0"/>
                <w:sz w:val="17"/>
              </w:rPr>
              <w:t>Hosting</w:t>
            </w:r>
          </w:p>
        </w:tc>
        <w:tc>
          <w:tcPr>
            <w:tcW w:type="dxa" w:w="3408"/>
            <w:vAlign w:val="top"/>
          </w:tcPr>
          <w:p>
            <w:r/>
            <w:r>
              <w:rPr>
                <w:rFonts w:ascii="Arial" w:hAnsi="Arial" w:eastAsia="Arial"/>
                <w:b w:val="0"/>
                <w:sz w:val="17"/>
              </w:rPr>
              <w:t>On-premises government-approved infrastructure</w:t>
            </w:r>
          </w:p>
        </w:tc>
        <w:tc>
          <w:tcPr>
            <w:tcW w:type="dxa" w:w="3408"/>
            <w:vAlign w:val="top"/>
          </w:tcPr>
          <w:p>
            <w:r/>
            <w:r>
              <w:rPr>
                <w:rFonts w:ascii="Arial" w:hAnsi="Arial" w:eastAsia="Arial"/>
                <w:b w:val="0"/>
                <w:sz w:val="17"/>
              </w:rPr>
              <w:t>Confirmed direction.</w:t>
            </w:r>
          </w:p>
        </w:tc>
      </w:tr>
      <w:tr>
        <w:tc>
          <w:tcPr>
            <w:tcW w:type="dxa" w:w="3408"/>
            <w:vAlign w:val="top"/>
          </w:tcPr>
          <w:p>
            <w:r/>
            <w:r>
              <w:rPr>
                <w:rFonts w:ascii="Arial" w:hAnsi="Arial" w:eastAsia="Arial"/>
                <w:b w:val="0"/>
                <w:sz w:val="17"/>
              </w:rPr>
              <w:t>Authentication</w:t>
            </w:r>
          </w:p>
        </w:tc>
        <w:tc>
          <w:tcPr>
            <w:tcW w:type="dxa" w:w="3408"/>
            <w:vAlign w:val="top"/>
          </w:tcPr>
          <w:p>
            <w:r/>
            <w:r>
              <w:rPr>
                <w:rFonts w:ascii="Arial" w:hAnsi="Arial" w:eastAsia="Arial"/>
                <w:b w:val="0"/>
                <w:sz w:val="17"/>
              </w:rPr>
              <w:t>SAML SSO with enterprise IDAM</w:t>
            </w:r>
          </w:p>
        </w:tc>
        <w:tc>
          <w:tcPr>
            <w:tcW w:type="dxa" w:w="3408"/>
            <w:vAlign w:val="top"/>
          </w:tcPr>
          <w:p>
            <w:r/>
            <w:r>
              <w:rPr>
                <w:rFonts w:ascii="Arial" w:hAnsi="Arial" w:eastAsia="Arial"/>
                <w:b w:val="0"/>
                <w:sz w:val="17"/>
              </w:rPr>
              <w:t>Confirmed direction, details TBD.</w:t>
            </w:r>
          </w:p>
        </w:tc>
      </w:tr>
      <w:tr>
        <w:tc>
          <w:tcPr>
            <w:tcW w:type="dxa" w:w="3408"/>
            <w:vAlign w:val="top"/>
          </w:tcPr>
          <w:p>
            <w:r/>
            <w:r>
              <w:rPr>
                <w:rFonts w:ascii="Arial" w:hAnsi="Arial" w:eastAsia="Arial"/>
                <w:b w:val="0"/>
                <w:sz w:val="17"/>
              </w:rPr>
              <w:t>UAE Pass</w:t>
            </w:r>
          </w:p>
        </w:tc>
        <w:tc>
          <w:tcPr>
            <w:tcW w:type="dxa" w:w="3408"/>
            <w:vAlign w:val="top"/>
          </w:tcPr>
          <w:p>
            <w:r/>
            <w:r>
              <w:rPr>
                <w:rFonts w:ascii="Arial" w:hAnsi="Arial" w:eastAsia="Arial"/>
                <w:b w:val="0"/>
                <w:sz w:val="17"/>
              </w:rPr>
              <w:t>Through identity architecture if required</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Authorization</w:t>
            </w:r>
          </w:p>
        </w:tc>
        <w:tc>
          <w:tcPr>
            <w:tcW w:type="dxa" w:w="3408"/>
            <w:vAlign w:val="top"/>
          </w:tcPr>
          <w:p>
            <w:r/>
            <w:r>
              <w:rPr>
                <w:rFonts w:ascii="Arial" w:hAnsi="Arial" w:eastAsia="Arial"/>
                <w:b w:val="0"/>
                <w:sz w:val="17"/>
              </w:rPr>
              <w:t>Mendix security model + explicit permission checks</w:t>
            </w:r>
          </w:p>
        </w:tc>
        <w:tc>
          <w:tcPr>
            <w:tcW w:type="dxa" w:w="3408"/>
            <w:vAlign w:val="top"/>
          </w:tcPr>
          <w:p>
            <w:r/>
            <w:r>
              <w:rPr>
                <w:rFonts w:ascii="Arial" w:hAnsi="Arial" w:eastAsia="Arial"/>
                <w:b w:val="0"/>
                <w:sz w:val="17"/>
              </w:rPr>
              <w:t>Required.</w:t>
            </w:r>
          </w:p>
        </w:tc>
      </w:tr>
      <w:tr>
        <w:tc>
          <w:tcPr>
            <w:tcW w:type="dxa" w:w="3408"/>
            <w:vAlign w:val="top"/>
          </w:tcPr>
          <w:p>
            <w:r/>
            <w:r>
              <w:rPr>
                <w:rFonts w:ascii="Arial" w:hAnsi="Arial" w:eastAsia="Arial"/>
                <w:b w:val="0"/>
                <w:sz w:val="17"/>
              </w:rPr>
              <w:t>Integration</w:t>
            </w:r>
          </w:p>
        </w:tc>
        <w:tc>
          <w:tcPr>
            <w:tcW w:type="dxa" w:w="3408"/>
            <w:vAlign w:val="top"/>
          </w:tcPr>
          <w:p>
            <w:r/>
            <w:r>
              <w:rPr>
                <w:rFonts w:ascii="Arial" w:hAnsi="Arial" w:eastAsia="Arial"/>
                <w:b w:val="0"/>
                <w:sz w:val="17"/>
              </w:rPr>
              <w:t>Consumed REST APIs</w:t>
            </w:r>
          </w:p>
        </w:tc>
        <w:tc>
          <w:tcPr>
            <w:tcW w:type="dxa" w:w="3408"/>
            <w:vAlign w:val="top"/>
          </w:tcPr>
          <w:p>
            <w:r/>
            <w:r>
              <w:rPr>
                <w:rFonts w:ascii="Arial" w:hAnsi="Arial" w:eastAsia="Arial"/>
                <w:b w:val="0"/>
                <w:sz w:val="17"/>
              </w:rPr>
              <w:t>Required.</w:t>
            </w:r>
          </w:p>
        </w:tc>
      </w:tr>
      <w:tr>
        <w:tc>
          <w:tcPr>
            <w:tcW w:type="dxa" w:w="3408"/>
            <w:vAlign w:val="top"/>
          </w:tcPr>
          <w:p>
            <w:r/>
            <w:r>
              <w:rPr>
                <w:rFonts w:ascii="Arial" w:hAnsi="Arial" w:eastAsia="Arial"/>
                <w:b w:val="0"/>
                <w:sz w:val="17"/>
              </w:rPr>
              <w:t>Database</w:t>
            </w:r>
          </w:p>
        </w:tc>
        <w:tc>
          <w:tcPr>
            <w:tcW w:type="dxa" w:w="3408"/>
            <w:vAlign w:val="top"/>
          </w:tcPr>
          <w:p>
            <w:r/>
            <w:r>
              <w:rPr>
                <w:rFonts w:ascii="Arial" w:hAnsi="Arial" w:eastAsia="Arial"/>
                <w:b w:val="0"/>
                <w:sz w:val="17"/>
              </w:rPr>
              <w:t>Mendix-supported on-prem database</w:t>
            </w:r>
          </w:p>
        </w:tc>
        <w:tc>
          <w:tcPr>
            <w:tcW w:type="dxa" w:w="3408"/>
            <w:vAlign w:val="top"/>
          </w:tcPr>
          <w:p>
            <w:r/>
            <w:r>
              <w:rPr>
                <w:rFonts w:ascii="Arial" w:hAnsi="Arial" w:eastAsia="Arial"/>
                <w:b w:val="0"/>
                <w:sz w:val="17"/>
              </w:rPr>
              <w:t>TBD by infrastructure/platform.</w:t>
            </w:r>
          </w:p>
        </w:tc>
      </w:tr>
      <w:tr>
        <w:tc>
          <w:tcPr>
            <w:tcW w:type="dxa" w:w="3408"/>
            <w:vAlign w:val="top"/>
          </w:tcPr>
          <w:p>
            <w:r/>
            <w:r>
              <w:rPr>
                <w:rFonts w:ascii="Arial" w:hAnsi="Arial" w:eastAsia="Arial"/>
                <w:b w:val="0"/>
                <w:sz w:val="17"/>
              </w:rPr>
              <w:t>Monitoring/Logging</w:t>
            </w:r>
          </w:p>
        </w:tc>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Stated direction, details TBD.</w:t>
            </w:r>
          </w:p>
        </w:tc>
      </w:tr>
      <w:tr>
        <w:tc>
          <w:tcPr>
            <w:tcW w:type="dxa" w:w="3408"/>
            <w:vAlign w:val="top"/>
          </w:tcPr>
          <w:p>
            <w:r/>
            <w:r>
              <w:rPr>
                <w:rFonts w:ascii="Arial" w:hAnsi="Arial" w:eastAsia="Arial"/>
                <w:b w:val="0"/>
                <w:sz w:val="17"/>
              </w:rPr>
              <w:t>Custom Extensions</w:t>
            </w:r>
          </w:p>
        </w:tc>
        <w:tc>
          <w:tcPr>
            <w:tcW w:type="dxa" w:w="3408"/>
            <w:vAlign w:val="top"/>
          </w:tcPr>
          <w:p>
            <w:r/>
            <w:r>
              <w:rPr>
                <w:rFonts w:ascii="Arial" w:hAnsi="Arial" w:eastAsia="Arial"/>
                <w:b w:val="0"/>
                <w:sz w:val="17"/>
              </w:rPr>
              <w:t>Java actions/custom widgets only if approved</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Marketplace Modules</w:t>
            </w:r>
          </w:p>
        </w:tc>
        <w:tc>
          <w:tcPr>
            <w:tcW w:type="dxa" w:w="3408"/>
            <w:vAlign w:val="top"/>
          </w:tcPr>
          <w:p>
            <w:r/>
            <w:r>
              <w:rPr>
                <w:rFonts w:ascii="Arial" w:hAnsi="Arial" w:eastAsia="Arial"/>
                <w:b w:val="0"/>
                <w:sz w:val="17"/>
              </w:rPr>
              <w:t>Allowed only after security review</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DevSecOps</w:t>
            </w:r>
          </w:p>
        </w:tc>
        <w:tc>
          <w:tcPr>
            <w:tcW w:type="dxa" w:w="3408"/>
            <w:vAlign w:val="top"/>
          </w:tcPr>
          <w:p>
            <w:r/>
            <w:r>
              <w:rPr>
                <w:rFonts w:ascii="Arial" w:hAnsi="Arial" w:eastAsia="Arial"/>
                <w:b w:val="0"/>
                <w:sz w:val="17"/>
              </w:rPr>
              <w:t>Governed Mendix CI/CD or controlled deployment pipeline</w:t>
            </w:r>
          </w:p>
        </w:tc>
        <w:tc>
          <w:tcPr>
            <w:tcW w:type="dxa" w:w="3408"/>
            <w:vAlign w:val="top"/>
          </w:tcPr>
          <w:p>
            <w:r/>
            <w:r>
              <w:rPr>
                <w:rFonts w:ascii="Arial" w:hAnsi="Arial" w:eastAsia="Arial"/>
                <w:b w:val="0"/>
                <w:sz w:val="17"/>
              </w:rPr>
              <w:t>TBD.</w:t>
            </w:r>
          </w:p>
        </w:tc>
      </w:tr>
    </w:tbl>
    <w:p/>
    <w:p>
      <w:pPr>
        <w:pStyle w:val="Heading2"/>
        <w:keepNext/>
      </w:pPr>
      <w:r>
        <w:t>4.3 Technical Services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Service / Component</w:t>
            </w:r>
          </w:p>
        </w:tc>
        <w:tc>
          <w:tcPr>
            <w:tcW w:type="dxa" w:w="3408"/>
            <w:shd w:fill="D9EAF7"/>
            <w:vAlign w:val="center"/>
          </w:tcPr>
          <w:p>
            <w:r/>
            <w:r>
              <w:rPr>
                <w:rFonts w:ascii="Arial" w:hAnsi="Arial" w:eastAsia="Arial"/>
                <w:b/>
                <w:sz w:val="17"/>
              </w:rPr>
              <w:t>Purpose</w:t>
            </w:r>
          </w:p>
        </w:tc>
        <w:tc>
          <w:tcPr>
            <w:tcW w:type="dxa" w:w="3408"/>
            <w:shd w:fill="D9EAF7"/>
            <w:vAlign w:val="center"/>
          </w:tcPr>
          <w:p>
            <w:r/>
            <w:r>
              <w:rPr>
                <w:rFonts w:ascii="Arial" w:hAnsi="Arial" w:eastAsia="Arial"/>
                <w:b/>
                <w:sz w:val="17"/>
              </w:rPr>
              <w:t>Control Requirement</w:t>
            </w:r>
          </w:p>
        </w:tc>
      </w:tr>
      <w:tr>
        <w:tc>
          <w:tcPr>
            <w:tcW w:type="dxa" w:w="3408"/>
            <w:vAlign w:val="top"/>
          </w:tcPr>
          <w:p>
            <w:r/>
            <w:r>
              <w:rPr>
                <w:rFonts w:ascii="Arial" w:hAnsi="Arial" w:eastAsia="Arial"/>
                <w:b w:val="0"/>
                <w:sz w:val="17"/>
              </w:rPr>
              <w:t>Reverse Proxy / Load Balancer</w:t>
            </w:r>
          </w:p>
        </w:tc>
        <w:tc>
          <w:tcPr>
            <w:tcW w:type="dxa" w:w="3408"/>
            <w:vAlign w:val="top"/>
          </w:tcPr>
          <w:p>
            <w:r/>
            <w:r>
              <w:rPr>
                <w:rFonts w:ascii="Arial" w:hAnsi="Arial" w:eastAsia="Arial"/>
                <w:b w:val="0"/>
                <w:sz w:val="17"/>
              </w:rPr>
              <w:t>HTTPS termination/routing and availability control.</w:t>
            </w:r>
          </w:p>
        </w:tc>
        <w:tc>
          <w:tcPr>
            <w:tcW w:type="dxa" w:w="3408"/>
            <w:vAlign w:val="top"/>
          </w:tcPr>
          <w:p>
            <w:r/>
            <w:r>
              <w:rPr>
                <w:rFonts w:ascii="Arial" w:hAnsi="Arial" w:eastAsia="Arial"/>
                <w:b w:val="0"/>
                <w:sz w:val="17"/>
              </w:rPr>
              <w:t>TLS, headers, access restrictions, health routing.</w:t>
            </w:r>
          </w:p>
        </w:tc>
      </w:tr>
      <w:tr>
        <w:tc>
          <w:tcPr>
            <w:tcW w:type="dxa" w:w="3408"/>
            <w:vAlign w:val="top"/>
          </w:tcPr>
          <w:p>
            <w:r/>
            <w:r>
              <w:rPr>
                <w:rFonts w:ascii="Arial" w:hAnsi="Arial" w:eastAsia="Arial"/>
                <w:b w:val="0"/>
                <w:sz w:val="17"/>
              </w:rPr>
              <w:t>Mendix Runtime</w:t>
            </w:r>
          </w:p>
        </w:tc>
        <w:tc>
          <w:tcPr>
            <w:tcW w:type="dxa" w:w="3408"/>
            <w:vAlign w:val="top"/>
          </w:tcPr>
          <w:p>
            <w:r/>
            <w:r>
              <w:rPr>
                <w:rFonts w:ascii="Arial" w:hAnsi="Arial" w:eastAsia="Arial"/>
                <w:b w:val="0"/>
                <w:sz w:val="17"/>
              </w:rPr>
              <w:t>Hosts EMH application.</w:t>
            </w:r>
          </w:p>
        </w:tc>
        <w:tc>
          <w:tcPr>
            <w:tcW w:type="dxa" w:w="3408"/>
            <w:vAlign w:val="top"/>
          </w:tcPr>
          <w:p>
            <w:r/>
            <w:r>
              <w:rPr>
                <w:rFonts w:ascii="Arial" w:hAnsi="Arial" w:eastAsia="Arial"/>
                <w:b w:val="0"/>
                <w:sz w:val="17"/>
              </w:rPr>
              <w:t>Hardened configuration, monitoring, controlled deployment.</w:t>
            </w:r>
          </w:p>
        </w:tc>
      </w:tr>
      <w:tr>
        <w:tc>
          <w:tcPr>
            <w:tcW w:type="dxa" w:w="3408"/>
            <w:vAlign w:val="top"/>
          </w:tcPr>
          <w:p>
            <w:r/>
            <w:r>
              <w:rPr>
                <w:rFonts w:ascii="Arial" w:hAnsi="Arial" w:eastAsia="Arial"/>
                <w:b w:val="0"/>
                <w:sz w:val="17"/>
              </w:rPr>
              <w:t>Application Database</w:t>
            </w:r>
          </w:p>
        </w:tc>
        <w:tc>
          <w:tcPr>
            <w:tcW w:type="dxa" w:w="3408"/>
            <w:vAlign w:val="top"/>
          </w:tcPr>
          <w:p>
            <w:r/>
            <w:r>
              <w:rPr>
                <w:rFonts w:ascii="Arial" w:hAnsi="Arial" w:eastAsia="Arial"/>
                <w:b w:val="0"/>
                <w:sz w:val="17"/>
              </w:rPr>
              <w:t>Stores EMH-owned data.</w:t>
            </w:r>
          </w:p>
        </w:tc>
        <w:tc>
          <w:tcPr>
            <w:tcW w:type="dxa" w:w="3408"/>
            <w:vAlign w:val="top"/>
          </w:tcPr>
          <w:p>
            <w:r/>
            <w:r>
              <w:rPr>
                <w:rFonts w:ascii="Arial" w:hAnsi="Arial" w:eastAsia="Arial"/>
                <w:b w:val="0"/>
                <w:sz w:val="17"/>
              </w:rPr>
              <w:t>Backup, encryption where required, access control, retention.</w:t>
            </w:r>
          </w:p>
        </w:tc>
      </w:tr>
      <w:tr>
        <w:tc>
          <w:tcPr>
            <w:tcW w:type="dxa" w:w="3408"/>
            <w:vAlign w:val="top"/>
          </w:tcPr>
          <w:p>
            <w:r/>
            <w:r>
              <w:rPr>
                <w:rFonts w:ascii="Arial" w:hAnsi="Arial" w:eastAsia="Arial"/>
                <w:b w:val="0"/>
                <w:sz w:val="17"/>
              </w:rPr>
              <w:t>IDAM SAML Service</w:t>
            </w:r>
          </w:p>
        </w:tc>
        <w:tc>
          <w:tcPr>
            <w:tcW w:type="dxa" w:w="3408"/>
            <w:vAlign w:val="top"/>
          </w:tcPr>
          <w:p>
            <w:r/>
            <w:r>
              <w:rPr>
                <w:rFonts w:ascii="Arial" w:hAnsi="Arial" w:eastAsia="Arial"/>
                <w:b w:val="0"/>
                <w:sz w:val="17"/>
              </w:rPr>
              <w:t>Authenticates users.</w:t>
            </w:r>
          </w:p>
        </w:tc>
        <w:tc>
          <w:tcPr>
            <w:tcW w:type="dxa" w:w="3408"/>
            <w:vAlign w:val="top"/>
          </w:tcPr>
          <w:p>
            <w:r/>
            <w:r>
              <w:rPr>
                <w:rFonts w:ascii="Arial" w:hAnsi="Arial" w:eastAsia="Arial"/>
                <w:b w:val="0"/>
                <w:sz w:val="17"/>
              </w:rPr>
              <w:t>Certificate management, metadata exchange, claim mapping.</w:t>
            </w:r>
          </w:p>
        </w:tc>
      </w:tr>
      <w:tr>
        <w:tc>
          <w:tcPr>
            <w:tcW w:type="dxa" w:w="3408"/>
            <w:vAlign w:val="top"/>
          </w:tcPr>
          <w:p>
            <w:r/>
            <w:r>
              <w:rPr>
                <w:rFonts w:ascii="Arial" w:hAnsi="Arial" w:eastAsia="Arial"/>
                <w:b w:val="0"/>
                <w:sz w:val="17"/>
              </w:rPr>
              <w:t>External API Gateway / Integration Route</w:t>
            </w:r>
          </w:p>
        </w:tc>
        <w:tc>
          <w:tcPr>
            <w:tcW w:type="dxa" w:w="3408"/>
            <w:vAlign w:val="top"/>
          </w:tcPr>
          <w:p>
            <w:r/>
            <w:r>
              <w:rPr>
                <w:rFonts w:ascii="Arial" w:hAnsi="Arial" w:eastAsia="Arial"/>
                <w:b w:val="0"/>
                <w:sz w:val="17"/>
              </w:rPr>
              <w:t>Provides controlled API access.</w:t>
            </w:r>
          </w:p>
        </w:tc>
        <w:tc>
          <w:tcPr>
            <w:tcW w:type="dxa" w:w="3408"/>
            <w:vAlign w:val="top"/>
          </w:tcPr>
          <w:p>
            <w:r/>
            <w:r>
              <w:rPr>
                <w:rFonts w:ascii="Arial" w:hAnsi="Arial" w:eastAsia="Arial"/>
                <w:b w:val="0"/>
                <w:sz w:val="17"/>
              </w:rPr>
              <w:t>Timeouts, authentication, firewall, monitoring.</w:t>
            </w:r>
          </w:p>
        </w:tc>
      </w:tr>
      <w:tr>
        <w:tc>
          <w:tcPr>
            <w:tcW w:type="dxa" w:w="3408"/>
            <w:vAlign w:val="top"/>
          </w:tcPr>
          <w:p>
            <w:r/>
            <w:r>
              <w:rPr>
                <w:rFonts w:ascii="Arial" w:hAnsi="Arial" w:eastAsia="Arial"/>
                <w:b w:val="0"/>
                <w:sz w:val="17"/>
              </w:rPr>
              <w:t>Secret Management</w:t>
            </w:r>
          </w:p>
        </w:tc>
        <w:tc>
          <w:tcPr>
            <w:tcW w:type="dxa" w:w="3408"/>
            <w:vAlign w:val="top"/>
          </w:tcPr>
          <w:p>
            <w:r/>
            <w:r>
              <w:rPr>
                <w:rFonts w:ascii="Arial" w:hAnsi="Arial" w:eastAsia="Arial"/>
                <w:b w:val="0"/>
                <w:sz w:val="17"/>
              </w:rPr>
              <w:t>Stores API credentials/certificates/secrets.</w:t>
            </w:r>
          </w:p>
        </w:tc>
        <w:tc>
          <w:tcPr>
            <w:tcW w:type="dxa" w:w="3408"/>
            <w:vAlign w:val="top"/>
          </w:tcPr>
          <w:p>
            <w:r/>
            <w:r>
              <w:rPr>
                <w:rFonts w:ascii="Arial" w:hAnsi="Arial" w:eastAsia="Arial"/>
                <w:b w:val="0"/>
                <w:sz w:val="17"/>
              </w:rPr>
              <w:t>No hardcoded secrets. Rotation policy required.</w:t>
            </w:r>
          </w:p>
        </w:tc>
      </w:tr>
      <w:tr>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Monitoring and logging.</w:t>
            </w:r>
          </w:p>
        </w:tc>
        <w:tc>
          <w:tcPr>
            <w:tcW w:type="dxa" w:w="3408"/>
            <w:vAlign w:val="top"/>
          </w:tcPr>
          <w:p>
            <w:r/>
            <w:r>
              <w:rPr>
                <w:rFonts w:ascii="Arial" w:hAnsi="Arial" w:eastAsia="Arial"/>
                <w:b w:val="0"/>
                <w:sz w:val="17"/>
              </w:rPr>
              <w:t>Sensitive data filtering, dashboards, alerts, retention.</w:t>
            </w:r>
          </w:p>
        </w:tc>
      </w:tr>
      <w:tr>
        <w:tc>
          <w:tcPr>
            <w:tcW w:type="dxa" w:w="3408"/>
            <w:vAlign w:val="top"/>
          </w:tcPr>
          <w:p>
            <w:r/>
            <w:r>
              <w:rPr>
                <w:rFonts w:ascii="Arial" w:hAnsi="Arial" w:eastAsia="Arial"/>
                <w:b w:val="0"/>
                <w:sz w:val="17"/>
              </w:rPr>
              <w:t>Backup Service</w:t>
            </w:r>
          </w:p>
        </w:tc>
        <w:tc>
          <w:tcPr>
            <w:tcW w:type="dxa" w:w="3408"/>
            <w:vAlign w:val="top"/>
          </w:tcPr>
          <w:p>
            <w:r/>
            <w:r>
              <w:rPr>
                <w:rFonts w:ascii="Arial" w:hAnsi="Arial" w:eastAsia="Arial"/>
                <w:b w:val="0"/>
                <w:sz w:val="17"/>
              </w:rPr>
              <w:t>Protects EMH DB/configuration/packages.</w:t>
            </w:r>
          </w:p>
        </w:tc>
        <w:tc>
          <w:tcPr>
            <w:tcW w:type="dxa" w:w="3408"/>
            <w:vAlign w:val="top"/>
          </w:tcPr>
          <w:p>
            <w:r/>
            <w:r>
              <w:rPr>
                <w:rFonts w:ascii="Arial" w:hAnsi="Arial" w:eastAsia="Arial"/>
                <w:b w:val="0"/>
                <w:sz w:val="17"/>
              </w:rPr>
              <w:t>RPO alignment and restore testing.</w:t>
            </w:r>
          </w:p>
        </w:tc>
      </w:tr>
      <w:tr>
        <w:tc>
          <w:tcPr>
            <w:tcW w:type="dxa" w:w="3408"/>
            <w:vAlign w:val="top"/>
          </w:tcPr>
          <w:p>
            <w:r/>
            <w:r>
              <w:rPr>
                <w:rFonts w:ascii="Arial" w:hAnsi="Arial" w:eastAsia="Arial"/>
                <w:b w:val="0"/>
                <w:sz w:val="17"/>
              </w:rPr>
              <w:t>DR Deployment Capability</w:t>
            </w:r>
          </w:p>
        </w:tc>
        <w:tc>
          <w:tcPr>
            <w:tcW w:type="dxa" w:w="3408"/>
            <w:vAlign w:val="top"/>
          </w:tcPr>
          <w:p>
            <w:r/>
            <w:r>
              <w:rPr>
                <w:rFonts w:ascii="Arial" w:hAnsi="Arial" w:eastAsia="Arial"/>
                <w:b w:val="0"/>
                <w:sz w:val="17"/>
              </w:rPr>
              <w:t>Restores service during disaster.</w:t>
            </w:r>
          </w:p>
        </w:tc>
        <w:tc>
          <w:tcPr>
            <w:tcW w:type="dxa" w:w="3408"/>
            <w:vAlign w:val="top"/>
          </w:tcPr>
          <w:p>
            <w:r/>
            <w:r>
              <w:rPr>
                <w:rFonts w:ascii="Arial" w:hAnsi="Arial" w:eastAsia="Arial"/>
                <w:b w:val="0"/>
                <w:sz w:val="17"/>
              </w:rPr>
              <w:t>Prove RTO/RPO through test.</w:t>
            </w:r>
          </w:p>
        </w:tc>
      </w:tr>
    </w:tbl>
    <w:p/>
    <w:p>
      <w:pPr>
        <w:pStyle w:val="Heading2"/>
        <w:keepNext/>
      </w:pPr>
      <w:r>
        <w:t>4.4 Implementation Details</w:t>
      </w:r>
    </w:p>
    <w:p>
      <w:r>
        <w:t>Implementation shall follow Mendix secure delivery practices, platform governance, and government security controls. Low-code delivery does not remove the need for architecture control, secure coding, integration governance, testing, and auditability.</w:t>
      </w:r>
    </w:p>
    <w:p>
      <w:pPr>
        <w:pStyle w:val="Heading3"/>
        <w:keepNext/>
      </w:pPr>
      <w:r>
        <w:t>4.4.1 High Availability on On-Premises Infrastructure</w:t>
      </w:r>
    </w:p>
    <w:p>
      <w:r>
        <w:t>High availability design is pending final hosting topology. The following controls shall be considered:</w:t>
      </w:r>
    </w:p>
    <w:p>
      <w:pPr>
        <w:pStyle w:val="ListBullet"/>
      </w:pPr>
      <w:r>
        <w:t>Redundant Mendix runtime nodes where supported and approved.</w:t>
      </w:r>
    </w:p>
    <w:p>
      <w:pPr>
        <w:pStyle w:val="ListBullet"/>
      </w:pPr>
      <w:r>
        <w:t>Load balancing or reverse proxy routing across runtime nodes where applicable.</w:t>
      </w:r>
    </w:p>
    <w:p>
      <w:pPr>
        <w:pStyle w:val="ListBullet"/>
      </w:pPr>
      <w:r>
        <w:t>Highly available database configuration or approved backup/restore design.</w:t>
      </w:r>
    </w:p>
    <w:p>
      <w:pPr>
        <w:pStyle w:val="ListBullet"/>
      </w:pPr>
      <w:r>
        <w:t>No local-only file storage for critical data unless replicated or backed up.</w:t>
      </w:r>
    </w:p>
    <w:p>
      <w:pPr>
        <w:pStyle w:val="ListBullet"/>
      </w:pPr>
      <w:r>
        <w:t>Runtime health checks integrated with infrastructure monitoring.</w:t>
      </w:r>
    </w:p>
    <w:p>
      <w:pPr>
        <w:pStyle w:val="ListBullet"/>
      </w:pPr>
      <w:r>
        <w:t>AppDynamics alerts for downtime, high response times, API failures, and error spikes.</w:t>
      </w:r>
    </w:p>
    <w:p>
      <w:pPr>
        <w:pStyle w:val="Heading3"/>
        <w:keepNext/>
      </w:pPr>
      <w:r>
        <w:t>4.4.2 Data Backup &amp; Recovery</w:t>
      </w:r>
    </w:p>
    <w:p>
      <w:r>
        <w:t>Backup and recovery shall cover the EMH application database, runtime configuration, deployment packages, certificates/metadata required for SAML, integration configuration, and any approved file storage. Backup frequency must support the target RPO of 5 minutes if formally approved.</w:t>
      </w:r>
    </w:p>
    <w:p>
      <w:pPr>
        <w:pStyle w:val="ListBullet"/>
      </w:pPr>
      <w:r>
        <w:t>Backups must be encrypted and stored within approved residency/security boundaries.</w:t>
      </w:r>
    </w:p>
    <w:p>
      <w:pPr>
        <w:pStyle w:val="ListBullet"/>
      </w:pPr>
      <w:r>
        <w:t>Restore procedures must be documented and tested.</w:t>
      </w:r>
    </w:p>
    <w:p>
      <w:pPr>
        <w:pStyle w:val="ListBullet"/>
      </w:pPr>
      <w:r>
        <w:t>Backup monitoring must generate alerts on failure.</w:t>
      </w:r>
    </w:p>
    <w:p>
      <w:pPr>
        <w:pStyle w:val="ListBullet"/>
      </w:pPr>
      <w:r>
        <w:t>External data is not persisted in EMH; source systems remain responsible for their own data backup.</w:t>
      </w:r>
    </w:p>
    <w:p>
      <w:pPr>
        <w:pStyle w:val="Heading3"/>
        <w:keepNext/>
      </w:pPr>
      <w:r>
        <w:t>4.4.3 Disaster Recovery</w:t>
      </w:r>
    </w:p>
    <w:p>
      <w:r>
        <w:t>The current DR strategy is redeploy on disaster, with target RTO of 1 hour and target RPO of 5 minutes pending confirmation. This strategy must not be accepted as final until tested. Redeploy-on-disaster can meet aggressive recovery targets only if infrastructure provisioning, Mendix package deployment, database restore/replication, SAML configuration, secrets restoration, network routing, and AppDynamics instrumentation are automated or pre-prepared.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DR Requirement</w:t>
            </w:r>
          </w:p>
        </w:tc>
        <w:tc>
          <w:tcPr>
            <w:tcW w:type="dxa" w:w="3408"/>
            <w:shd w:fill="D9EAF7"/>
            <w:vAlign w:val="center"/>
          </w:tcPr>
          <w:p>
            <w:r/>
            <w:r>
              <w:rPr>
                <w:rFonts w:ascii="Arial" w:hAnsi="Arial" w:eastAsia="Arial"/>
                <w:b/>
                <w:sz w:val="17"/>
              </w:rPr>
              <w:t>Current Direction</w:t>
            </w:r>
          </w:p>
        </w:tc>
        <w:tc>
          <w:tcPr>
            <w:tcW w:type="dxa" w:w="3408"/>
            <w:shd w:fill="D9EAF7"/>
            <w:vAlign w:val="center"/>
          </w:tcPr>
          <w:p>
            <w:r/>
            <w:r>
              <w:rPr>
                <w:rFonts w:ascii="Arial" w:hAnsi="Arial" w:eastAsia="Arial"/>
                <w:b/>
                <w:sz w:val="17"/>
              </w:rPr>
              <w:t>Architecture Position</w:t>
            </w:r>
          </w:p>
        </w:tc>
      </w:tr>
      <w:tr>
        <w:tc>
          <w:tcPr>
            <w:tcW w:type="dxa" w:w="3408"/>
            <w:vAlign w:val="top"/>
          </w:tcPr>
          <w:p>
            <w:r/>
            <w:r>
              <w:rPr>
                <w:rFonts w:ascii="Arial" w:hAnsi="Arial" w:eastAsia="Arial"/>
                <w:b w:val="0"/>
                <w:sz w:val="17"/>
              </w:rPr>
              <w:t>RTO</w:t>
            </w:r>
          </w:p>
        </w:tc>
        <w:tc>
          <w:tcPr>
            <w:tcW w:type="dxa" w:w="3408"/>
            <w:vAlign w:val="top"/>
          </w:tcPr>
          <w:p>
            <w:r/>
            <w:r>
              <w:rPr>
                <w:rFonts w:ascii="Arial" w:hAnsi="Arial" w:eastAsia="Arial"/>
                <w:b w:val="0"/>
                <w:sz w:val="17"/>
              </w:rPr>
              <w:t>TBD, target 1 hour</w:t>
            </w:r>
          </w:p>
        </w:tc>
        <w:tc>
          <w:tcPr>
            <w:tcW w:type="dxa" w:w="3408"/>
            <w:vAlign w:val="top"/>
          </w:tcPr>
          <w:p>
            <w:r/>
            <w:r>
              <w:rPr>
                <w:rFonts w:ascii="Arial" w:hAnsi="Arial" w:eastAsia="Arial"/>
                <w:b w:val="0"/>
                <w:sz w:val="17"/>
              </w:rPr>
              <w:t>Must be validated through DR exercise.</w:t>
            </w:r>
          </w:p>
        </w:tc>
      </w:tr>
      <w:tr>
        <w:tc>
          <w:tcPr>
            <w:tcW w:type="dxa" w:w="3408"/>
            <w:vAlign w:val="top"/>
          </w:tcPr>
          <w:p>
            <w:r/>
            <w:r>
              <w:rPr>
                <w:rFonts w:ascii="Arial" w:hAnsi="Arial" w:eastAsia="Arial"/>
                <w:b w:val="0"/>
                <w:sz w:val="17"/>
              </w:rPr>
              <w:t>RPO</w:t>
            </w:r>
          </w:p>
        </w:tc>
        <w:tc>
          <w:tcPr>
            <w:tcW w:type="dxa" w:w="3408"/>
            <w:vAlign w:val="top"/>
          </w:tcPr>
          <w:p>
            <w:r/>
            <w:r>
              <w:rPr>
                <w:rFonts w:ascii="Arial" w:hAnsi="Arial" w:eastAsia="Arial"/>
                <w:b w:val="0"/>
                <w:sz w:val="17"/>
              </w:rPr>
              <w:t>TBD, target 5 minutes</w:t>
            </w:r>
          </w:p>
        </w:tc>
        <w:tc>
          <w:tcPr>
            <w:tcW w:type="dxa" w:w="3408"/>
            <w:vAlign w:val="top"/>
          </w:tcPr>
          <w:p>
            <w:r/>
            <w:r>
              <w:rPr>
                <w:rFonts w:ascii="Arial" w:hAnsi="Arial" w:eastAsia="Arial"/>
                <w:b w:val="0"/>
                <w:sz w:val="17"/>
              </w:rPr>
              <w:t>Requires backup/replication design capable of 5-minute data loss target.</w:t>
            </w:r>
          </w:p>
        </w:tc>
      </w:tr>
      <w:tr>
        <w:tc>
          <w:tcPr>
            <w:tcW w:type="dxa" w:w="3408"/>
            <w:vAlign w:val="top"/>
          </w:tcPr>
          <w:p>
            <w:r/>
            <w:r>
              <w:rPr>
                <w:rFonts w:ascii="Arial" w:hAnsi="Arial" w:eastAsia="Arial"/>
                <w:b w:val="0"/>
                <w:sz w:val="17"/>
              </w:rPr>
              <w:t>Strategy</w:t>
            </w:r>
          </w:p>
        </w:tc>
        <w:tc>
          <w:tcPr>
            <w:tcW w:type="dxa" w:w="3408"/>
            <w:vAlign w:val="top"/>
          </w:tcPr>
          <w:p>
            <w:r/>
            <w:r>
              <w:rPr>
                <w:rFonts w:ascii="Arial" w:hAnsi="Arial" w:eastAsia="Arial"/>
                <w:b w:val="0"/>
                <w:sz w:val="17"/>
              </w:rPr>
              <w:t>Redeploy on disaster</w:t>
            </w:r>
          </w:p>
        </w:tc>
        <w:tc>
          <w:tcPr>
            <w:tcW w:type="dxa" w:w="3408"/>
            <w:vAlign w:val="top"/>
          </w:tcPr>
          <w:p>
            <w:r/>
            <w:r>
              <w:rPr>
                <w:rFonts w:ascii="Arial" w:hAnsi="Arial" w:eastAsia="Arial"/>
                <w:b w:val="0"/>
                <w:sz w:val="17"/>
              </w:rPr>
              <w:t>Accept only after proof; otherwise consider warm standby/pre-provisioned DR.</w:t>
            </w:r>
          </w:p>
        </w:tc>
      </w:tr>
      <w:tr>
        <w:tc>
          <w:tcPr>
            <w:tcW w:type="dxa" w:w="3408"/>
            <w:vAlign w:val="top"/>
          </w:tcPr>
          <w:p>
            <w:r/>
            <w:r>
              <w:rPr>
                <w:rFonts w:ascii="Arial" w:hAnsi="Arial" w:eastAsia="Arial"/>
                <w:b w:val="0"/>
                <w:sz w:val="17"/>
              </w:rPr>
              <w:t>DR Runbook</w:t>
            </w:r>
          </w:p>
        </w:tc>
        <w:tc>
          <w:tcPr>
            <w:tcW w:type="dxa" w:w="3408"/>
            <w:vAlign w:val="top"/>
          </w:tcPr>
          <w:p>
            <w:r/>
            <w:r>
              <w:rPr>
                <w:rFonts w:ascii="Arial" w:hAnsi="Arial" w:eastAsia="Arial"/>
                <w:b w:val="0"/>
                <w:sz w:val="17"/>
              </w:rPr>
              <w:t>TBD</w:t>
            </w:r>
          </w:p>
        </w:tc>
        <w:tc>
          <w:tcPr>
            <w:tcW w:type="dxa" w:w="3408"/>
            <w:vAlign w:val="top"/>
          </w:tcPr>
          <w:p>
            <w:r/>
            <w:r>
              <w:rPr>
                <w:rFonts w:ascii="Arial" w:hAnsi="Arial" w:eastAsia="Arial"/>
                <w:b w:val="0"/>
                <w:sz w:val="17"/>
              </w:rPr>
              <w:t>Mandatory before production.</w:t>
            </w:r>
          </w:p>
        </w:tc>
      </w:tr>
      <w:tr>
        <w:tc>
          <w:tcPr>
            <w:tcW w:type="dxa" w:w="3408"/>
            <w:vAlign w:val="top"/>
          </w:tcPr>
          <w:p>
            <w:r/>
            <w:r>
              <w:rPr>
                <w:rFonts w:ascii="Arial" w:hAnsi="Arial" w:eastAsia="Arial"/>
                <w:b w:val="0"/>
                <w:sz w:val="17"/>
              </w:rPr>
              <w:t>DR Testing</w:t>
            </w:r>
          </w:p>
        </w:tc>
        <w:tc>
          <w:tcPr>
            <w:tcW w:type="dxa" w:w="3408"/>
            <w:vAlign w:val="top"/>
          </w:tcPr>
          <w:p>
            <w:r/>
            <w:r>
              <w:rPr>
                <w:rFonts w:ascii="Arial" w:hAnsi="Arial" w:eastAsia="Arial"/>
                <w:b w:val="0"/>
                <w:sz w:val="17"/>
              </w:rPr>
              <w:t>TBD</w:t>
            </w:r>
          </w:p>
        </w:tc>
        <w:tc>
          <w:tcPr>
            <w:tcW w:type="dxa" w:w="3408"/>
            <w:vAlign w:val="top"/>
          </w:tcPr>
          <w:p>
            <w:r/>
            <w:r>
              <w:rPr>
                <w:rFonts w:ascii="Arial" w:hAnsi="Arial" w:eastAsia="Arial"/>
                <w:b w:val="0"/>
                <w:sz w:val="17"/>
              </w:rPr>
              <w:t>Mandatory before go-live or within approved operational readiness window.</w:t>
            </w:r>
          </w:p>
        </w:tc>
      </w:tr>
    </w:tbl>
    <w:p/>
    <w:p>
      <w:pPr>
        <w:pStyle w:val="Heading3"/>
        <w:keepNext/>
      </w:pPr>
      <w:r>
        <w:t>4.4.4 Logging and Monitoring</w:t>
      </w:r>
    </w:p>
    <w:p>
      <w:r>
        <w:t>AppDynamics shall be used for application performance monitoring, dependency visibility, runtime error monitoring, dashboards, and alerting, subject to final operational architecture confirmation. Logging must be sanitized and aligned with data classification requirements.</w:t>
      </w:r>
    </w:p>
    <w:p>
      <w:pPr>
        <w:pStyle w:val="ListBullet"/>
      </w:pPr>
      <w:r>
        <w:t>Do not log SAML assertions, tokens, session IDs, raw API payloads, Emirates ID, MRN, patient records, payment details, or full stack traces visible to users.</w:t>
      </w:r>
    </w:p>
    <w:p>
      <w:pPr>
        <w:pStyle w:val="ListBullet"/>
      </w:pPr>
      <w:r>
        <w:t>Log correlation ID, user reference, module, action category, endpoint identifier, status, duration, and sanitized error category.</w:t>
      </w:r>
    </w:p>
    <w:p>
      <w:pPr>
        <w:pStyle w:val="ListBullet"/>
      </w:pPr>
      <w:r>
        <w:t>Configure dashboards for availability, response time, external API failures, error rate, login/access denial trends, and runtime health.</w:t>
      </w:r>
    </w:p>
    <w:p>
      <w:pPr>
        <w:pStyle w:val="ListBullet"/>
      </w:pPr>
      <w:r>
        <w:t>Confirm whether security events must be forwarded from AppDynamics or EMH audit logs to an enterprise SIEM.</w:t>
      </w:r>
    </w:p>
    <w:p>
      <w:pPr>
        <w:pStyle w:val="Heading2"/>
        <w:keepNext/>
      </w:pPr>
      <w:r>
        <w:t>4.5 DevSecOps</w:t>
      </w:r>
    </w:p>
    <w:p>
      <w:r>
        <w:t>The Mendix delivery lifecycle shall follow controlled change management and secure SDLC practices. The exact tooling shall be confirmed based on the organization’s Mendix platform and source control standards.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Control Area</w:t>
            </w:r>
          </w:p>
        </w:tc>
        <w:tc>
          <w:tcPr>
            <w:tcW w:type="dxa" w:w="5112"/>
            <w:shd w:fill="D9EAF7"/>
            <w:vAlign w:val="center"/>
          </w:tcPr>
          <w:p>
            <w:r/>
            <w:r>
              <w:rPr>
                <w:rFonts w:ascii="Arial" w:hAnsi="Arial" w:eastAsia="Arial"/>
                <w:b/>
                <w:sz w:val="17"/>
              </w:rPr>
              <w:t>Required Practice</w:t>
            </w:r>
          </w:p>
        </w:tc>
      </w:tr>
      <w:tr>
        <w:tc>
          <w:tcPr>
            <w:tcW w:type="dxa" w:w="5112"/>
            <w:vAlign w:val="top"/>
          </w:tcPr>
          <w:p>
            <w:r/>
            <w:r>
              <w:rPr>
                <w:rFonts w:ascii="Arial" w:hAnsi="Arial" w:eastAsia="Arial"/>
                <w:b w:val="0"/>
                <w:sz w:val="17"/>
              </w:rPr>
              <w:t>Source Control</w:t>
            </w:r>
          </w:p>
        </w:tc>
        <w:tc>
          <w:tcPr>
            <w:tcW w:type="dxa" w:w="5112"/>
            <w:vAlign w:val="top"/>
          </w:tcPr>
          <w:p>
            <w:r/>
            <w:r>
              <w:rPr>
                <w:rFonts w:ascii="Arial" w:hAnsi="Arial" w:eastAsia="Arial"/>
                <w:b w:val="0"/>
                <w:sz w:val="17"/>
              </w:rPr>
              <w:t>All Mendix application changes must be versioned with controlled branching and release tagging.</w:t>
            </w:r>
          </w:p>
        </w:tc>
      </w:tr>
      <w:tr>
        <w:tc>
          <w:tcPr>
            <w:tcW w:type="dxa" w:w="5112"/>
            <w:vAlign w:val="top"/>
          </w:tcPr>
          <w:p>
            <w:r/>
            <w:r>
              <w:rPr>
                <w:rFonts w:ascii="Arial" w:hAnsi="Arial" w:eastAsia="Arial"/>
                <w:b w:val="0"/>
                <w:sz w:val="17"/>
              </w:rPr>
              <w:t>Code Review</w:t>
            </w:r>
          </w:p>
        </w:tc>
        <w:tc>
          <w:tcPr>
            <w:tcW w:type="dxa" w:w="5112"/>
            <w:vAlign w:val="top"/>
          </w:tcPr>
          <w:p>
            <w:r/>
            <w:r>
              <w:rPr>
                <w:rFonts w:ascii="Arial" w:hAnsi="Arial" w:eastAsia="Arial"/>
                <w:b w:val="0"/>
                <w:sz w:val="17"/>
              </w:rPr>
              <w:t>Architecture and security review for sensitive microflows, Java actions, custom widgets, and integration logic.</w:t>
            </w:r>
          </w:p>
        </w:tc>
      </w:tr>
      <w:tr>
        <w:tc>
          <w:tcPr>
            <w:tcW w:type="dxa" w:w="5112"/>
            <w:vAlign w:val="top"/>
          </w:tcPr>
          <w:p>
            <w:r/>
            <w:r>
              <w:rPr>
                <w:rFonts w:ascii="Arial" w:hAnsi="Arial" w:eastAsia="Arial"/>
                <w:b w:val="0"/>
                <w:sz w:val="17"/>
              </w:rPr>
              <w:t>Marketplace Governance</w:t>
            </w:r>
          </w:p>
        </w:tc>
        <w:tc>
          <w:tcPr>
            <w:tcW w:type="dxa" w:w="5112"/>
            <w:vAlign w:val="top"/>
          </w:tcPr>
          <w:p>
            <w:r/>
            <w:r>
              <w:rPr>
                <w:rFonts w:ascii="Arial" w:hAnsi="Arial" w:eastAsia="Arial"/>
                <w:b w:val="0"/>
                <w:sz w:val="17"/>
              </w:rPr>
              <w:t>Marketplace modules must be approved before use, including license, security, maintenance, and vulnerability review.</w:t>
            </w:r>
          </w:p>
        </w:tc>
      </w:tr>
      <w:tr>
        <w:tc>
          <w:tcPr>
            <w:tcW w:type="dxa" w:w="5112"/>
            <w:vAlign w:val="top"/>
          </w:tcPr>
          <w:p>
            <w:r/>
            <w:r>
              <w:rPr>
                <w:rFonts w:ascii="Arial" w:hAnsi="Arial" w:eastAsia="Arial"/>
                <w:b w:val="0"/>
                <w:sz w:val="17"/>
              </w:rPr>
              <w:t>Custom Java Governance</w:t>
            </w:r>
          </w:p>
        </w:tc>
        <w:tc>
          <w:tcPr>
            <w:tcW w:type="dxa" w:w="5112"/>
            <w:vAlign w:val="top"/>
          </w:tcPr>
          <w:p>
            <w:r/>
            <w:r>
              <w:rPr>
                <w:rFonts w:ascii="Arial" w:hAnsi="Arial" w:eastAsia="Arial"/>
                <w:b w:val="0"/>
                <w:sz w:val="17"/>
              </w:rPr>
              <w:t>Java actions allowed only with secure coding review, dependency scan, and documented justification.</w:t>
            </w:r>
          </w:p>
        </w:tc>
      </w:tr>
      <w:tr>
        <w:tc>
          <w:tcPr>
            <w:tcW w:type="dxa" w:w="5112"/>
            <w:vAlign w:val="top"/>
          </w:tcPr>
          <w:p>
            <w:r/>
            <w:r>
              <w:rPr>
                <w:rFonts w:ascii="Arial" w:hAnsi="Arial" w:eastAsia="Arial"/>
                <w:b w:val="0"/>
                <w:sz w:val="17"/>
              </w:rPr>
              <w:t>Secrets Handling</w:t>
            </w:r>
          </w:p>
        </w:tc>
        <w:tc>
          <w:tcPr>
            <w:tcW w:type="dxa" w:w="5112"/>
            <w:vAlign w:val="top"/>
          </w:tcPr>
          <w:p>
            <w:r/>
            <w:r>
              <w:rPr>
                <w:rFonts w:ascii="Arial" w:hAnsi="Arial" w:eastAsia="Arial"/>
                <w:b w:val="0"/>
                <w:sz w:val="17"/>
              </w:rPr>
              <w:t>No secrets in source control or documentation. Use approved secret storage.</w:t>
            </w:r>
          </w:p>
        </w:tc>
      </w:tr>
      <w:tr>
        <w:tc>
          <w:tcPr>
            <w:tcW w:type="dxa" w:w="5112"/>
            <w:vAlign w:val="top"/>
          </w:tcPr>
          <w:p>
            <w:r/>
            <w:r>
              <w:rPr>
                <w:rFonts w:ascii="Arial" w:hAnsi="Arial" w:eastAsia="Arial"/>
                <w:b w:val="0"/>
                <w:sz w:val="17"/>
              </w:rPr>
              <w:t>Static / Security Testing</w:t>
            </w:r>
          </w:p>
        </w:tc>
        <w:tc>
          <w:tcPr>
            <w:tcW w:type="dxa" w:w="5112"/>
            <w:vAlign w:val="top"/>
          </w:tcPr>
          <w:p>
            <w:r/>
            <w:r>
              <w:rPr>
                <w:rFonts w:ascii="Arial" w:hAnsi="Arial" w:eastAsia="Arial"/>
                <w:b w:val="0"/>
                <w:sz w:val="17"/>
              </w:rPr>
              <w:t>Perform Mendix model review, dependency checks, custom code scanning, and vulnerability assessment.</w:t>
            </w:r>
          </w:p>
        </w:tc>
      </w:tr>
      <w:tr>
        <w:tc>
          <w:tcPr>
            <w:tcW w:type="dxa" w:w="5112"/>
            <w:vAlign w:val="top"/>
          </w:tcPr>
          <w:p>
            <w:r/>
            <w:r>
              <w:rPr>
                <w:rFonts w:ascii="Arial" w:hAnsi="Arial" w:eastAsia="Arial"/>
                <w:b w:val="0"/>
                <w:sz w:val="17"/>
              </w:rPr>
              <w:t>Release Promotion</w:t>
            </w:r>
          </w:p>
        </w:tc>
        <w:tc>
          <w:tcPr>
            <w:tcW w:type="dxa" w:w="5112"/>
            <w:vAlign w:val="top"/>
          </w:tcPr>
          <w:p>
            <w:r/>
            <w:r>
              <w:rPr>
                <w:rFonts w:ascii="Arial" w:hAnsi="Arial" w:eastAsia="Arial"/>
                <w:b w:val="0"/>
                <w:sz w:val="17"/>
              </w:rPr>
              <w:t>Promote packages through Dev, SIT, UAT, Pre-Prod, Production with approvals and rollback plan.</w:t>
            </w:r>
          </w:p>
        </w:tc>
      </w:tr>
      <w:tr>
        <w:tc>
          <w:tcPr>
            <w:tcW w:type="dxa" w:w="5112"/>
            <w:vAlign w:val="top"/>
          </w:tcPr>
          <w:p>
            <w:r/>
            <w:r>
              <w:rPr>
                <w:rFonts w:ascii="Arial" w:hAnsi="Arial" w:eastAsia="Arial"/>
                <w:b w:val="0"/>
                <w:sz w:val="17"/>
              </w:rPr>
              <w:t>Operational Readiness</w:t>
            </w:r>
          </w:p>
        </w:tc>
        <w:tc>
          <w:tcPr>
            <w:tcW w:type="dxa" w:w="5112"/>
            <w:vAlign w:val="top"/>
          </w:tcPr>
          <w:p>
            <w:r/>
            <w:r>
              <w:rPr>
                <w:rFonts w:ascii="Arial" w:hAnsi="Arial" w:eastAsia="Arial"/>
                <w:b w:val="0"/>
                <w:sz w:val="17"/>
              </w:rPr>
              <w:t>Monitoring, backup, DR, support runbook, access model, and audit review must be ready before go-live.</w:t>
            </w:r>
          </w:p>
        </w:tc>
      </w:tr>
    </w:tbl>
    <w:p/>
    <w:p>
      <w:pPr>
        <w:pStyle w:val="Heading2"/>
        <w:keepNext/>
      </w:pPr>
      <w:r>
        <w:t>4.6 Performance Efficiency</w:t>
      </w:r>
    </w:p>
    <w:p>
      <w:r>
        <w:t>Performance efficiency shall be addressed across Mendix pages, microflows, database access, integrations, and infrastructure capacity. Performance targets must be defined before non-functional testing.</w:t>
      </w:r>
    </w:p>
    <w:p>
      <w:pPr>
        <w:pStyle w:val="ListBullet"/>
      </w:pPr>
      <w:r>
        <w:t>Use pagination for all lists and search results.</w:t>
      </w:r>
    </w:p>
    <w:p>
      <w:pPr>
        <w:pStyle w:val="ListBullet"/>
      </w:pPr>
      <w:r>
        <w:t>Avoid retrieving unnecessary fields from external APIs where API contracts allow filtering.</w:t>
      </w:r>
    </w:p>
    <w:p>
      <w:pPr>
        <w:pStyle w:val="ListBullet"/>
      </w:pPr>
      <w:r>
        <w:t>Avoid heavy logic in page load events; use explicit search actions for expensive queries.</w:t>
      </w:r>
    </w:p>
    <w:p>
      <w:pPr>
        <w:pStyle w:val="ListBullet"/>
      </w:pPr>
      <w:r>
        <w:t>Use non-persistent entities carefully and avoid large in-memory datasets.</w:t>
      </w:r>
    </w:p>
    <w:p>
      <w:pPr>
        <w:pStyle w:val="ListBullet"/>
      </w:pPr>
      <w:r>
        <w:t>Apply database indexes to EMH-owned persistent entities used for audit search, permission resolution, and configuration lookup.</w:t>
      </w:r>
    </w:p>
    <w:p>
      <w:pPr>
        <w:pStyle w:val="ListBullet"/>
      </w:pPr>
      <w:r>
        <w:t>Set integration timeouts and graceful failure messages for unavailable external services.</w:t>
      </w:r>
    </w:p>
    <w:p>
      <w:pPr>
        <w:pStyle w:val="ListBullet"/>
      </w:pPr>
      <w:r>
        <w:t>Avoid repeated API calls by using controlled short-lived caching only for non-sensitive reference data, if approved.</w:t>
      </w:r>
    </w:p>
    <w:p>
      <w:pPr>
        <w:pStyle w:val="ListBullet"/>
      </w:pPr>
      <w:r>
        <w:t>Monitor slow pages, slow microflows, database latency, and external API latency through AppDynamics.</w:t>
      </w:r>
    </w:p>
    <w:p>
      <w:pPr>
        <w:pStyle w:val="ListBullet"/>
      </w:pPr>
      <w:r>
        <w:t>Run performance testing against realistic support-user scenarios before production release.</w:t>
      </w:r>
    </w:p>
    <w:p>
      <w:pPr>
        <w:pStyle w:val="Heading2"/>
        <w:keepNext/>
      </w:pPr>
      <w:r>
        <w:t>UAE Government Compliance Considerations</w:t>
      </w:r>
    </w:p>
    <w:p>
      <w:pPr>
        <w:pStyle w:val="ListBullet"/>
      </w:pPr>
      <w:r>
        <w:t>On-premises deployment must be validated against approved network zones, firewall rules, hardening, and data residency requirements.</w:t>
      </w:r>
    </w:p>
    <w:p>
      <w:pPr>
        <w:pStyle w:val="ListBullet"/>
      </w:pPr>
      <w:r>
        <w:t>Backups, logs, audit records, and AppDynamics telemetry must remain within approved boundaries and follow classification handling rules.</w:t>
      </w:r>
    </w:p>
    <w:p>
      <w:pPr>
        <w:pStyle w:val="ListBullet"/>
      </w:pPr>
      <w:r>
        <w:t>Custom Java and marketplace components require formal approval due to supply-chain and code security risk.</w:t>
      </w:r>
    </w:p>
    <w:p>
      <w:pPr>
        <w:pStyle w:val="ListBullet"/>
      </w:pPr>
      <w:r>
        <w:t>DR capability must be demonstrable, not only documented, for critical government services.</w:t>
      </w:r>
    </w:p>
    <w:p>
      <w:pPr>
        <w:pStyle w:val="Heading2"/>
        <w:keepNext/>
      </w:pPr>
      <w:r>
        <w:t>Recommendations</w:t>
      </w:r>
    </w:p>
    <w:p>
      <w:pPr>
        <w:pStyle w:val="ListBullet"/>
      </w:pPr>
      <w:r>
        <w:t>Prepare a deployment topology diagram for on-premises Mendix runtime, database, IDAM, APIs, AppDynamics, and DR path.</w:t>
      </w:r>
    </w:p>
    <w:p>
      <w:pPr>
        <w:pStyle w:val="ListBullet"/>
      </w:pPr>
      <w:r>
        <w:t>Perform SAML integration proof-of-concept early.</w:t>
      </w:r>
    </w:p>
    <w:p>
      <w:pPr>
        <w:pStyle w:val="ListBullet"/>
      </w:pPr>
      <w:r>
        <w:t>Create an AppDynamics logging and masking standard before implementation.</w:t>
      </w:r>
    </w:p>
    <w:p>
      <w:pPr>
        <w:pStyle w:val="ListBullet"/>
      </w:pPr>
      <w:r>
        <w:t>Run DR tabletop and technical restore test before go-live.</w:t>
      </w:r>
    </w:p>
    <w:p>
      <w:pPr>
        <w:pStyle w:val="ListBullet"/>
      </w:pPr>
      <w:r>
        <w:t>Confirm whether HA requires active-active runtime nodes or a simpler single-node plus rapid restore model.</w:t>
      </w:r>
    </w:p>
    <w:p>
      <w:r>
        <w:br w:type="page"/>
      </w:r>
    </w:p>
    <w:p>
      <w:pPr>
        <w:pStyle w:val="Heading1"/>
        <w:keepNext/>
      </w:pPr>
      <w:r>
        <w:t>Suggested Diagrams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Diagram</w:t>
            </w:r>
          </w:p>
        </w:tc>
        <w:tc>
          <w:tcPr>
            <w:tcW w:type="dxa" w:w="5112"/>
            <w:shd w:fill="D9EAF7"/>
            <w:vAlign w:val="center"/>
          </w:tcPr>
          <w:p>
            <w:r/>
            <w:r>
              <w:rPr>
                <w:rFonts w:ascii="Arial" w:hAnsi="Arial" w:eastAsia="Arial"/>
                <w:b/>
                <w:sz w:val="17"/>
              </w:rPr>
              <w:t>Purpose</w:t>
            </w:r>
          </w:p>
        </w:tc>
      </w:tr>
      <w:tr>
        <w:tc>
          <w:tcPr>
            <w:tcW w:type="dxa" w:w="5112"/>
            <w:vAlign w:val="top"/>
          </w:tcPr>
          <w:p>
            <w:r/>
            <w:r>
              <w:rPr>
                <w:rFonts w:ascii="Arial" w:hAnsi="Arial" w:eastAsia="Arial"/>
                <w:b w:val="0"/>
                <w:sz w:val="17"/>
              </w:rPr>
              <w:t>Solution Context Diagram</w:t>
            </w:r>
          </w:p>
        </w:tc>
        <w:tc>
          <w:tcPr>
            <w:tcW w:type="dxa" w:w="5112"/>
            <w:vAlign w:val="top"/>
          </w:tcPr>
          <w:p>
            <w:r/>
            <w:r>
              <w:rPr>
                <w:rFonts w:ascii="Arial" w:hAnsi="Arial" w:eastAsia="Arial"/>
                <w:b w:val="0"/>
                <w:sz w:val="17"/>
              </w:rPr>
              <w:t>Shows EMH, users, IDAM, UAE Pass/identity broker, external systems, AppDynamics, and infrastructure boundary.</w:t>
            </w:r>
          </w:p>
        </w:tc>
      </w:tr>
      <w:tr>
        <w:tc>
          <w:tcPr>
            <w:tcW w:type="dxa" w:w="5112"/>
            <w:vAlign w:val="top"/>
          </w:tcPr>
          <w:p>
            <w:r/>
            <w:r>
              <w:rPr>
                <w:rFonts w:ascii="Arial" w:hAnsi="Arial" w:eastAsia="Arial"/>
                <w:b w:val="0"/>
                <w:sz w:val="17"/>
              </w:rPr>
              <w:t>Mendix Logical Component Diagram</w:t>
            </w:r>
          </w:p>
        </w:tc>
        <w:tc>
          <w:tcPr>
            <w:tcW w:type="dxa" w:w="5112"/>
            <w:vAlign w:val="top"/>
          </w:tcPr>
          <w:p>
            <w:r/>
            <w:r>
              <w:rPr>
                <w:rFonts w:ascii="Arial" w:hAnsi="Arial" w:eastAsia="Arial"/>
                <w:b w:val="0"/>
                <w:sz w:val="17"/>
              </w:rPr>
              <w:t>Shows Mendix modules and their dependencies.</w:t>
            </w:r>
          </w:p>
        </w:tc>
      </w:tr>
      <w:tr>
        <w:tc>
          <w:tcPr>
            <w:tcW w:type="dxa" w:w="5112"/>
            <w:vAlign w:val="top"/>
          </w:tcPr>
          <w:p>
            <w:r/>
            <w:r>
              <w:rPr>
                <w:rFonts w:ascii="Arial" w:hAnsi="Arial" w:eastAsia="Arial"/>
                <w:b w:val="0"/>
                <w:sz w:val="17"/>
              </w:rPr>
              <w:t>SAML Authentication Flow</w:t>
            </w:r>
          </w:p>
        </w:tc>
        <w:tc>
          <w:tcPr>
            <w:tcW w:type="dxa" w:w="5112"/>
            <w:vAlign w:val="top"/>
          </w:tcPr>
          <w:p>
            <w:r/>
            <w:r>
              <w:rPr>
                <w:rFonts w:ascii="Arial" w:hAnsi="Arial" w:eastAsia="Arial"/>
                <w:b w:val="0"/>
                <w:sz w:val="17"/>
              </w:rPr>
              <w:t>Shows browser, EMH, IDAM, SAML assertion, session creation, logout.</w:t>
            </w:r>
          </w:p>
        </w:tc>
      </w:tr>
      <w:tr>
        <w:tc>
          <w:tcPr>
            <w:tcW w:type="dxa" w:w="5112"/>
            <w:vAlign w:val="top"/>
          </w:tcPr>
          <w:p>
            <w:r/>
            <w:r>
              <w:rPr>
                <w:rFonts w:ascii="Arial" w:hAnsi="Arial" w:eastAsia="Arial"/>
                <w:b w:val="0"/>
                <w:sz w:val="17"/>
              </w:rPr>
              <w:t>Permission Resolution Flow</w:t>
            </w:r>
          </w:p>
        </w:tc>
        <w:tc>
          <w:tcPr>
            <w:tcW w:type="dxa" w:w="5112"/>
            <w:vAlign w:val="top"/>
          </w:tcPr>
          <w:p>
            <w:r/>
            <w:r>
              <w:rPr>
                <w:rFonts w:ascii="Arial" w:hAnsi="Arial" w:eastAsia="Arial"/>
                <w:b w:val="0"/>
                <w:sz w:val="17"/>
              </w:rPr>
              <w:t>Shows user, role, module role, page access, microflow access, entity access, explicit action permission.</w:t>
            </w:r>
          </w:p>
        </w:tc>
      </w:tr>
      <w:tr>
        <w:tc>
          <w:tcPr>
            <w:tcW w:type="dxa" w:w="5112"/>
            <w:vAlign w:val="top"/>
          </w:tcPr>
          <w:p>
            <w:r/>
            <w:r>
              <w:rPr>
                <w:rFonts w:ascii="Arial" w:hAnsi="Arial" w:eastAsia="Arial"/>
                <w:b w:val="0"/>
                <w:sz w:val="17"/>
              </w:rPr>
              <w:t>External API Integration Flow</w:t>
            </w:r>
          </w:p>
        </w:tc>
        <w:tc>
          <w:tcPr>
            <w:tcW w:type="dxa" w:w="5112"/>
            <w:vAlign w:val="top"/>
          </w:tcPr>
          <w:p>
            <w:r/>
            <w:r>
              <w:rPr>
                <w:rFonts w:ascii="Arial" w:hAnsi="Arial" w:eastAsia="Arial"/>
                <w:b w:val="0"/>
                <w:sz w:val="17"/>
              </w:rPr>
              <w:t>Shows page action, validation, audit pre-event, integration call, response mapping, audit completion.</w:t>
            </w:r>
          </w:p>
        </w:tc>
      </w:tr>
      <w:tr>
        <w:tc>
          <w:tcPr>
            <w:tcW w:type="dxa" w:w="5112"/>
            <w:vAlign w:val="top"/>
          </w:tcPr>
          <w:p>
            <w:r/>
            <w:r>
              <w:rPr>
                <w:rFonts w:ascii="Arial" w:hAnsi="Arial" w:eastAsia="Arial"/>
                <w:b w:val="0"/>
                <w:sz w:val="17"/>
              </w:rPr>
              <w:t>Data Handling Diagram</w:t>
            </w:r>
          </w:p>
        </w:tc>
        <w:tc>
          <w:tcPr>
            <w:tcW w:type="dxa" w:w="5112"/>
            <w:vAlign w:val="top"/>
          </w:tcPr>
          <w:p>
            <w:r/>
            <w:r>
              <w:rPr>
                <w:rFonts w:ascii="Arial" w:hAnsi="Arial" w:eastAsia="Arial"/>
                <w:b w:val="0"/>
                <w:sz w:val="17"/>
              </w:rPr>
              <w:t>Shows persistent EMH data versus non-persistent external API display data.</w:t>
            </w:r>
          </w:p>
        </w:tc>
      </w:tr>
      <w:tr>
        <w:tc>
          <w:tcPr>
            <w:tcW w:type="dxa" w:w="5112"/>
            <w:vAlign w:val="top"/>
          </w:tcPr>
          <w:p>
            <w:r/>
            <w:r>
              <w:rPr>
                <w:rFonts w:ascii="Arial" w:hAnsi="Arial" w:eastAsia="Arial"/>
                <w:b w:val="0"/>
                <w:sz w:val="17"/>
              </w:rPr>
              <w:t>On-Premises Deployment Diagram</w:t>
            </w:r>
          </w:p>
        </w:tc>
        <w:tc>
          <w:tcPr>
            <w:tcW w:type="dxa" w:w="5112"/>
            <w:vAlign w:val="top"/>
          </w:tcPr>
          <w:p>
            <w:r/>
            <w:r>
              <w:rPr>
                <w:rFonts w:ascii="Arial" w:hAnsi="Arial" w:eastAsia="Arial"/>
                <w:b w:val="0"/>
                <w:sz w:val="17"/>
              </w:rPr>
              <w:t>Shows reverse proxy/load balancer, Mendix runtime, DB, IDAM, APIs, AppDynamics, backup, DR.</w:t>
            </w:r>
          </w:p>
        </w:tc>
      </w:tr>
      <w:tr>
        <w:tc>
          <w:tcPr>
            <w:tcW w:type="dxa" w:w="5112"/>
            <w:vAlign w:val="top"/>
          </w:tcPr>
          <w:p>
            <w:r/>
            <w:r>
              <w:rPr>
                <w:rFonts w:ascii="Arial" w:hAnsi="Arial" w:eastAsia="Arial"/>
                <w:b w:val="0"/>
                <w:sz w:val="17"/>
              </w:rPr>
              <w:t>DR Process Diagram</w:t>
            </w:r>
          </w:p>
        </w:tc>
        <w:tc>
          <w:tcPr>
            <w:tcW w:type="dxa" w:w="5112"/>
            <w:vAlign w:val="top"/>
          </w:tcPr>
          <w:p>
            <w:r/>
            <w:r>
              <w:rPr>
                <w:rFonts w:ascii="Arial" w:hAnsi="Arial" w:eastAsia="Arial"/>
                <w:b w:val="0"/>
                <w:sz w:val="17"/>
              </w:rPr>
              <w:t>Shows redeploy steps, database restore/replication, configuration restore, SAML, DNS/network activation.</w:t>
            </w:r>
          </w:p>
        </w:tc>
      </w:tr>
    </w:tbl>
    <w:p/>
    <w:p>
      <w:pPr>
        <w:pStyle w:val="Heading1"/>
        <w:keepNext/>
      </w:pPr>
      <w:r>
        <w:t>Final Architecture Review Notes</w:t>
      </w:r>
    </w:p>
    <w:p>
      <w:r>
        <w:t>This Mendix rewrite is suitable as a governance baseline, but it should not be treated as production-approved until the pending confirmations are closed. The most critical open items are Mendix on-premises topology, SAML details, API contract readiness, audit retention approval, AppDynamics/SIEM logging architecture, marketplace/custom Java governance, and DR validation against target RTO/RPO.</w:t>
      </w:r>
    </w:p>
    <w:p>
      <w:r>
        <w:br w:type="page"/>
      </w:r>
    </w:p>
    <w:p>
      <w:pPr>
        <w:pStyle w:val="Heading1"/>
      </w:pPr>
      <w:r>
        <w:t>5. Information Security Architecture</w:t>
      </w:r>
    </w:p>
    <w:p>
      <w:r>
        <w:t>The Information Security Architecture defines the security controls required for the on-premises Mendix implementation of the Error Management Hub. The design applies defence-in-depth, least privilege, secure-by-design, privacy-by-design, data minimization, segregation of duties, and auditable access. Because the application processes Confidential and Highly Confidential information, security controls shall be enforced across the Mendix application, runtime, database, operating system, network, identity provider, API integrations, monitoring platform, and operational processes.</w:t>
      </w:r>
    </w:p>
    <w:p>
      <w:r>
        <w:t>Any item that has not yet been confirmed by the relevant Information Security, Infrastructure, Identity, Data Governance, or Compliance owner is identified as pending confirmation and shall not be treated as an approved exception.</w:t>
      </w:r>
    </w:p>
    <w:p>
      <w:pPr>
        <w:pStyle w:val="Heading2"/>
      </w:pPr>
      <w:r>
        <w:t>Original Section Summary</w:t>
      </w:r>
    </w:p>
    <w:p>
      <w:r>
        <w:t>The source architecture document includes several security controls within the backend, frontend, observability, and technical architecture sections, including IDAM authentication, granular authorization, HTTPS, audit logging, input validation, security headers, rate limiting, and structured logging. These controls were expressed mainly as Angular and ASP.NET Core implementation details and therefore require redesign for an on-premises Mendix architecture.</w:t>
      </w:r>
    </w:p>
    <w:p>
      <w:pPr>
        <w:pStyle w:val="Heading2"/>
      </w:pPr>
      <w:r>
        <w:t>Issues with Current Design</w:t>
      </w:r>
    </w:p>
    <w:p>
      <w:pPr>
        <w:pStyle w:val="ListBullet"/>
      </w:pPr>
      <w:r>
        <w:t>Angular route guards, ASP.NET authorization middleware, MediatR permission behaviours, JWT handling, FluentValidation, and .NET security headers are not directly applicable as the target Mendix implementation pattern.</w:t>
      </w:r>
    </w:p>
    <w:p>
      <w:pPr>
        <w:pStyle w:val="ListBullet"/>
      </w:pPr>
      <w:r>
        <w:t>The previous OIDC/JWT flow is inconsistent with the confirmed SAML SSO direction.</w:t>
      </w:r>
    </w:p>
    <w:p>
      <w:pPr>
        <w:pStyle w:val="ListBullet"/>
      </w:pPr>
      <w:r>
        <w:t>Security responsibilities must be distributed across Mendix application security, the SAML identity provider, reverse proxy/load balancer, operating system, database, network security controls, AppDynamics, and operational procedures.</w:t>
      </w:r>
    </w:p>
    <w:p>
      <w:pPr>
        <w:pStyle w:val="ListBullet"/>
      </w:pPr>
      <w:r>
        <w:t>The original document does not provide a complete threat model, privacy-by-design analysis, privileged access model, third-party component governance model, or secure migration/cut-over security approach.</w:t>
      </w:r>
    </w:p>
    <w:p>
      <w:pPr>
        <w:pStyle w:val="ListBullet"/>
      </w:pPr>
      <w:r>
        <w:t>The current one-year audit retention requirement requires formal validation against legal, healthcare, records-management, and cybersecurity obligations.</w:t>
      </w:r>
    </w:p>
    <w:p>
      <w:pPr>
        <w:pStyle w:val="Heading2"/>
      </w:pPr>
      <w:r>
        <w:t>5.1 Information Resource Management Assessment</w:t>
      </w:r>
    </w:p>
    <w:p>
      <w:r>
        <w:t>An Information Resource Management assessment shall be completed before production approval to identify and classify all information resources used, processed, transmitted, displayed, or generated by EMH. The assessment shall include application components, Mendix modules, persistent and non-persistent entities, databases, files, secrets, SAML metadata/certificates, API contracts, infrastructure components, deployment packages, logs, audit records, backups, AppDynamics telemetry, and operational documentation.</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D9EAF7"/>
          </w:tcPr>
          <w:p>
            <w:r/>
            <w:r>
              <w:rPr>
                <w:b/>
                <w:sz w:val="18"/>
              </w:rPr>
              <w:t>Information Resource</w:t>
            </w:r>
          </w:p>
        </w:tc>
        <w:tc>
          <w:tcPr>
            <w:tcW w:type="dxa" w:w="3024"/>
            <w:vAlign w:val="center"/>
            <w:shd w:fill="D9EAF7"/>
          </w:tcPr>
          <w:p>
            <w:r/>
            <w:r>
              <w:rPr>
                <w:b/>
                <w:sz w:val="18"/>
              </w:rPr>
              <w:t>Classification / Ownership</w:t>
            </w:r>
          </w:p>
        </w:tc>
        <w:tc>
          <w:tcPr>
            <w:tcW w:type="dxa" w:w="4752"/>
            <w:vAlign w:val="center"/>
            <w:shd w:fill="D9EAF7"/>
          </w:tcPr>
          <w:p>
            <w:r/>
            <w:r>
              <w:rPr>
                <w:b/>
                <w:sz w:val="18"/>
              </w:rPr>
              <w:t>Required Control</w:t>
            </w:r>
          </w:p>
        </w:tc>
      </w:tr>
      <w:tr>
        <w:tc>
          <w:tcPr>
            <w:tcW w:type="dxa" w:w="3024"/>
            <w:vAlign w:val="center"/>
          </w:tcPr>
          <w:p>
            <w:r/>
            <w:r>
              <w:rPr>
                <w:b w:val="0"/>
                <w:sz w:val="18"/>
              </w:rPr>
              <w:t>External identity, patient, payment and application data</w:t>
            </w:r>
          </w:p>
        </w:tc>
        <w:tc>
          <w:tcPr>
            <w:tcW w:type="dxa" w:w="3024"/>
            <w:vAlign w:val="center"/>
          </w:tcPr>
          <w:p>
            <w:r/>
            <w:r>
              <w:rPr>
                <w:b w:val="0"/>
                <w:sz w:val="18"/>
              </w:rPr>
              <w:t>Confidential / Highly Confidential; owned by source system</w:t>
            </w:r>
          </w:p>
        </w:tc>
        <w:tc>
          <w:tcPr>
            <w:tcW w:type="dxa" w:w="4752"/>
            <w:vAlign w:val="center"/>
          </w:tcPr>
          <w:p>
            <w:r/>
            <w:r>
              <w:rPr>
                <w:b w:val="0"/>
                <w:sz w:val="18"/>
              </w:rPr>
              <w:t>Display only; no persistence by default; role-restricted access; audit sensitive searches and views.</w:t>
            </w:r>
          </w:p>
        </w:tc>
      </w:tr>
      <w:tr>
        <w:tc>
          <w:tcPr>
            <w:tcW w:type="dxa" w:w="3024"/>
            <w:vAlign w:val="center"/>
          </w:tcPr>
          <w:p>
            <w:r/>
            <w:r>
              <w:rPr>
                <w:b w:val="0"/>
                <w:sz w:val="18"/>
              </w:rPr>
              <w:t>EMH users, roles, permissions and configuration</w:t>
            </w:r>
          </w:p>
        </w:tc>
        <w:tc>
          <w:tcPr>
            <w:tcW w:type="dxa" w:w="3024"/>
            <w:vAlign w:val="center"/>
          </w:tcPr>
          <w:p>
            <w:r/>
            <w:r>
              <w:rPr>
                <w:b w:val="0"/>
                <w:sz w:val="18"/>
              </w:rPr>
              <w:t>Confidential; owned by EMH business/application owner</w:t>
            </w:r>
          </w:p>
        </w:tc>
        <w:tc>
          <w:tcPr>
            <w:tcW w:type="dxa" w:w="4752"/>
            <w:vAlign w:val="center"/>
          </w:tcPr>
          <w:p>
            <w:r/>
            <w:r>
              <w:rPr>
                <w:b w:val="0"/>
                <w:sz w:val="18"/>
              </w:rPr>
              <w:t>Least privilege; change audit; controlled administration; backup and restore.</w:t>
            </w:r>
          </w:p>
        </w:tc>
      </w:tr>
      <w:tr>
        <w:tc>
          <w:tcPr>
            <w:tcW w:type="dxa" w:w="3024"/>
            <w:vAlign w:val="center"/>
          </w:tcPr>
          <w:p>
            <w:r/>
            <w:r>
              <w:rPr>
                <w:b w:val="0"/>
                <w:sz w:val="18"/>
              </w:rPr>
              <w:t>Audit records</w:t>
            </w:r>
          </w:p>
        </w:tc>
        <w:tc>
          <w:tcPr>
            <w:tcW w:type="dxa" w:w="3024"/>
            <w:vAlign w:val="center"/>
          </w:tcPr>
          <w:p>
            <w:r/>
            <w:r>
              <w:rPr>
                <w:b w:val="0"/>
                <w:sz w:val="18"/>
              </w:rPr>
              <w:t>Confidential; owned by EMH and Information Security/Compliance</w:t>
            </w:r>
          </w:p>
        </w:tc>
        <w:tc>
          <w:tcPr>
            <w:tcW w:type="dxa" w:w="4752"/>
            <w:vAlign w:val="center"/>
          </w:tcPr>
          <w:p>
            <w:r/>
            <w:r>
              <w:rPr>
                <w:b w:val="0"/>
                <w:sz w:val="18"/>
              </w:rPr>
              <w:t>One-year retention pending validation; tamper protection; restricted access; searchable by authorized users only.</w:t>
            </w:r>
          </w:p>
        </w:tc>
      </w:tr>
      <w:tr>
        <w:tc>
          <w:tcPr>
            <w:tcW w:type="dxa" w:w="3024"/>
            <w:vAlign w:val="center"/>
          </w:tcPr>
          <w:p>
            <w:r/>
            <w:r>
              <w:rPr>
                <w:b w:val="0"/>
                <w:sz w:val="18"/>
              </w:rPr>
              <w:t>SAML certificates, metadata and integration secrets</w:t>
            </w:r>
          </w:p>
        </w:tc>
        <w:tc>
          <w:tcPr>
            <w:tcW w:type="dxa" w:w="3024"/>
            <w:vAlign w:val="center"/>
          </w:tcPr>
          <w:p>
            <w:r/>
            <w:r>
              <w:rPr>
                <w:b w:val="0"/>
                <w:sz w:val="18"/>
              </w:rPr>
              <w:t>Highly Confidential security material; owned by Identity/Infrastructure</w:t>
            </w:r>
          </w:p>
        </w:tc>
        <w:tc>
          <w:tcPr>
            <w:tcW w:type="dxa" w:w="4752"/>
            <w:vAlign w:val="center"/>
          </w:tcPr>
          <w:p>
            <w:r/>
            <w:r>
              <w:rPr>
                <w:b w:val="0"/>
                <w:sz w:val="18"/>
              </w:rPr>
              <w:t>Approved secret/certificate store; restricted privileged access; rotation and expiry monitoring.</w:t>
            </w:r>
          </w:p>
        </w:tc>
      </w:tr>
      <w:tr>
        <w:tc>
          <w:tcPr>
            <w:tcW w:type="dxa" w:w="3024"/>
            <w:vAlign w:val="center"/>
          </w:tcPr>
          <w:p>
            <w:r/>
            <w:r>
              <w:rPr>
                <w:b w:val="0"/>
                <w:sz w:val="18"/>
              </w:rPr>
              <w:t>Application and infrastructure logs</w:t>
            </w:r>
          </w:p>
        </w:tc>
        <w:tc>
          <w:tcPr>
            <w:tcW w:type="dxa" w:w="3024"/>
            <w:vAlign w:val="center"/>
          </w:tcPr>
          <w:p>
            <w:r/>
            <w:r>
              <w:rPr>
                <w:b w:val="0"/>
                <w:sz w:val="18"/>
              </w:rPr>
              <w:t>Confidential; owned by Operations/Information Security</w:t>
            </w:r>
          </w:p>
        </w:tc>
        <w:tc>
          <w:tcPr>
            <w:tcW w:type="dxa" w:w="4752"/>
            <w:vAlign w:val="center"/>
          </w:tcPr>
          <w:p>
            <w:r/>
            <w:r>
              <w:rPr>
                <w:b w:val="0"/>
                <w:sz w:val="18"/>
              </w:rPr>
              <w:t>Sanitization; controlled retention; no sensitive payloads; AppDynamics access control.</w:t>
            </w:r>
          </w:p>
        </w:tc>
      </w:tr>
      <w:tr>
        <w:tc>
          <w:tcPr>
            <w:tcW w:type="dxa" w:w="3024"/>
            <w:vAlign w:val="center"/>
          </w:tcPr>
          <w:p>
            <w:r/>
            <w:r>
              <w:rPr>
                <w:b w:val="0"/>
                <w:sz w:val="18"/>
              </w:rPr>
              <w:t>Mendix deployment packages and source models</w:t>
            </w:r>
          </w:p>
        </w:tc>
        <w:tc>
          <w:tcPr>
            <w:tcW w:type="dxa" w:w="3024"/>
            <w:vAlign w:val="center"/>
          </w:tcPr>
          <w:p>
            <w:r/>
            <w:r>
              <w:rPr>
                <w:b w:val="0"/>
                <w:sz w:val="18"/>
              </w:rPr>
              <w:t>Confidential intellectual property; owned by project/application owner</w:t>
            </w:r>
          </w:p>
        </w:tc>
        <w:tc>
          <w:tcPr>
            <w:tcW w:type="dxa" w:w="4752"/>
            <w:vAlign w:val="center"/>
          </w:tcPr>
          <w:p>
            <w:r/>
            <w:r>
              <w:rPr>
                <w:b w:val="0"/>
                <w:sz w:val="18"/>
              </w:rPr>
              <w:t>Version control, access restriction, integrity checks, release approvals and secure backup.</w:t>
            </w:r>
          </w:p>
        </w:tc>
      </w:tr>
      <w:tr>
        <w:tc>
          <w:tcPr>
            <w:tcW w:type="dxa" w:w="3024"/>
            <w:vAlign w:val="center"/>
          </w:tcPr>
          <w:p>
            <w:r/>
            <w:r>
              <w:rPr>
                <w:b w:val="0"/>
                <w:sz w:val="18"/>
              </w:rPr>
              <w:t>Backups and DR artifacts</w:t>
            </w:r>
          </w:p>
        </w:tc>
        <w:tc>
          <w:tcPr>
            <w:tcW w:type="dxa" w:w="3024"/>
            <w:vAlign w:val="center"/>
          </w:tcPr>
          <w:p>
            <w:r/>
            <w:r>
              <w:rPr>
                <w:b w:val="0"/>
                <w:sz w:val="18"/>
              </w:rPr>
              <w:t>Same classification as source information</w:t>
            </w:r>
          </w:p>
        </w:tc>
        <w:tc>
          <w:tcPr>
            <w:tcW w:type="dxa" w:w="4752"/>
            <w:vAlign w:val="center"/>
          </w:tcPr>
          <w:p>
            <w:r/>
            <w:r>
              <w:rPr>
                <w:b w:val="0"/>
                <w:sz w:val="18"/>
              </w:rPr>
              <w:t>Encryption, controlled access, approved location, restore testing and retention management.</w:t>
            </w:r>
          </w:p>
        </w:tc>
      </w:tr>
    </w:tbl>
    <w:p/>
    <w:p>
      <w:r>
        <w:t>The assessment output shall include asset owner, custodian, classification, location, lifecycle, retention, criticality, recovery requirement, access groups, dependencies, and disposal method for each information resource.</w:t>
      </w:r>
    </w:p>
    <w:p>
      <w:pPr>
        <w:pStyle w:val="Heading2"/>
      </w:pPr>
      <w:r>
        <w:t>5.2 Assurance for Cloud or SaaS-Based Components</w:t>
      </w:r>
    </w:p>
    <w:p>
      <w:r>
        <w:t>The primary deployment model is on-premises; therefore, cloud/SaaS assurance is not the main hosting assurance path. However, any external SaaS, vendor-hosted portal, marketplace dependency, remote support service, telemetry destination, code repository, or third-party API introduced into the solution shall undergo formal third-party assurance before use.</w:t>
      </w:r>
    </w:p>
    <w:p>
      <w:pPr>
        <w:pStyle w:val="ListBullet"/>
      </w:pPr>
      <w:r>
        <w:t>Confirm data location, data residency, subcontractors, support access locations, breach notification obligations, data return/deletion, and exit arrangements.</w:t>
      </w:r>
    </w:p>
    <w:p>
      <w:pPr>
        <w:pStyle w:val="ListBullet"/>
      </w:pPr>
      <w:r>
        <w:t>Review independent assurance evidence such as ISO 27001 certification, SOC reports, penetration-test summaries, vulnerability-management practices, and secure-development controls where applicable.</w:t>
      </w:r>
    </w:p>
    <w:p>
      <w:pPr>
        <w:pStyle w:val="ListBullet"/>
      </w:pPr>
      <w:r>
        <w:t>Confirm that no Confidential or Highly Confidential information is transmitted to an unapproved SaaS service.</w:t>
      </w:r>
    </w:p>
    <w:p>
      <w:pPr>
        <w:pStyle w:val="ListBullet"/>
      </w:pPr>
      <w:r>
        <w:t>Disable vendor telemetry or cloud-based diagnostics unless explicitly approved.</w:t>
      </w:r>
    </w:p>
    <w:p>
      <w:pPr>
        <w:pStyle w:val="ListBullet"/>
      </w:pPr>
      <w:r>
        <w:t>Treat Mendix Marketplace modules and external libraries as third-party software components subject to security review, licensing review, provenance verification, and vulnerability monitoring.</w:t>
      </w:r>
    </w:p>
    <w:p>
      <w:r>
        <w:t>Pending confirmation: whether any SaaS-based development, source control, collaboration, marketplace, or vendor-support services are permitted for this project.</w:t>
      </w:r>
    </w:p>
    <w:p>
      <w:pPr>
        <w:pStyle w:val="Heading2"/>
      </w:pPr>
      <w:r>
        <w:t>5.3 Segregation</w:t>
      </w:r>
    </w:p>
    <w:p>
      <w:r>
        <w:t>Segregation shall be implemented across environments, duties, networks, data, credentials, and administrative functions. Development, SIT, UAT, pre-production, production, and DR environments shall be logically and operationally separated.</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Segregation Area</w:t>
            </w:r>
          </w:p>
        </w:tc>
        <w:tc>
          <w:tcPr>
            <w:tcW w:type="dxa" w:w="7632"/>
            <w:vAlign w:val="center"/>
            <w:shd w:fill="D9EAF7"/>
          </w:tcPr>
          <w:p>
            <w:r/>
            <w:r>
              <w:rPr>
                <w:b/>
                <w:sz w:val="18"/>
              </w:rPr>
              <w:t>Control Requirement</w:t>
            </w:r>
          </w:p>
        </w:tc>
      </w:tr>
      <w:tr>
        <w:tc>
          <w:tcPr>
            <w:tcW w:type="dxa" w:w="3168"/>
            <w:vAlign w:val="center"/>
          </w:tcPr>
          <w:p>
            <w:r/>
            <w:r>
              <w:rPr>
                <w:b w:val="0"/>
                <w:sz w:val="18"/>
              </w:rPr>
              <w:t>Environment segregation</w:t>
            </w:r>
          </w:p>
        </w:tc>
        <w:tc>
          <w:tcPr>
            <w:tcW w:type="dxa" w:w="7632"/>
            <w:vAlign w:val="center"/>
          </w:tcPr>
          <w:p>
            <w:r/>
            <w:r>
              <w:rPr>
                <w:b w:val="0"/>
                <w:sz w:val="18"/>
              </w:rPr>
              <w:t>Separate runtime configuration, databases, credentials, SAML relying-party configuration, API endpoints, logging destinations and deployment permissions.</w:t>
            </w:r>
          </w:p>
        </w:tc>
      </w:tr>
      <w:tr>
        <w:tc>
          <w:tcPr>
            <w:tcW w:type="dxa" w:w="3168"/>
            <w:vAlign w:val="center"/>
          </w:tcPr>
          <w:p>
            <w:r/>
            <w:r>
              <w:rPr>
                <w:b w:val="0"/>
                <w:sz w:val="18"/>
              </w:rPr>
              <w:t>Network segregation</w:t>
            </w:r>
          </w:p>
        </w:tc>
        <w:tc>
          <w:tcPr>
            <w:tcW w:type="dxa" w:w="7632"/>
            <w:vAlign w:val="center"/>
          </w:tcPr>
          <w:p>
            <w:r/>
            <w:r>
              <w:rPr>
                <w:b w:val="0"/>
                <w:sz w:val="18"/>
              </w:rPr>
              <w:t>Place presentation/reverse-proxy, application runtime, database and management components in approved network zones with deny-by-default firewall rules.</w:t>
            </w:r>
          </w:p>
        </w:tc>
      </w:tr>
      <w:tr>
        <w:tc>
          <w:tcPr>
            <w:tcW w:type="dxa" w:w="3168"/>
            <w:vAlign w:val="center"/>
          </w:tcPr>
          <w:p>
            <w:r/>
            <w:r>
              <w:rPr>
                <w:b w:val="0"/>
                <w:sz w:val="18"/>
              </w:rPr>
              <w:t>Duty segregation</w:t>
            </w:r>
          </w:p>
        </w:tc>
        <w:tc>
          <w:tcPr>
            <w:tcW w:type="dxa" w:w="7632"/>
            <w:vAlign w:val="center"/>
          </w:tcPr>
          <w:p>
            <w:r/>
            <w:r>
              <w:rPr>
                <w:b w:val="0"/>
                <w:sz w:val="18"/>
              </w:rPr>
              <w:t>Separate development, code review, security approval, release approval, production deployment, privileged administration and audit review responsibilities.</w:t>
            </w:r>
          </w:p>
        </w:tc>
      </w:tr>
      <w:tr>
        <w:tc>
          <w:tcPr>
            <w:tcW w:type="dxa" w:w="3168"/>
            <w:vAlign w:val="center"/>
          </w:tcPr>
          <w:p>
            <w:r/>
            <w:r>
              <w:rPr>
                <w:b w:val="0"/>
                <w:sz w:val="18"/>
              </w:rPr>
              <w:t>Data segregation</w:t>
            </w:r>
          </w:p>
        </w:tc>
        <w:tc>
          <w:tcPr>
            <w:tcW w:type="dxa" w:w="7632"/>
            <w:vAlign w:val="center"/>
          </w:tcPr>
          <w:p>
            <w:r/>
            <w:r>
              <w:rPr>
                <w:b w:val="0"/>
                <w:sz w:val="18"/>
              </w:rPr>
              <w:t>Do not use production data in non-production environments unless formally approved and masked. Prevent cross-environment API connectivity.</w:t>
            </w:r>
          </w:p>
        </w:tc>
      </w:tr>
      <w:tr>
        <w:tc>
          <w:tcPr>
            <w:tcW w:type="dxa" w:w="3168"/>
            <w:vAlign w:val="center"/>
          </w:tcPr>
          <w:p>
            <w:r/>
            <w:r>
              <w:rPr>
                <w:b w:val="0"/>
                <w:sz w:val="18"/>
              </w:rPr>
              <w:t>Administrative segregation</w:t>
            </w:r>
          </w:p>
        </w:tc>
        <w:tc>
          <w:tcPr>
            <w:tcW w:type="dxa" w:w="7632"/>
            <w:vAlign w:val="center"/>
          </w:tcPr>
          <w:p>
            <w:r/>
            <w:r>
              <w:rPr>
                <w:b w:val="0"/>
                <w:sz w:val="18"/>
              </w:rPr>
              <w:t>Separate business administration from technical platform administration and database/operating-system administration.</w:t>
            </w:r>
          </w:p>
        </w:tc>
      </w:tr>
      <w:tr>
        <w:tc>
          <w:tcPr>
            <w:tcW w:type="dxa" w:w="3168"/>
            <w:vAlign w:val="center"/>
          </w:tcPr>
          <w:p>
            <w:r/>
            <w:r>
              <w:rPr>
                <w:b w:val="0"/>
                <w:sz w:val="18"/>
              </w:rPr>
              <w:t>Monitoring segregation</w:t>
            </w:r>
          </w:p>
        </w:tc>
        <w:tc>
          <w:tcPr>
            <w:tcW w:type="dxa" w:w="7632"/>
            <w:vAlign w:val="center"/>
          </w:tcPr>
          <w:p>
            <w:r/>
            <w:r>
              <w:rPr>
                <w:b w:val="0"/>
                <w:sz w:val="18"/>
              </w:rPr>
              <w:t>Restrict access to AppDynamics dashboards and logs based on operational and security responsibilities.</w:t>
            </w:r>
          </w:p>
        </w:tc>
      </w:tr>
      <w:tr>
        <w:tc>
          <w:tcPr>
            <w:tcW w:type="dxa" w:w="3168"/>
            <w:vAlign w:val="center"/>
          </w:tcPr>
          <w:p>
            <w:r/>
            <w:r>
              <w:rPr>
                <w:b w:val="0"/>
                <w:sz w:val="18"/>
              </w:rPr>
              <w:t>Backup segregation</w:t>
            </w:r>
          </w:p>
        </w:tc>
        <w:tc>
          <w:tcPr>
            <w:tcW w:type="dxa" w:w="7632"/>
            <w:vAlign w:val="center"/>
          </w:tcPr>
          <w:p>
            <w:r/>
            <w:r>
              <w:rPr>
                <w:b w:val="0"/>
                <w:sz w:val="18"/>
              </w:rPr>
              <w:t>Protect backup repositories from ordinary application/runtime access and from alteration by application accounts.</w:t>
            </w:r>
          </w:p>
        </w:tc>
      </w:tr>
    </w:tbl>
    <w:p/>
    <w:p>
      <w:pPr>
        <w:pStyle w:val="Heading2"/>
      </w:pPr>
      <w:r>
        <w:t>5.4 Identity &amp; Access Management</w:t>
      </w:r>
    </w:p>
    <w:p>
      <w:r>
        <w:t>Identity and access management shall use enterprise IDAM with SAML-based SSO. IDAM authenticates the user, while EMH remains responsible for application authorization. No local password authentication shall be implemented unless formally approved as an emergency break-glass mechanism.</w:t>
      </w:r>
    </w:p>
    <w:p>
      <w:pPr>
        <w:pStyle w:val="Heading3"/>
      </w:pPr>
      <w:r>
        <w:t>5.4.1 Identity Management</w:t>
      </w:r>
    </w:p>
    <w:p>
      <w:pPr>
        <w:pStyle w:val="ListBullet"/>
      </w:pPr>
      <w:r>
        <w:t>Use SAML 2.0 through the approved enterprise IDAM and approved Mendix SAML integration pattern.</w:t>
      </w:r>
    </w:p>
    <w:p>
      <w:pPr>
        <w:pStyle w:val="ListBullet"/>
      </w:pPr>
      <w:r>
        <w:t>Validate SAML issuer, audience, signature, certificate chain, assertion validity period, destination, recipient, and replay protection.</w:t>
      </w:r>
    </w:p>
    <w:p>
      <w:pPr>
        <w:pStyle w:val="ListBullet"/>
      </w:pPr>
      <w:r>
        <w:t>Map the immutable enterprise identity identifier to an EMH user record; do not rely only on email address or display name.</w:t>
      </w:r>
    </w:p>
    <w:p>
      <w:pPr>
        <w:pStyle w:val="ListBullet"/>
      </w:pPr>
      <w:r>
        <w:t>Define joiner, mover, and leaver processes, including timely deactivation and role reassessment.</w:t>
      </w:r>
    </w:p>
    <w:p>
      <w:pPr>
        <w:pStyle w:val="ListBullet"/>
      </w:pPr>
      <w:r>
        <w:t>Confirm required SAML claims, including unique subject identifier, display name, email, organizational unit and any approved group attributes.</w:t>
      </w:r>
    </w:p>
    <w:p>
      <w:pPr>
        <w:pStyle w:val="ListBullet"/>
      </w:pPr>
      <w:r>
        <w:t>Do not log SAML assertions or sensitive identity claims.</w:t>
      </w:r>
    </w:p>
    <w:p>
      <w:pPr>
        <w:pStyle w:val="ListBullet"/>
      </w:pPr>
      <w:r>
        <w:t>Monitor SAML certificate expiry and define a controlled certificate-rotation procedure.</w:t>
      </w:r>
    </w:p>
    <w:p>
      <w:pPr>
        <w:pStyle w:val="ListBullet"/>
      </w:pPr>
      <w:r>
        <w:t>Clarify whether UAE Pass is brokered through IDAM or requires a separate integration. No direct UAE Pass integration is assumed until formally confirmed.</w:t>
      </w:r>
    </w:p>
    <w:p>
      <w:pPr>
        <w:pStyle w:val="Heading3"/>
      </w:pPr>
      <w:r>
        <w:t>5.4.2 Access Management</w:t>
      </w:r>
    </w:p>
    <w:p>
      <w:r>
        <w:t>Access shall follow deny-by-default and least-privilege principles. Mendix security controls shall be applied at multiple levels and not only through page visibility.</w:t>
      </w:r>
    </w:p>
    <w:p>
      <w:pPr>
        <w:pStyle w:val="ListBullet"/>
      </w:pPr>
      <w:r>
        <w:t>Use Mendix user roles and module roles to define coarse-grained access.</w:t>
      </w:r>
    </w:p>
    <w:p>
      <w:pPr>
        <w:pStyle w:val="ListBullet"/>
      </w:pPr>
      <w:r>
        <w:t>Configure page access, microflow access, nanoflow access where relevant, and entity access for every persistent entity.</w:t>
      </w:r>
    </w:p>
    <w:p>
      <w:pPr>
        <w:pStyle w:val="ListBullet"/>
      </w:pPr>
      <w:r>
        <w:t>Use explicit permission-check microflows for sensitive operations and action-level privileges such as View, Create, Edit, Assign, Approve, Close and Export.</w:t>
      </w:r>
    </w:p>
    <w:p>
      <w:pPr>
        <w:pStyle w:val="ListBullet"/>
      </w:pPr>
      <w:r>
        <w:t>Use non-persistent entities for external display-only data, while ensuring all service calls are initiated only through secured microflows.</w:t>
      </w:r>
    </w:p>
    <w:p>
      <w:pPr>
        <w:pStyle w:val="ListBullet"/>
      </w:pPr>
      <w:r>
        <w:t>Disable export, download, print and clipboard-oriented features by default for Highly Confidential data unless explicitly approved.</w:t>
      </w:r>
    </w:p>
    <w:p>
      <w:pPr>
        <w:pStyle w:val="ListBullet"/>
      </w:pPr>
      <w:r>
        <w:t>Log failed authorization attempts and sensitive data access events using sanitized identifiers.</w:t>
      </w:r>
    </w:p>
    <w:p>
      <w:pPr>
        <w:pStyle w:val="ListBullet"/>
      </w:pPr>
      <w:r>
        <w:t>Review access periodically and on role change, transfer, extended leave or termination.</w:t>
      </w:r>
    </w:p>
    <w:p>
      <w:pPr>
        <w:pStyle w:val="ListBullet"/>
      </w:pPr>
      <w:r>
        <w:t>Avoid broad default roles. Application Admin access shall be scoped to assigned applications where technically and operationally feasible.</w:t>
      </w:r>
    </w:p>
    <w:p>
      <w:pPr>
        <w:pStyle w:val="Heading3"/>
      </w:pPr>
      <w:r>
        <w:t>5.4.3 Privileged Access Management</w:t>
      </w:r>
    </w:p>
    <w:p>
      <w:r>
        <w:t>Privileged access includes Mendix platform/runtime administration, production deployment, operating-system administration, database administration, reverse-proxy/load-balancer administration, AppDynamics administration, certificate/secret management, and EMH Super Admin functions.</w:t>
      </w:r>
    </w:p>
    <w:p>
      <w:pPr>
        <w:pStyle w:val="ListBullet"/>
      </w:pPr>
      <w:r>
        <w:t>Use named privileged accounts; shared administrative accounts are prohibited except formally controlled emergency accounts.</w:t>
      </w:r>
    </w:p>
    <w:p>
      <w:pPr>
        <w:pStyle w:val="ListBullet"/>
      </w:pPr>
      <w:r>
        <w:t>Integrate privileged accounts with the organization’s approved Privileged Access Management solution where available.</w:t>
      </w:r>
    </w:p>
    <w:p>
      <w:pPr>
        <w:pStyle w:val="ListBullet"/>
      </w:pPr>
      <w:r>
        <w:t>Require MFA for privileged access at the identity or PAM layer.</w:t>
      </w:r>
    </w:p>
    <w:p>
      <w:pPr>
        <w:pStyle w:val="ListBullet"/>
      </w:pPr>
      <w:r>
        <w:t>Use just-in-time or time-bound privileged access where supported.</w:t>
      </w:r>
    </w:p>
    <w:p>
      <w:pPr>
        <w:pStyle w:val="ListBullet"/>
      </w:pPr>
      <w:r>
        <w:t>Record privileged sessions and administrative actions where required by policy.</w:t>
      </w:r>
    </w:p>
    <w:p>
      <w:pPr>
        <w:pStyle w:val="ListBullet"/>
      </w:pPr>
      <w:r>
        <w:t>Separate Super Admin application permissions from infrastructure and database administration.</w:t>
      </w:r>
    </w:p>
    <w:p>
      <w:pPr>
        <w:pStyle w:val="ListBullet"/>
      </w:pPr>
      <w:r>
        <w:t>Review privileged access at a higher frequency than normal user access.</w:t>
      </w:r>
    </w:p>
    <w:p>
      <w:pPr>
        <w:pStyle w:val="ListBullet"/>
      </w:pPr>
      <w:r>
        <w:t>Protect and test break-glass accounts, with all use immediately reviewed and documented.</w:t>
      </w:r>
    </w:p>
    <w:p>
      <w:r>
        <w:t>Pending confirmation: the approved PAM product, privileged session-recording requirement, emergency-access procedure, and privileged review frequency.</w:t>
      </w:r>
    </w:p>
    <w:p>
      <w:pPr>
        <w:pStyle w:val="Heading2"/>
      </w:pPr>
      <w:r>
        <w:t>5.5 Vulnerability Management</w:t>
      </w:r>
    </w:p>
    <w:p>
      <w:r>
        <w:t>The vulnerability-management process shall cover the Mendix application model, custom Java actions, custom widgets, Marketplace modules, third-party libraries, runtime dependencies, operating systems, database platform, web/reverse proxy, AppDynamics agents, and container images if containers are used.</w:t>
      </w:r>
    </w:p>
    <w:p>
      <w:pPr>
        <w:pStyle w:val="ListBullet"/>
      </w:pPr>
      <w:r>
        <w:t>Maintain an inventory and version baseline of all application and infrastructure components.</w:t>
      </w:r>
    </w:p>
    <w:p>
      <w:pPr>
        <w:pStyle w:val="ListBullet"/>
      </w:pPr>
      <w:r>
        <w:t>Perform authenticated infrastructure and web-application vulnerability scanning before go-live and at the frequency required by policy.</w:t>
      </w:r>
    </w:p>
    <w:p>
      <w:pPr>
        <w:pStyle w:val="ListBullet"/>
      </w:pPr>
      <w:r>
        <w:t>Apply risk-based remediation SLAs approved by Information Security.</w:t>
      </w:r>
    </w:p>
    <w:p>
      <w:pPr>
        <w:pStyle w:val="ListBullet"/>
      </w:pPr>
      <w:r>
        <w:t>Track vulnerabilities to closure, with documented risk acceptance for any exception.</w:t>
      </w:r>
    </w:p>
    <w:p>
      <w:pPr>
        <w:pStyle w:val="ListBullet"/>
      </w:pPr>
      <w:r>
        <w:t>Perform penetration testing before production and after material changes.</w:t>
      </w:r>
    </w:p>
    <w:p>
      <w:pPr>
        <w:pStyle w:val="ListBullet"/>
      </w:pPr>
      <w:r>
        <w:t>Monitor Mendix platform and component security advisories and maintain a patch/upgrade process.</w:t>
      </w:r>
    </w:p>
    <w:p>
      <w:pPr>
        <w:pStyle w:val="ListBullet"/>
      </w:pPr>
      <w:r>
        <w:t>Prohibit unsupported Mendix/runtime/OS/database versions in production.</w:t>
      </w:r>
    </w:p>
    <w:p>
      <w:pPr>
        <w:pStyle w:val="ListBullet"/>
      </w:pPr>
      <w:r>
        <w:t>Retest remediated findings and retain evidence for architecture/security approval.</w:t>
      </w:r>
    </w:p>
    <w:p>
      <w:pPr>
        <w:pStyle w:val="Heading3"/>
      </w:pPr>
      <w:r>
        <w:t>5.5.1 SAST - Static Application Security Testing</w:t>
      </w:r>
    </w:p>
    <w:p>
      <w:r>
        <w:t>SAST shall be applied to all custom Java code, Java actions, custom widgets, scripts, generated extensions, and other source-code components that fall outside purely model-driven Mendix configuration. The chosen SAST tool and rule set shall be approved by Information Security.</w:t>
      </w:r>
    </w:p>
    <w:p>
      <w:pPr>
        <w:pStyle w:val="ListBullet"/>
      </w:pPr>
      <w:r>
        <w:t>Run SAST in the controlled CI/CD process for each release candidate containing custom code.</w:t>
      </w:r>
    </w:p>
    <w:p>
      <w:pPr>
        <w:pStyle w:val="ListBullet"/>
      </w:pPr>
      <w:r>
        <w:t>Fail or block releases based on approved severity thresholds.</w:t>
      </w:r>
    </w:p>
    <w:p>
      <w:pPr>
        <w:pStyle w:val="ListBullet"/>
      </w:pPr>
      <w:r>
        <w:t>Review findings for injection, insecure deserialization, path traversal, cryptography misuse, sensitive-data exposure, authorization flaws, and unsafe logging.</w:t>
      </w:r>
    </w:p>
    <w:p>
      <w:pPr>
        <w:pStyle w:val="ListBullet"/>
      </w:pPr>
      <w:r>
        <w:t>Where model-level Mendix security analysis tooling is available, include it as part of design-time review.</w:t>
      </w:r>
    </w:p>
    <w:p>
      <w:pPr>
        <w:pStyle w:val="ListBullet"/>
      </w:pPr>
      <w:r>
        <w:t>Document any false-positive disposition and risk acceptance.</w:t>
      </w:r>
    </w:p>
    <w:p>
      <w:r>
        <w:t>Pending confirmation: whether custom Java is permitted, the approved SAST product, and the release-blocking thresholds.</w:t>
      </w:r>
    </w:p>
    <w:p>
      <w:pPr>
        <w:pStyle w:val="Heading3"/>
      </w:pPr>
      <w:r>
        <w:t>5.5.2 SCA - Software Composition Analysis</w:t>
      </w:r>
    </w:p>
    <w:p>
      <w:r>
        <w:t>Software Composition Analysis shall identify known vulnerabilities, license obligations, unsupported versions, and provenance risks in custom Java dependencies, custom widgets, Marketplace modules, AppDynamics agents, and any externally packaged components.</w:t>
      </w:r>
    </w:p>
    <w:p>
      <w:pPr>
        <w:pStyle w:val="ListBullet"/>
      </w:pPr>
      <w:r>
        <w:t>Generate and maintain a Software Bill of Materials for each production release where technically feasible.</w:t>
      </w:r>
    </w:p>
    <w:p>
      <w:pPr>
        <w:pStyle w:val="ListBullet"/>
      </w:pPr>
      <w:r>
        <w:t>Block use of components with prohibited licenses or unacceptable critical vulnerabilities unless a formal exception is approved.</w:t>
      </w:r>
    </w:p>
    <w:p>
      <w:pPr>
        <w:pStyle w:val="ListBullet"/>
      </w:pPr>
      <w:r>
        <w:t>Verify the publisher, maintenance status, version and dependency tree of every Marketplace module before adoption.</w:t>
      </w:r>
    </w:p>
    <w:p>
      <w:pPr>
        <w:pStyle w:val="ListBullet"/>
      </w:pPr>
      <w:r>
        <w:t>Rescan dependencies periodically and when new vulnerability intelligence becomes available.</w:t>
      </w:r>
    </w:p>
    <w:p>
      <w:pPr>
        <w:pStyle w:val="ListBullet"/>
      </w:pPr>
      <w:r>
        <w:t>Remove unused libraries and modules to reduce attack surface.</w:t>
      </w:r>
    </w:p>
    <w:p>
      <w:r>
        <w:t>Pending confirmation: approved SCA tooling, SBOM format, Marketplace governance process, and open-source license policy.</w:t>
      </w:r>
    </w:p>
    <w:p>
      <w:pPr>
        <w:pStyle w:val="Heading2"/>
      </w:pPr>
      <w:r>
        <w:t>5.6 Encryption</w:t>
      </w:r>
    </w:p>
    <w:p>
      <w:r>
        <w:t>Encryption shall protect Confidential and Highly Confidential information throughout its lifecycle. Cryptographic algorithms, key sizes, protocols, certificate authorities, and key-management practices shall conform to the organization’s approved cryptographic standard.</w:t>
      </w:r>
    </w:p>
    <w:p>
      <w:pPr>
        <w:pStyle w:val="Heading3"/>
      </w:pPr>
      <w:r>
        <w:t>5.6.1 Encryption at Rest</w:t>
      </w:r>
    </w:p>
    <w:p>
      <w:pPr>
        <w:pStyle w:val="ListBullet"/>
      </w:pPr>
      <w:r>
        <w:t>Encrypt the EMH database and database backups using approved platform/database encryption controls.</w:t>
      </w:r>
    </w:p>
    <w:p>
      <w:pPr>
        <w:pStyle w:val="ListBullet"/>
      </w:pPr>
      <w:r>
        <w:t>Encrypt backup repositories, exported diagnostics, deployment artifacts containing configuration, and any file storage used by the solution.</w:t>
      </w:r>
    </w:p>
    <w:p>
      <w:pPr>
        <w:pStyle w:val="ListBullet"/>
      </w:pPr>
      <w:r>
        <w:t>Because external operational data is display-only, do not persist API response payloads in the EMH database, logs, temporary files or caches.</w:t>
      </w:r>
    </w:p>
    <w:p>
      <w:pPr>
        <w:pStyle w:val="ListBullet"/>
      </w:pPr>
      <w:r>
        <w:t>Protect encryption keys, database credentials, SAML private keys and API secrets in an approved secret/key management solution; do not store secrets in source models or plain configuration files.</w:t>
      </w:r>
    </w:p>
    <w:p>
      <w:pPr>
        <w:pStyle w:val="ListBullet"/>
      </w:pPr>
      <w:r>
        <w:t>Implement key rotation, expiry monitoring, backup and recovery of keys where applicable.</w:t>
      </w:r>
    </w:p>
    <w:p>
      <w:pPr>
        <w:pStyle w:val="ListBullet"/>
      </w:pPr>
      <w:r>
        <w:t>Apply secure deletion and media disposal controls according to classification and retention requirements.</w:t>
      </w:r>
    </w:p>
    <w:p>
      <w:r>
        <w:t>Pending confirmation: the approved on-premises key-management technology, database encryption standard, backup encryption mechanism and key-rotation frequency.</w:t>
      </w:r>
    </w:p>
    <w:p>
      <w:pPr>
        <w:pStyle w:val="Heading3"/>
      </w:pPr>
      <w:r>
        <w:t>5.6.2 Encryption in Transit</w:t>
      </w:r>
    </w:p>
    <w:p>
      <w:pPr>
        <w:pStyle w:val="ListBullet"/>
      </w:pPr>
      <w:r>
        <w:t>Use HTTPS/TLS for all browser, reverse-proxy, Mendix runtime, API, AppDynamics and administrative communication where supported.</w:t>
      </w:r>
    </w:p>
    <w:p>
      <w:pPr>
        <w:pStyle w:val="ListBullet"/>
      </w:pPr>
      <w:r>
        <w:t>Use TLS 1.2 or higher, with TLS 1.3 preferred where compatible with approved infrastructure and external systems.</w:t>
      </w:r>
    </w:p>
    <w:p>
      <w:pPr>
        <w:pStyle w:val="ListBullet"/>
      </w:pPr>
      <w:r>
        <w:t>Disable insecure protocols, cipher suites and certificate-validation bypasses.</w:t>
      </w:r>
    </w:p>
    <w:p>
      <w:pPr>
        <w:pStyle w:val="ListBullet"/>
      </w:pPr>
      <w:r>
        <w:t>Use mutual TLS for high-risk system-to-system interfaces where required by the API owner or security architecture.</w:t>
      </w:r>
    </w:p>
    <w:p>
      <w:pPr>
        <w:pStyle w:val="ListBullet"/>
      </w:pPr>
      <w:r>
        <w:t>Use organization-issued certificates and approved trust stores. Monitor certificate expiry and renewal.</w:t>
      </w:r>
    </w:p>
    <w:p>
      <w:pPr>
        <w:pStyle w:val="ListBullet"/>
      </w:pPr>
      <w:r>
        <w:t>Ensure internal traffic is not assumed trustworthy solely because it is inside the on-premises network.</w:t>
      </w:r>
    </w:p>
    <w:p>
      <w:pPr>
        <w:pStyle w:val="Heading2"/>
      </w:pPr>
      <w:r>
        <w:t>5.7 Connectivity &amp; Integration</w:t>
      </w:r>
    </w:p>
    <w:p>
      <w:r>
        <w:t>Connectivity shall be explicitly allowed through approved network paths. The preferred pattern is browser to reverse proxy/load balancer, reverse proxy to Mendix runtime, Mendix runtime to EMH database, Mendix runtime to IDAM/SAML endpoints, Mendix runtime to approved external APIs, and runtime/agents to AppDynamics infrastructure.</w:t>
      </w:r>
    </w:p>
    <w:p>
      <w:pPr>
        <w:pStyle w:val="ListBullet"/>
      </w:pPr>
      <w:r>
        <w:t>Document source, destination, protocol, port, direction, purpose, owner, classification and authentication method for every connection.</w:t>
      </w:r>
    </w:p>
    <w:p>
      <w:pPr>
        <w:pStyle w:val="ListBullet"/>
      </w:pPr>
      <w:r>
        <w:t>Use deny-by-default firewall rules and restrict outbound connectivity to approved endpoints.</w:t>
      </w:r>
    </w:p>
    <w:p>
      <w:pPr>
        <w:pStyle w:val="ListBullet"/>
      </w:pPr>
      <w:r>
        <w:t>Route external API calls through the approved API gateway or enterprise integration layer where mandated.</w:t>
      </w:r>
    </w:p>
    <w:p>
      <w:pPr>
        <w:pStyle w:val="ListBullet"/>
      </w:pPr>
      <w:r>
        <w:t>Use service accounts with least privilege and separate credentials per environment and integration.</w:t>
      </w:r>
    </w:p>
    <w:p>
      <w:pPr>
        <w:pStyle w:val="ListBullet"/>
      </w:pPr>
      <w:r>
        <w:t>Apply timeout, circuit-breaker or controlled retry behaviour appropriate to each API and operation.</w:t>
      </w:r>
    </w:p>
    <w:p>
      <w:pPr>
        <w:pStyle w:val="ListBullet"/>
      </w:pPr>
      <w:r>
        <w:t>Do not retry non-idempotent operations without an idempotency design.</w:t>
      </w:r>
    </w:p>
    <w:p>
      <w:pPr>
        <w:pStyle w:val="ListBullet"/>
      </w:pPr>
      <w:r>
        <w:t>Validate and sanitize all inbound and outbound data mappings.</w:t>
      </w:r>
    </w:p>
    <w:p>
      <w:pPr>
        <w:pStyle w:val="ListBullet"/>
      </w:pPr>
      <w:r>
        <w:t>Use correlation IDs without embedding personal or sensitive data.</w:t>
      </w:r>
    </w:p>
    <w:p>
      <w:pPr>
        <w:pStyle w:val="ListBullet"/>
      </w:pPr>
      <w:r>
        <w:t>Confirm rate limits, SLA/OLA, maintenance windows and failure behaviour with each source-system owner.</w:t>
      </w:r>
    </w:p>
    <w:p>
      <w:pPr>
        <w:pStyle w:val="Heading2"/>
      </w:pPr>
      <w:r>
        <w:t>5.8 Business Continuity</w:t>
      </w:r>
    </w:p>
    <w:p>
      <w:r>
        <w:t>Business continuity shall align the application design, infrastructure recovery, operational procedures and source-system dependencies. The provisional targets are RTO of 1 hour and RPO of 5 minutes, both pending formal approval. The current DR strategy is redeploy on disaster.</w:t>
      </w:r>
    </w:p>
    <w:p>
      <w:r>
        <w:t>A redeploy-only strategy shall not be considered sufficient until a timed test demonstrates that infrastructure provisioning, Mendix runtime deployment, database restore or replication, secrets restoration, SAML configuration, networking, DNS/routing, AppDynamics instrumentation and external API connectivity can be completed within the approved targets.</w:t>
      </w:r>
    </w:p>
    <w:p>
      <w:pPr>
        <w:pStyle w:val="ListBullet"/>
      </w:pPr>
      <w:r>
        <w:t>Maintain versioned deployment packages and documented infrastructure/application configuration.</w:t>
      </w:r>
    </w:p>
    <w:p>
      <w:pPr>
        <w:pStyle w:val="ListBullet"/>
      </w:pPr>
      <w:r>
        <w:t>Automate repeatable deployment and configuration where feasible.</w:t>
      </w:r>
    </w:p>
    <w:p>
      <w:pPr>
        <w:pStyle w:val="ListBullet"/>
      </w:pPr>
      <w:r>
        <w:t>Back up the EMH database, configuration, certificates, secrets references and operational documentation.</w:t>
      </w:r>
    </w:p>
    <w:p>
      <w:pPr>
        <w:pStyle w:val="ListBullet"/>
      </w:pPr>
      <w:r>
        <w:t>Define degraded-mode behaviour when one external source system is unavailable so other modules remain usable.</w:t>
      </w:r>
    </w:p>
    <w:p>
      <w:pPr>
        <w:pStyle w:val="ListBullet"/>
      </w:pPr>
      <w:r>
        <w:t>Perform scheduled backup-restore tests, DR tabletop exercises and technical failover/redeployment tests.</w:t>
      </w:r>
    </w:p>
    <w:p>
      <w:pPr>
        <w:pStyle w:val="ListBullet"/>
      </w:pPr>
      <w:r>
        <w:t>Document business communication, escalation, decision authority and service-restoration priorities.</w:t>
      </w:r>
    </w:p>
    <w:p>
      <w:pPr>
        <w:pStyle w:val="ListBullet"/>
      </w:pPr>
      <w:r>
        <w:t>Confirm dependencies on IDAM, DNS, network, database, AppDynamics and external APIs in the business continuity plan.</w:t>
      </w:r>
    </w:p>
    <w:p>
      <w:pPr>
        <w:pStyle w:val="Heading2"/>
      </w:pPr>
      <w:r>
        <w:t>5.9 Logging &amp; Monitoring</w:t>
      </w:r>
    </w:p>
    <w:p>
      <w:r>
        <w:t>AppDynamics shall be the primary confirmed application monitoring and logging platform, subject to final operational design. EMH shall also maintain application audit records for security and business accountability. Monitoring data and audit data serve different purposes and shall not be treated as interchangeable.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b/>
                <w:sz w:val="18"/>
              </w:rPr>
              <w:t>Log / Monitoring Type</w:t>
            </w:r>
          </w:p>
        </w:tc>
        <w:tc>
          <w:tcPr>
            <w:tcW w:type="dxa" w:w="4464"/>
            <w:vAlign w:val="center"/>
            <w:shd w:fill="D9EAF7"/>
          </w:tcPr>
          <w:p>
            <w:r/>
            <w:r>
              <w:rPr>
                <w:b/>
                <w:sz w:val="18"/>
              </w:rPr>
              <w:t>Minimum Content</w:t>
            </w:r>
          </w:p>
        </w:tc>
        <w:tc>
          <w:tcPr>
            <w:tcW w:type="dxa" w:w="3744"/>
            <w:vAlign w:val="center"/>
            <w:shd w:fill="D9EAF7"/>
          </w:tcPr>
          <w:p>
            <w:r/>
            <w:r>
              <w:rPr>
                <w:b/>
                <w:sz w:val="18"/>
              </w:rPr>
              <w:t>Restrictions</w:t>
            </w:r>
          </w:p>
        </w:tc>
      </w:tr>
      <w:tr>
        <w:tc>
          <w:tcPr>
            <w:tcW w:type="dxa" w:w="2880"/>
            <w:vAlign w:val="center"/>
          </w:tcPr>
          <w:p>
            <w:r/>
            <w:r>
              <w:rPr>
                <w:b w:val="0"/>
                <w:sz w:val="18"/>
              </w:rPr>
              <w:t>Application performance monitoring</w:t>
            </w:r>
          </w:p>
        </w:tc>
        <w:tc>
          <w:tcPr>
            <w:tcW w:type="dxa" w:w="4464"/>
            <w:vAlign w:val="center"/>
          </w:tcPr>
          <w:p>
            <w:r/>
            <w:r>
              <w:rPr>
                <w:b w:val="0"/>
                <w:sz w:val="18"/>
              </w:rPr>
              <w:t>Availability, response time, throughput, error rate, slow transactions, runtime and database dependencies</w:t>
            </w:r>
          </w:p>
        </w:tc>
        <w:tc>
          <w:tcPr>
            <w:tcW w:type="dxa" w:w="3744"/>
            <w:vAlign w:val="center"/>
          </w:tcPr>
          <w:p>
            <w:r/>
            <w:r>
              <w:rPr>
                <w:b w:val="0"/>
                <w:sz w:val="18"/>
              </w:rPr>
              <w:t>No raw sensitive request/response payloads.</w:t>
            </w:r>
          </w:p>
        </w:tc>
      </w:tr>
      <w:tr>
        <w:tc>
          <w:tcPr>
            <w:tcW w:type="dxa" w:w="2880"/>
            <w:vAlign w:val="center"/>
          </w:tcPr>
          <w:p>
            <w:r/>
            <w:r>
              <w:rPr>
                <w:b w:val="0"/>
                <w:sz w:val="18"/>
              </w:rPr>
              <w:t>Integration monitoring</w:t>
            </w:r>
          </w:p>
        </w:tc>
        <w:tc>
          <w:tcPr>
            <w:tcW w:type="dxa" w:w="4464"/>
            <w:vAlign w:val="center"/>
          </w:tcPr>
          <w:p>
            <w:r/>
            <w:r>
              <w:rPr>
                <w:b w:val="0"/>
                <w:sz w:val="18"/>
              </w:rPr>
              <w:t>External system, endpoint identifier, status category, latency, timeout, correlation ID</w:t>
            </w:r>
          </w:p>
        </w:tc>
        <w:tc>
          <w:tcPr>
            <w:tcW w:type="dxa" w:w="3744"/>
            <w:vAlign w:val="center"/>
          </w:tcPr>
          <w:p>
            <w:r/>
            <w:r>
              <w:rPr>
                <w:b w:val="0"/>
                <w:sz w:val="18"/>
              </w:rPr>
              <w:t>Do not log EID, MRN, patient/payment details or full payloads.</w:t>
            </w:r>
          </w:p>
        </w:tc>
      </w:tr>
      <w:tr>
        <w:tc>
          <w:tcPr>
            <w:tcW w:type="dxa" w:w="2880"/>
            <w:vAlign w:val="center"/>
          </w:tcPr>
          <w:p>
            <w:r/>
            <w:r>
              <w:rPr>
                <w:b w:val="0"/>
                <w:sz w:val="18"/>
              </w:rPr>
              <w:t>Security events</w:t>
            </w:r>
          </w:p>
        </w:tc>
        <w:tc>
          <w:tcPr>
            <w:tcW w:type="dxa" w:w="4464"/>
            <w:vAlign w:val="center"/>
          </w:tcPr>
          <w:p>
            <w:r/>
            <w:r>
              <w:rPr>
                <w:b w:val="0"/>
                <w:sz w:val="18"/>
              </w:rPr>
              <w:t>Login success/failure where visible, access denied, privileged changes, suspicious usage</w:t>
            </w:r>
          </w:p>
        </w:tc>
        <w:tc>
          <w:tcPr>
            <w:tcW w:type="dxa" w:w="3744"/>
            <w:vAlign w:val="center"/>
          </w:tcPr>
          <w:p>
            <w:r/>
            <w:r>
              <w:rPr>
                <w:b w:val="0"/>
                <w:sz w:val="18"/>
              </w:rPr>
              <w:t>Restrict access; forward to SIEM if required.</w:t>
            </w:r>
          </w:p>
        </w:tc>
      </w:tr>
      <w:tr>
        <w:tc>
          <w:tcPr>
            <w:tcW w:type="dxa" w:w="2880"/>
            <w:vAlign w:val="center"/>
          </w:tcPr>
          <w:p>
            <w:r/>
            <w:r>
              <w:rPr>
                <w:b w:val="0"/>
                <w:sz w:val="18"/>
              </w:rPr>
              <w:t>Audit records</w:t>
            </w:r>
          </w:p>
        </w:tc>
        <w:tc>
          <w:tcPr>
            <w:tcW w:type="dxa" w:w="4464"/>
            <w:vAlign w:val="center"/>
          </w:tcPr>
          <w:p>
            <w:r/>
            <w:r>
              <w:rPr>
                <w:b w:val="0"/>
                <w:sz w:val="18"/>
              </w:rPr>
              <w:t>User reference, action, target type, timestamp, result, masked reference</w:t>
            </w:r>
          </w:p>
        </w:tc>
        <w:tc>
          <w:tcPr>
            <w:tcW w:type="dxa" w:w="3744"/>
            <w:vAlign w:val="center"/>
          </w:tcPr>
          <w:p>
            <w:r/>
            <w:r>
              <w:rPr>
                <w:b w:val="0"/>
                <w:sz w:val="18"/>
              </w:rPr>
              <w:t>One-year retention pending governance validation; tamper protection.</w:t>
            </w:r>
          </w:p>
        </w:tc>
      </w:tr>
      <w:tr>
        <w:tc>
          <w:tcPr>
            <w:tcW w:type="dxa" w:w="2880"/>
            <w:vAlign w:val="center"/>
          </w:tcPr>
          <w:p>
            <w:r/>
            <w:r>
              <w:rPr>
                <w:b w:val="0"/>
                <w:sz w:val="18"/>
              </w:rPr>
              <w:t>Operational logs</w:t>
            </w:r>
          </w:p>
        </w:tc>
        <w:tc>
          <w:tcPr>
            <w:tcW w:type="dxa" w:w="4464"/>
            <w:vAlign w:val="center"/>
          </w:tcPr>
          <w:p>
            <w:r/>
            <w:r>
              <w:rPr>
                <w:b w:val="0"/>
                <w:sz w:val="18"/>
              </w:rPr>
              <w:t>Deployment, configuration changes, job failures, runtime health</w:t>
            </w:r>
          </w:p>
        </w:tc>
        <w:tc>
          <w:tcPr>
            <w:tcW w:type="dxa" w:w="3744"/>
            <w:vAlign w:val="center"/>
          </w:tcPr>
          <w:p>
            <w:r/>
            <w:r>
              <w:rPr>
                <w:b w:val="0"/>
                <w:sz w:val="18"/>
              </w:rPr>
              <w:t>Sanitize stack traces and secrets; separate production access.</w:t>
            </w:r>
          </w:p>
        </w:tc>
      </w:tr>
      <w:tr>
        <w:tc>
          <w:tcPr>
            <w:tcW w:type="dxa" w:w="2880"/>
            <w:vAlign w:val="center"/>
          </w:tcPr>
          <w:p>
            <w:r/>
            <w:r>
              <w:rPr>
                <w:b w:val="0"/>
                <w:sz w:val="18"/>
              </w:rPr>
              <w:t>Infrastructure monitoring</w:t>
            </w:r>
          </w:p>
        </w:tc>
        <w:tc>
          <w:tcPr>
            <w:tcW w:type="dxa" w:w="4464"/>
            <w:vAlign w:val="center"/>
          </w:tcPr>
          <w:p>
            <w:r/>
            <w:r>
              <w:rPr>
                <w:b w:val="0"/>
                <w:sz w:val="18"/>
              </w:rPr>
              <w:t>CPU, memory, disk, database, certificate expiry, service state, backup failures</w:t>
            </w:r>
          </w:p>
        </w:tc>
        <w:tc>
          <w:tcPr>
            <w:tcW w:type="dxa" w:w="3744"/>
            <w:vAlign w:val="center"/>
          </w:tcPr>
          <w:p>
            <w:r/>
            <w:r>
              <w:rPr>
                <w:b w:val="0"/>
                <w:sz w:val="18"/>
              </w:rPr>
              <w:t>Restricted to authorized operational teams.</w:t>
            </w:r>
          </w:p>
        </w:tc>
      </w:tr>
    </w:tbl>
    <w:p/>
    <w:p>
      <w:pPr>
        <w:pStyle w:val="ListBullet"/>
      </w:pPr>
      <w:r>
        <w:t>Synchronize clocks across all components using approved enterprise time services.</w:t>
      </w:r>
    </w:p>
    <w:p>
      <w:pPr>
        <w:pStyle w:val="ListBullet"/>
      </w:pPr>
      <w:r>
        <w:t>Protect logs against unauthorized alteration and deletion.</w:t>
      </w:r>
    </w:p>
    <w:p>
      <w:pPr>
        <w:pStyle w:val="ListBullet"/>
      </w:pPr>
      <w:r>
        <w:t>Define alert thresholds, severity, escalation paths, ownership and on-call response.</w:t>
      </w:r>
    </w:p>
    <w:p>
      <w:pPr>
        <w:pStyle w:val="ListBullet"/>
      </w:pPr>
      <w:r>
        <w:t>Confirm whether AppDynamics security events must be forwarded to an enterprise SIEM.</w:t>
      </w:r>
    </w:p>
    <w:p>
      <w:pPr>
        <w:pStyle w:val="ListBullet"/>
      </w:pPr>
      <w:r>
        <w:t>Define log retention separately for audit, security, application, infrastructure and performance data.</w:t>
      </w:r>
    </w:p>
    <w:p>
      <w:pPr>
        <w:pStyle w:val="ListBullet"/>
      </w:pPr>
      <w:r>
        <w:t>Test masking and sanitization using representative error scenarios before production.</w:t>
      </w:r>
    </w:p>
    <w:p>
      <w:pPr>
        <w:pStyle w:val="Heading2"/>
      </w:pPr>
      <w:r>
        <w:t>5.10 Security Incident Management</w:t>
      </w:r>
    </w:p>
    <w:p>
      <w:r>
        <w:t>Security incidents involving EMH shall be managed through the organization’s approved incident-response process. The application and operations design shall support detection, triage, containment, evidence preservation, recovery, notification and lessons learned.</w:t>
      </w:r>
    </w:p>
    <w:p>
      <w:pPr>
        <w:pStyle w:val="ListBullet"/>
      </w:pPr>
      <w:r>
        <w:t>Define incident categories including unauthorized access, excessive data lookup, credential compromise, malicious API use, sensitive-data exposure, malware, vulnerability exploitation, integrity compromise and service disruption.</w:t>
      </w:r>
    </w:p>
    <w:p>
      <w:pPr>
        <w:pStyle w:val="ListBullet"/>
      </w:pPr>
      <w:r>
        <w:t>Integrate alerting with the responsible Security Operations and application support teams.</w:t>
      </w:r>
    </w:p>
    <w:p>
      <w:pPr>
        <w:pStyle w:val="ListBullet"/>
      </w:pPr>
      <w:r>
        <w:t>Preserve relevant logs and audit evidence according to evidence-handling requirements.</w:t>
      </w:r>
    </w:p>
    <w:p>
      <w:pPr>
        <w:pStyle w:val="ListBullet"/>
      </w:pPr>
      <w:r>
        <w:t>Define emergency account suspension, SAML access revocation, privileged credential rotation, API credential rotation and service-isolation procedures.</w:t>
      </w:r>
    </w:p>
    <w:p>
      <w:pPr>
        <w:pStyle w:val="ListBullet"/>
      </w:pPr>
      <w:r>
        <w:t>Maintain current technical and business contact lists and escalation paths.</w:t>
      </w:r>
    </w:p>
    <w:p>
      <w:pPr>
        <w:pStyle w:val="ListBullet"/>
      </w:pPr>
      <w:r>
        <w:t>Conduct post-incident review and track corrective actions.</w:t>
      </w:r>
    </w:p>
    <w:p>
      <w:pPr>
        <w:pStyle w:val="ListBullet"/>
      </w:pPr>
      <w:r>
        <w:t>Confirm regulatory and contractual notification requirements with Legal, Privacy and Information Security.</w:t>
      </w:r>
    </w:p>
    <w:p>
      <w:pPr>
        <w:pStyle w:val="Heading2"/>
      </w:pPr>
      <w:r>
        <w:t>5.11 Threat Modeling &amp; Mitigation Design Choices</w:t>
      </w:r>
    </w:p>
    <w:p>
      <w:r>
        <w:t>A formal threat-modeling exercise shall be completed during detailed design and updated before production release and after major architectural changes. The model should cover trust boundaries, data flows, identity flows, administrative paths, integrations, persistent stores, non-persistent display data, logging, deployment and DR.</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r/>
            <w:r>
              <w:rPr>
                <w:b/>
                <w:sz w:val="18"/>
              </w:rPr>
              <w:t>Threat Scenario</w:t>
            </w:r>
          </w:p>
        </w:tc>
        <w:tc>
          <w:tcPr>
            <w:tcW w:type="dxa" w:w="7200"/>
            <w:vAlign w:val="center"/>
            <w:shd w:fill="D9EAF7"/>
          </w:tcPr>
          <w:p>
            <w:r/>
            <w:r>
              <w:rPr>
                <w:b/>
                <w:sz w:val="18"/>
              </w:rPr>
              <w:t>Key Mitigation Design Choice</w:t>
            </w:r>
          </w:p>
        </w:tc>
      </w:tr>
      <w:tr>
        <w:tc>
          <w:tcPr>
            <w:tcW w:type="dxa" w:w="3744"/>
            <w:vAlign w:val="center"/>
          </w:tcPr>
          <w:p>
            <w:r/>
            <w:r>
              <w:rPr>
                <w:b w:val="0"/>
                <w:sz w:val="18"/>
              </w:rPr>
              <w:t>Unauthorized access to support modules</w:t>
            </w:r>
          </w:p>
        </w:tc>
        <w:tc>
          <w:tcPr>
            <w:tcW w:type="dxa" w:w="7200"/>
            <w:vAlign w:val="center"/>
          </w:tcPr>
          <w:p>
            <w:r/>
            <w:r>
              <w:rPr>
                <w:b w:val="0"/>
                <w:sz w:val="18"/>
              </w:rPr>
              <w:t>SAML SSO, deny-by-default roles, page/microflow/entity controls, explicit action permissions and access-denial audit.</w:t>
            </w:r>
          </w:p>
        </w:tc>
      </w:tr>
      <w:tr>
        <w:tc>
          <w:tcPr>
            <w:tcW w:type="dxa" w:w="3744"/>
            <w:vAlign w:val="center"/>
          </w:tcPr>
          <w:p>
            <w:r/>
            <w:r>
              <w:rPr>
                <w:b w:val="0"/>
                <w:sz w:val="18"/>
              </w:rPr>
              <w:t>Privilege escalation through misconfigured Mendix roles</w:t>
            </w:r>
          </w:p>
        </w:tc>
        <w:tc>
          <w:tcPr>
            <w:tcW w:type="dxa" w:w="7200"/>
            <w:vAlign w:val="center"/>
          </w:tcPr>
          <w:p>
            <w:r/>
            <w:r>
              <w:rPr>
                <w:b w:val="0"/>
                <w:sz w:val="18"/>
              </w:rPr>
              <w:t>Role design review, segregation of duties, automated/manual security testing, periodic access recertification.</w:t>
            </w:r>
          </w:p>
        </w:tc>
      </w:tr>
      <w:tr>
        <w:tc>
          <w:tcPr>
            <w:tcW w:type="dxa" w:w="3744"/>
            <w:vAlign w:val="center"/>
          </w:tcPr>
          <w:p>
            <w:r/>
            <w:r>
              <w:rPr>
                <w:b w:val="0"/>
                <w:sz w:val="18"/>
              </w:rPr>
              <w:t>SAML assertion replay or forgery</w:t>
            </w:r>
          </w:p>
        </w:tc>
        <w:tc>
          <w:tcPr>
            <w:tcW w:type="dxa" w:w="7200"/>
            <w:vAlign w:val="center"/>
          </w:tcPr>
          <w:p>
            <w:r/>
            <w:r>
              <w:rPr>
                <w:b w:val="0"/>
                <w:sz w:val="18"/>
              </w:rPr>
              <w:t>Signature and certificate validation, audience/destination checks, short assertion lifetime, replay protection, controlled certificate rotation.</w:t>
            </w:r>
          </w:p>
        </w:tc>
      </w:tr>
      <w:tr>
        <w:tc>
          <w:tcPr>
            <w:tcW w:type="dxa" w:w="3744"/>
            <w:vAlign w:val="center"/>
          </w:tcPr>
          <w:p>
            <w:r/>
            <w:r>
              <w:rPr>
                <w:b w:val="0"/>
                <w:sz w:val="18"/>
              </w:rPr>
              <w:t>Sensitive-data leakage through logs</w:t>
            </w:r>
          </w:p>
        </w:tc>
        <w:tc>
          <w:tcPr>
            <w:tcW w:type="dxa" w:w="7200"/>
            <w:vAlign w:val="center"/>
          </w:tcPr>
          <w:p>
            <w:r/>
            <w:r>
              <w:rPr>
                <w:b w:val="0"/>
                <w:sz w:val="18"/>
              </w:rPr>
              <w:t>Central sanitization standard, prohibited-field list, no payload logging, access-controlled AppDynamics dashboards.</w:t>
            </w:r>
          </w:p>
        </w:tc>
      </w:tr>
      <w:tr>
        <w:tc>
          <w:tcPr>
            <w:tcW w:type="dxa" w:w="3744"/>
            <w:vAlign w:val="center"/>
          </w:tcPr>
          <w:p>
            <w:r/>
            <w:r>
              <w:rPr>
                <w:b w:val="0"/>
                <w:sz w:val="18"/>
              </w:rPr>
              <w:t>Mass enumeration of patient or identity data</w:t>
            </w:r>
          </w:p>
        </w:tc>
        <w:tc>
          <w:tcPr>
            <w:tcW w:type="dxa" w:w="7200"/>
            <w:vAlign w:val="center"/>
          </w:tcPr>
          <w:p>
            <w:r/>
            <w:r>
              <w:rPr>
                <w:b w:val="0"/>
                <w:sz w:val="18"/>
              </w:rPr>
              <w:t>Strict search permissions, input restrictions, rate/usage monitoring, sensitive-view auditing and anomaly detection.</w:t>
            </w:r>
          </w:p>
        </w:tc>
      </w:tr>
      <w:tr>
        <w:tc>
          <w:tcPr>
            <w:tcW w:type="dxa" w:w="3744"/>
            <w:vAlign w:val="center"/>
          </w:tcPr>
          <w:p>
            <w:r/>
            <w:r>
              <w:rPr>
                <w:b w:val="0"/>
                <w:sz w:val="18"/>
              </w:rPr>
              <w:t>API compromise or response tampering</w:t>
            </w:r>
          </w:p>
        </w:tc>
        <w:tc>
          <w:tcPr>
            <w:tcW w:type="dxa" w:w="7200"/>
            <w:vAlign w:val="center"/>
          </w:tcPr>
          <w:p>
            <w:r/>
            <w:r>
              <w:rPr>
                <w:b w:val="0"/>
                <w:sz w:val="18"/>
              </w:rPr>
              <w:t>TLS, optional mTLS, approved gateway, schema validation, service authentication, timeout and integrity checks.</w:t>
            </w:r>
          </w:p>
        </w:tc>
      </w:tr>
      <w:tr>
        <w:tc>
          <w:tcPr>
            <w:tcW w:type="dxa" w:w="3744"/>
            <w:vAlign w:val="center"/>
          </w:tcPr>
          <w:p>
            <w:r/>
            <w:r>
              <w:rPr>
                <w:b w:val="0"/>
                <w:sz w:val="18"/>
              </w:rPr>
              <w:t>Injection or unsafe custom code</w:t>
            </w:r>
          </w:p>
        </w:tc>
        <w:tc>
          <w:tcPr>
            <w:tcW w:type="dxa" w:w="7200"/>
            <w:vAlign w:val="center"/>
          </w:tcPr>
          <w:p>
            <w:r/>
            <w:r>
              <w:rPr>
                <w:b w:val="0"/>
                <w:sz w:val="18"/>
              </w:rPr>
              <w:t>Input validation, SAST, secure coding review, restricted custom Java, penetration testing.</w:t>
            </w:r>
          </w:p>
        </w:tc>
      </w:tr>
      <w:tr>
        <w:tc>
          <w:tcPr>
            <w:tcW w:type="dxa" w:w="3744"/>
            <w:vAlign w:val="center"/>
          </w:tcPr>
          <w:p>
            <w:r/>
            <w:r>
              <w:rPr>
                <w:b w:val="0"/>
                <w:sz w:val="18"/>
              </w:rPr>
              <w:t>Vulnerable third-party module</w:t>
            </w:r>
          </w:p>
        </w:tc>
        <w:tc>
          <w:tcPr>
            <w:tcW w:type="dxa" w:w="7200"/>
            <w:vAlign w:val="center"/>
          </w:tcPr>
          <w:p>
            <w:r/>
            <w:r>
              <w:rPr>
                <w:b w:val="0"/>
                <w:sz w:val="18"/>
              </w:rPr>
              <w:t>SCA, Marketplace governance, SBOM, patch monitoring and component approval.</w:t>
            </w:r>
          </w:p>
        </w:tc>
      </w:tr>
      <w:tr>
        <w:tc>
          <w:tcPr>
            <w:tcW w:type="dxa" w:w="3744"/>
            <w:vAlign w:val="center"/>
          </w:tcPr>
          <w:p>
            <w:r/>
            <w:r>
              <w:rPr>
                <w:b w:val="0"/>
                <w:sz w:val="18"/>
              </w:rPr>
              <w:t>Data persistence contrary to display-only requirement</w:t>
            </w:r>
          </w:p>
        </w:tc>
        <w:tc>
          <w:tcPr>
            <w:tcW w:type="dxa" w:w="7200"/>
            <w:vAlign w:val="center"/>
          </w:tcPr>
          <w:p>
            <w:r/>
            <w:r>
              <w:rPr>
                <w:b w:val="0"/>
                <w:sz w:val="18"/>
              </w:rPr>
              <w:t>Use non-persistent entities, prohibit payload logging/caching, architecture and code review.</w:t>
            </w:r>
          </w:p>
        </w:tc>
      </w:tr>
      <w:tr>
        <w:tc>
          <w:tcPr>
            <w:tcW w:type="dxa" w:w="3744"/>
            <w:vAlign w:val="center"/>
          </w:tcPr>
          <w:p>
            <w:r/>
            <w:r>
              <w:rPr>
                <w:b w:val="0"/>
                <w:sz w:val="18"/>
              </w:rPr>
              <w:t>Compromise of privileged account</w:t>
            </w:r>
          </w:p>
        </w:tc>
        <w:tc>
          <w:tcPr>
            <w:tcW w:type="dxa" w:w="7200"/>
            <w:vAlign w:val="center"/>
          </w:tcPr>
          <w:p>
            <w:r/>
            <w:r>
              <w:rPr>
                <w:b w:val="0"/>
                <w:sz w:val="18"/>
              </w:rPr>
              <w:t>PAM/MFA, named accounts, just-in-time access, session monitoring and rapid revocation.</w:t>
            </w:r>
          </w:p>
        </w:tc>
      </w:tr>
      <w:tr>
        <w:tc>
          <w:tcPr>
            <w:tcW w:type="dxa" w:w="3744"/>
            <w:vAlign w:val="center"/>
          </w:tcPr>
          <w:p>
            <w:r/>
            <w:r>
              <w:rPr>
                <w:b w:val="0"/>
                <w:sz w:val="18"/>
              </w:rPr>
              <w:t>DR failure within target window</w:t>
            </w:r>
          </w:p>
        </w:tc>
        <w:tc>
          <w:tcPr>
            <w:tcW w:type="dxa" w:w="7200"/>
            <w:vAlign w:val="center"/>
          </w:tcPr>
          <w:p>
            <w:r/>
            <w:r>
              <w:rPr>
                <w:b w:val="0"/>
                <w:sz w:val="18"/>
              </w:rPr>
              <w:t>Automated redeployment, tested backups, pre-approved runbooks, timed DR exercises and alternative warm-standby option if targets are missed.</w:t>
            </w:r>
          </w:p>
        </w:tc>
      </w:tr>
      <w:tr>
        <w:tc>
          <w:tcPr>
            <w:tcW w:type="dxa" w:w="3744"/>
            <w:vAlign w:val="center"/>
          </w:tcPr>
          <w:p>
            <w:r/>
            <w:r>
              <w:rPr>
                <w:b w:val="0"/>
                <w:sz w:val="18"/>
              </w:rPr>
              <w:t>Browser caching or local exposure</w:t>
            </w:r>
          </w:p>
        </w:tc>
        <w:tc>
          <w:tcPr>
            <w:tcW w:type="dxa" w:w="7200"/>
            <w:vAlign w:val="center"/>
          </w:tcPr>
          <w:p>
            <w:r/>
            <w:r>
              <w:rPr>
                <w:b w:val="0"/>
                <w:sz w:val="18"/>
              </w:rPr>
              <w:t>No-store cache controls at proxy/application layer, secure session settings, limited exports and session timeout.</w:t>
            </w:r>
          </w:p>
        </w:tc>
      </w:tr>
      <w:tr>
        <w:tc>
          <w:tcPr>
            <w:tcW w:type="dxa" w:w="3744"/>
            <w:vAlign w:val="center"/>
          </w:tcPr>
          <w:p>
            <w:r/>
            <w:r>
              <w:rPr>
                <w:b w:val="0"/>
                <w:sz w:val="18"/>
              </w:rPr>
              <w:t>Denial of service or dependency outage</w:t>
            </w:r>
          </w:p>
        </w:tc>
        <w:tc>
          <w:tcPr>
            <w:tcW w:type="dxa" w:w="7200"/>
            <w:vAlign w:val="center"/>
          </w:tcPr>
          <w:p>
            <w:r/>
            <w:r>
              <w:rPr>
                <w:b w:val="0"/>
                <w:sz w:val="18"/>
              </w:rPr>
              <w:t>Infrastructure capacity controls, rate limiting where applicable, graceful module-level degradation, AppDynamics alerting.</w:t>
            </w:r>
          </w:p>
        </w:tc>
      </w:tr>
      <w:tr>
        <w:tc>
          <w:tcPr>
            <w:tcW w:type="dxa" w:w="3744"/>
            <w:vAlign w:val="center"/>
          </w:tcPr>
          <w:p>
            <w:r/>
            <w:r>
              <w:rPr>
                <w:b w:val="0"/>
                <w:sz w:val="18"/>
              </w:rPr>
              <w:t>Insider misuse</w:t>
            </w:r>
          </w:p>
        </w:tc>
        <w:tc>
          <w:tcPr>
            <w:tcW w:type="dxa" w:w="7200"/>
            <w:vAlign w:val="center"/>
          </w:tcPr>
          <w:p>
            <w:r/>
            <w:r>
              <w:rPr>
                <w:b w:val="0"/>
                <w:sz w:val="18"/>
              </w:rPr>
              <w:t>Least privilege, segregation of duties, comprehensive audit, periodic reviews and suspicious-usage monitoring.</w:t>
            </w:r>
          </w:p>
        </w:tc>
      </w:tr>
    </w:tbl>
    <w:p/>
    <w:p>
      <w:pPr>
        <w:pStyle w:val="Heading2"/>
      </w:pPr>
      <w:r>
        <w:t>5.12 Privacy by Design</w:t>
      </w:r>
    </w:p>
    <w:p>
      <w:r>
        <w:t>Privacy by design shall be embedded into requirements, data modeling, page design, integration mapping, logging, testing, operations and retirement. The guiding principles are purpose limitation, data minimization, access limitation, transparency, accuracy, retention limitation and security safeguards.</w:t>
      </w:r>
    </w:p>
    <w:p>
      <w:pPr>
        <w:pStyle w:val="Heading3"/>
      </w:pPr>
      <w:r>
        <w:t>5.12.1 Personal Data Flow Diagram</w:t>
      </w:r>
    </w:p>
    <w:p>
      <w:r>
        <w:t>A Personal Data Flow Diagram shall be produced and approved during detailed design. At minimum, the diagram shall show:</w:t>
      </w:r>
    </w:p>
    <w:p>
      <w:pPr>
        <w:pStyle w:val="ListNumber"/>
      </w:pPr>
      <w:r>
        <w:t>Authorized support user browser within the approved government network.</w:t>
      </w:r>
    </w:p>
    <w:p>
      <w:pPr>
        <w:pStyle w:val="ListNumber"/>
      </w:pPr>
      <w:r>
        <w:t>Enterprise IDAM and SAML authentication exchange.</w:t>
      </w:r>
    </w:p>
    <w:p>
      <w:pPr>
        <w:pStyle w:val="ListNumber"/>
      </w:pPr>
      <w:r>
        <w:t>On-premises reverse proxy/load balancer and Mendix runtime.</w:t>
      </w:r>
    </w:p>
    <w:p>
      <w:pPr>
        <w:pStyle w:val="ListNumber"/>
      </w:pPr>
      <w:r>
        <w:t>Permission resolution and EMH-owned configuration/audit database.</w:t>
      </w:r>
    </w:p>
    <w:p>
      <w:pPr>
        <w:pStyle w:val="ListNumber"/>
      </w:pPr>
      <w:r>
        <w:t>Outbound calls to IDAM, Clinical Attachment, Premarital and Patient Services APIs.</w:t>
      </w:r>
    </w:p>
    <w:p>
      <w:pPr>
        <w:pStyle w:val="ListNumber"/>
      </w:pPr>
      <w:r>
        <w:t>Responses mapped to non-persistent entities and displayed to the authorized user.</w:t>
      </w:r>
    </w:p>
    <w:p>
      <w:pPr>
        <w:pStyle w:val="ListNumber"/>
      </w:pPr>
      <w:r>
        <w:t>Sanitized operational telemetry sent to AppDynamics.</w:t>
      </w:r>
    </w:p>
    <w:p>
      <w:pPr>
        <w:pStyle w:val="ListNumber"/>
      </w:pPr>
      <w:r>
        <w:t>Audit events stored in the EMH audit store for the approved retention period.</w:t>
      </w:r>
    </w:p>
    <w:p>
      <w:pPr>
        <w:pStyle w:val="ListNumber"/>
      </w:pPr>
      <w:r>
        <w:t>Backup and DR flows for EMH-owned persistent information only.</w:t>
      </w:r>
    </w:p>
    <w:p>
      <w:r>
        <w:t>The diagram shall identify trust boundaries, data owners, data classification, storage locations, transmission protocols, retention, and whether each flow contains personal, health, identity or payment-related information.</w:t>
      </w:r>
    </w:p>
    <w:p>
      <w:pPr>
        <w:pStyle w:val="Heading3"/>
      </w:pPr>
      <w:r>
        <w:t>5.12.2 Personal Data Usage</w:t>
      </w:r>
    </w:p>
    <w:p>
      <w:r>
        <w:t>Personal data shall be used only for the approved support-investigation purposes defined for each EMH module. The user interface shall show only fields required for the support task and permitted by the user’s role.</w:t>
      </w:r>
    </w:p>
    <w:p>
      <w:pPr>
        <w:pStyle w:val="ListBullet"/>
      </w:pPr>
      <w:r>
        <w:t>Do not persist source-system personal data in EMH.</w:t>
      </w:r>
    </w:p>
    <w:p>
      <w:pPr>
        <w:pStyle w:val="ListBullet"/>
      </w:pPr>
      <w:r>
        <w:t>Do not use personal data for analytics, profiling, testing or secondary purposes without approval.</w:t>
      </w:r>
    </w:p>
    <w:p>
      <w:pPr>
        <w:pStyle w:val="ListBullet"/>
      </w:pPr>
      <w:r>
        <w:t>Mask high-risk identifiers where full display is not operationally necessary.</w:t>
      </w:r>
    </w:p>
    <w:p>
      <w:pPr>
        <w:pStyle w:val="ListBullet"/>
      </w:pPr>
      <w:r>
        <w:t>Use synthetic or masked data in non-production environments.</w:t>
      </w:r>
    </w:p>
    <w:p>
      <w:pPr>
        <w:pStyle w:val="ListBullet"/>
      </w:pPr>
      <w:r>
        <w:t>Prevent unrestricted export, bulk download or copy functions.</w:t>
      </w:r>
    </w:p>
    <w:p>
      <w:pPr>
        <w:pStyle w:val="ListBullet"/>
      </w:pPr>
      <w:r>
        <w:t>Log access to sensitive records using masked references rather than raw values.</w:t>
      </w:r>
    </w:p>
    <w:p>
      <w:pPr>
        <w:pStyle w:val="Heading3"/>
      </w:pPr>
      <w:r>
        <w:t>5.12.3 Third-Party Processing</w:t>
      </w:r>
    </w:p>
    <w:p>
      <w:r>
        <w:t>No third-party processor shall receive Confidential or Highly Confidential information unless formally assessed and approved. This includes vendors, external support personnel, SaaS tools, remote diagnostics, marketplace services and hosted monitoring destinations.</w:t>
      </w:r>
    </w:p>
    <w:p>
      <w:pPr>
        <w:pStyle w:val="ListBullet"/>
      </w:pPr>
      <w:r>
        <w:t>Document processor identity, purpose, data categories, location, access method, retention and deletion obligations.</w:t>
      </w:r>
    </w:p>
    <w:p>
      <w:pPr>
        <w:pStyle w:val="ListBullet"/>
      </w:pPr>
      <w:r>
        <w:t>Ensure contractual confidentiality, security, incident notification, audit and data-return/deletion requirements.</w:t>
      </w:r>
    </w:p>
    <w:p>
      <w:pPr>
        <w:pStyle w:val="ListBullet"/>
      </w:pPr>
      <w:r>
        <w:t>Restrict vendor remote access through approved support channels and privileged access controls.</w:t>
      </w:r>
    </w:p>
    <w:p>
      <w:pPr>
        <w:pStyle w:val="ListBullet"/>
      </w:pPr>
      <w:r>
        <w:t>Confirm whether AppDynamics is hosted on-premises or externally and assess any telemetry leaving the government environment.</w:t>
      </w:r>
    </w:p>
    <w:p>
      <w:pPr>
        <w:pStyle w:val="ListBullet"/>
      </w:pPr>
      <w:r>
        <w:t>Do not assume Marketplace module publishers receive application data; nevertheless assess telemetry and update channels for each component.</w:t>
      </w:r>
    </w:p>
    <w:p>
      <w:pPr>
        <w:pStyle w:val="Heading3"/>
      </w:pPr>
      <w:r>
        <w:t>5.12.4 Security Considerations</w:t>
      </w:r>
    </w:p>
    <w:p>
      <w:pPr>
        <w:pStyle w:val="ListBullet"/>
      </w:pPr>
      <w:r>
        <w:t>Classify and protect all personal-data flows as Confidential or Highly Confidential as applicable.</w:t>
      </w:r>
    </w:p>
    <w:p>
      <w:pPr>
        <w:pStyle w:val="ListBullet"/>
      </w:pPr>
      <w:r>
        <w:t>Apply strong authentication, least privilege and action-level authorization.</w:t>
      </w:r>
    </w:p>
    <w:p>
      <w:pPr>
        <w:pStyle w:val="ListBullet"/>
      </w:pPr>
      <w:r>
        <w:t>Encrypt data in transit and EMH-owned data at rest.</w:t>
      </w:r>
    </w:p>
    <w:p>
      <w:pPr>
        <w:pStyle w:val="ListBullet"/>
      </w:pPr>
      <w:r>
        <w:t>Prevent personal data from entering logs, diagnostics, caches and temporary files.</w:t>
      </w:r>
    </w:p>
    <w:p>
      <w:pPr>
        <w:pStyle w:val="ListBullet"/>
      </w:pPr>
      <w:r>
        <w:t>Implement vulnerability management, threat modeling and incident response.</w:t>
      </w:r>
    </w:p>
    <w:p>
      <w:pPr>
        <w:pStyle w:val="ListBullet"/>
      </w:pPr>
      <w:r>
        <w:t>Ensure backups and DR copies receive equivalent privacy and security protection.</w:t>
      </w:r>
    </w:p>
    <w:p>
      <w:pPr>
        <w:pStyle w:val="ListBullet"/>
      </w:pPr>
      <w:r>
        <w:t>Review browser cache, session timeout, screen exposure, printing and export risks.</w:t>
      </w:r>
    </w:p>
    <w:p>
      <w:pPr>
        <w:pStyle w:val="Heading3"/>
      </w:pPr>
      <w:r>
        <w:t>5.12.5 User Privacy Considerations</w:t>
      </w:r>
    </w:p>
    <w:p>
      <w:pPr>
        <w:pStyle w:val="ListBullet"/>
      </w:pPr>
      <w:r>
        <w:t>Provide an appropriate authorized-use notice or privacy notice where required by organizational policy.</w:t>
      </w:r>
    </w:p>
    <w:p>
      <w:pPr>
        <w:pStyle w:val="ListBullet"/>
      </w:pPr>
      <w:r>
        <w:t>Display only the minimum information necessary to complete the support task.</w:t>
      </w:r>
    </w:p>
    <w:p>
      <w:pPr>
        <w:pStyle w:val="ListBullet"/>
      </w:pPr>
      <w:r>
        <w:t>Use clear labels where information originates from another system and cannot be corrected in EMH.</w:t>
      </w:r>
    </w:p>
    <w:p>
      <w:pPr>
        <w:pStyle w:val="ListBullet"/>
      </w:pPr>
      <w:r>
        <w:t>Provide a controlled route for reporting inaccurate or inappropriate data exposure to the source-system owner.</w:t>
      </w:r>
    </w:p>
    <w:p>
      <w:pPr>
        <w:pStyle w:val="ListBullet"/>
      </w:pPr>
      <w:r>
        <w:t>Avoid exposing internal identifiers, technical error details or hidden data fields in the UI.</w:t>
      </w:r>
    </w:p>
    <w:p>
      <w:pPr>
        <w:pStyle w:val="ListBullet"/>
      </w:pPr>
      <w:r>
        <w:t>Apply session timeout and secure logout behaviour appropriate to the sensitivity and operational context.</w:t>
      </w:r>
    </w:p>
    <w:p>
      <w:pPr>
        <w:pStyle w:val="ListBullet"/>
      </w:pPr>
      <w:r>
        <w:t>Consider shoulder-surfing and shared-workstation risks in page layout, masking and timeout design.</w:t>
      </w:r>
    </w:p>
    <w:p>
      <w:pPr>
        <w:pStyle w:val="Heading2"/>
      </w:pPr>
      <w:r>
        <w:t>UAE Government Compliance Considerations</w:t>
      </w:r>
    </w:p>
    <w:p>
      <w:pPr>
        <w:pStyle w:val="ListBullet"/>
      </w:pPr>
      <w:r>
        <w:t>The information-resource register, data classification and control selection must be validated against the organization’s approved government information-assurance and data-classification frameworks.</w:t>
      </w:r>
    </w:p>
    <w:p>
      <w:pPr>
        <w:pStyle w:val="ListBullet"/>
      </w:pPr>
      <w:r>
        <w:t>Personal, health, identity and payment-related information shall remain within approved on-premises and data-residency boundaries unless an explicit exception is approved.</w:t>
      </w:r>
    </w:p>
    <w:p>
      <w:pPr>
        <w:pStyle w:val="ListBullet"/>
      </w:pPr>
      <w:r>
        <w:t>One-year audit retention shall remain a pending assumption until Compliance, Legal, Records Management and Information Security confirm it.</w:t>
      </w:r>
    </w:p>
    <w:p>
      <w:pPr>
        <w:pStyle w:val="ListBullet"/>
      </w:pPr>
      <w:r>
        <w:t>AppDynamics deployment and telemetry flows must be assessed to ensure no unapproved transfer of Confidential or Highly Confidential information.</w:t>
      </w:r>
    </w:p>
    <w:p>
      <w:pPr>
        <w:pStyle w:val="ListBullet"/>
      </w:pPr>
      <w:r>
        <w:t>Any custom Java, Marketplace component, third-party library or vendor support access requires formal supply-chain and security assurance.</w:t>
      </w:r>
    </w:p>
    <w:p>
      <w:pPr>
        <w:pStyle w:val="ListBullet"/>
      </w:pPr>
      <w:r>
        <w:t>Security controls must be evidenced through configuration records, test results, vulnerability reports, access reviews, DR tests and operational procedures before go-live.</w:t>
      </w:r>
    </w:p>
    <w:p>
      <w:pPr>
        <w:pStyle w:val="Heading2"/>
      </w:pPr>
      <w:r>
        <w:t>Recommendations</w:t>
      </w:r>
    </w:p>
    <w:p>
      <w:pPr>
        <w:pStyle w:val="ListBullet"/>
      </w:pPr>
      <w:r>
        <w:t>Conduct a formal security architecture review and threat-modeling workshop before detailed build completion.</w:t>
      </w:r>
    </w:p>
    <w:p>
      <w:pPr>
        <w:pStyle w:val="ListBullet"/>
      </w:pPr>
      <w:r>
        <w:t>Create a Security Control Matrix mapping each requirement to owner, implementation evidence, environment and test method.</w:t>
      </w:r>
    </w:p>
    <w:p>
      <w:pPr>
        <w:pStyle w:val="ListBullet"/>
      </w:pPr>
      <w:r>
        <w:t>Complete SAML proof-of-concept and certificate-rotation test early.</w:t>
      </w:r>
    </w:p>
    <w:p>
      <w:pPr>
        <w:pStyle w:val="ListBullet"/>
      </w:pPr>
      <w:r>
        <w:t>Confirm PAM, SIEM, SAST, SCA, vulnerability scanning and penetration-testing tools with Information Security.</w:t>
      </w:r>
    </w:p>
    <w:p>
      <w:pPr>
        <w:pStyle w:val="ListBullet"/>
      </w:pPr>
      <w:r>
        <w:t>Create a logging data dictionary and prohibited-sensitive-fields list for Mendix and AppDynamics.</w:t>
      </w:r>
    </w:p>
    <w:p>
      <w:pPr>
        <w:pStyle w:val="ListBullet"/>
      </w:pPr>
      <w:r>
        <w:t>Validate the redeploy-on-disaster strategy through a timed technical test against provisional RTO/RPO.</w:t>
      </w:r>
    </w:p>
    <w:p>
      <w:pPr>
        <w:pStyle w:val="ListBullet"/>
      </w:pPr>
      <w:r>
        <w:t>Establish a Marketplace/custom component approval board or process before adding third-party modules.</w:t>
      </w:r>
    </w:p>
    <w:p>
      <w:r>
        <w:br w:type="page"/>
      </w:r>
    </w:p>
    <w:p>
      <w:pPr>
        <w:pStyle w:val="Heading1"/>
      </w:pPr>
      <w:r>
        <w:t>6. Implementation &amp; Migration Approach</w:t>
      </w:r>
    </w:p>
    <w:p>
      <w:r>
        <w:t>The implementation and migration approach shall transition the approved business requirements from the original Angular/.NET proposal into a governed Mendix solution without migrating unnecessary technical design decisions. The approach prioritizes architecture validation, security assurance, API readiness, incremental module delivery, controlled testing, and reversible production cut-over.</w:t>
      </w:r>
    </w:p>
    <w:p>
      <w:pPr>
        <w:pStyle w:val="Heading2"/>
      </w:pPr>
      <w:r>
        <w:t>Original Section Summary</w:t>
      </w:r>
    </w:p>
    <w:p>
      <w:r>
        <w:t>The source document describes a proposed implementation structure for Angular and .NET, including frontend modules, backend vertical slices, EF Core models, API clients, authentication handlers, logging, health checks and performance practices. It does not provide a complete Mendix implementation roadmap, transition-state architecture, cut-over strategy or migration plan.</w:t>
      </w:r>
    </w:p>
    <w:p>
      <w:pPr>
        <w:pStyle w:val="Heading2"/>
      </w:pPr>
      <w:r>
        <w:t>Issues with Current Design</w:t>
      </w:r>
    </w:p>
    <w:p>
      <w:pPr>
        <w:pStyle w:val="ListBullet"/>
      </w:pPr>
      <w:r>
        <w:t>The original solution structure cannot be directly migrated because Mendix uses modules, domain models, pages, microflows, nanoflows, consumed services and runtime configuration rather than Angular components and .NET projects.</w:t>
      </w:r>
    </w:p>
    <w:p>
      <w:pPr>
        <w:pStyle w:val="ListBullet"/>
      </w:pPr>
      <w:r>
        <w:t>The original OIDC/JWT authentication implementation must not be carried forward because SAML is the current direction.</w:t>
      </w:r>
    </w:p>
    <w:p>
      <w:pPr>
        <w:pStyle w:val="ListBullet"/>
      </w:pPr>
      <w:r>
        <w:t>There is no requirement to migrate operational source-system data because EMH will display external data only.</w:t>
      </w:r>
    </w:p>
    <w:p>
      <w:pPr>
        <w:pStyle w:val="ListBullet"/>
      </w:pPr>
      <w:r>
        <w:t>API gaps and unconfirmed interfaces may prevent simultaneous delivery of all modules.</w:t>
      </w:r>
    </w:p>
    <w:p>
      <w:pPr>
        <w:pStyle w:val="ListBullet"/>
      </w:pPr>
      <w:r>
        <w:t>The proposed DR, security-tooling, Marketplace governance, custom Java policy and audit-retention decisions remain pending and must be managed as delivery gates.</w:t>
      </w:r>
    </w:p>
    <w:p>
      <w:pPr>
        <w:pStyle w:val="Heading2"/>
      </w:pPr>
      <w:r>
        <w:t>6.1 Implementation Roadmap</w:t>
      </w:r>
    </w:p>
    <w:p>
      <w:r>
        <w:t>The implementation shall be delivered through controlled phases. Detailed dates and sprint allocations shall be established in the project plan after architecture, infrastructure, security and API dependencies are confirmed.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Phase</w:t>
            </w:r>
          </w:p>
        </w:tc>
        <w:tc>
          <w:tcPr>
            <w:tcW w:type="dxa" w:w="8064"/>
            <w:vAlign w:val="center"/>
            <w:shd w:fill="D9EAF7"/>
          </w:tcPr>
          <w:p>
            <w:r/>
            <w:r>
              <w:rPr>
                <w:b/>
                <w:sz w:val="18"/>
              </w:rPr>
              <w:t>Scope and Exit Criteria</w:t>
            </w:r>
          </w:p>
        </w:tc>
      </w:tr>
      <w:tr>
        <w:tc>
          <w:tcPr>
            <w:tcW w:type="dxa" w:w="2880"/>
            <w:vAlign w:val="center"/>
          </w:tcPr>
          <w:p>
            <w:r/>
            <w:r>
              <w:rPr>
                <w:b w:val="0"/>
                <w:sz w:val="18"/>
              </w:rPr>
              <w:t>Phase 0 - Mobilization and Governance</w:t>
            </w:r>
          </w:p>
        </w:tc>
        <w:tc>
          <w:tcPr>
            <w:tcW w:type="dxa" w:w="8064"/>
            <w:vAlign w:val="center"/>
          </w:tcPr>
          <w:p>
            <w:r/>
            <w:r>
              <w:rPr>
                <w:b w:val="0"/>
                <w:sz w:val="18"/>
              </w:rPr>
              <w:t>Confirm scope, owners, Mendix licensing, on-premises platform model, decision authority, RAID process, security governance and document baseline.</w:t>
            </w:r>
          </w:p>
        </w:tc>
      </w:tr>
      <w:tr>
        <w:tc>
          <w:tcPr>
            <w:tcW w:type="dxa" w:w="2880"/>
            <w:vAlign w:val="center"/>
          </w:tcPr>
          <w:p>
            <w:r/>
            <w:r>
              <w:rPr>
                <w:b w:val="0"/>
                <w:sz w:val="18"/>
              </w:rPr>
              <w:t>Phase 1 - Architecture and Platform Foundation</w:t>
            </w:r>
          </w:p>
        </w:tc>
        <w:tc>
          <w:tcPr>
            <w:tcW w:type="dxa" w:w="8064"/>
            <w:vAlign w:val="center"/>
          </w:tcPr>
          <w:p>
            <w:r/>
            <w:r>
              <w:rPr>
                <w:b w:val="0"/>
                <w:sz w:val="18"/>
              </w:rPr>
              <w:t>Approve target architecture; provision development/SIT environments; define module boundaries, naming, branching, CI/CD, SAML pattern, logging standard and security controls.</w:t>
            </w:r>
          </w:p>
        </w:tc>
      </w:tr>
      <w:tr>
        <w:tc>
          <w:tcPr>
            <w:tcW w:type="dxa" w:w="2880"/>
            <w:vAlign w:val="center"/>
          </w:tcPr>
          <w:p>
            <w:r/>
            <w:r>
              <w:rPr>
                <w:b w:val="0"/>
                <w:sz w:val="18"/>
              </w:rPr>
              <w:t>Phase 2 - Integration and Security Proofs of Concept</w:t>
            </w:r>
          </w:p>
        </w:tc>
        <w:tc>
          <w:tcPr>
            <w:tcW w:type="dxa" w:w="8064"/>
            <w:vAlign w:val="center"/>
          </w:tcPr>
          <w:p>
            <w:r/>
            <w:r>
              <w:rPr>
                <w:b w:val="0"/>
                <w:sz w:val="18"/>
              </w:rPr>
              <w:t>Validate SAML login/logout, role mapping, sample external REST call, non-persistent entity display, AppDynamics instrumentation, secret handling and sanitized logging.</w:t>
            </w:r>
          </w:p>
        </w:tc>
      </w:tr>
      <w:tr>
        <w:tc>
          <w:tcPr>
            <w:tcW w:type="dxa" w:w="2880"/>
            <w:vAlign w:val="center"/>
          </w:tcPr>
          <w:p>
            <w:r/>
            <w:r>
              <w:rPr>
                <w:b w:val="0"/>
                <w:sz w:val="18"/>
              </w:rPr>
              <w:t>Phase 3 - Core Shell and Shared Services</w:t>
            </w:r>
          </w:p>
        </w:tc>
        <w:tc>
          <w:tcPr>
            <w:tcW w:type="dxa" w:w="8064"/>
            <w:vAlign w:val="center"/>
          </w:tcPr>
          <w:p>
            <w:r/>
            <w:r>
              <w:rPr>
                <w:b w:val="0"/>
                <w:sz w:val="18"/>
              </w:rPr>
              <w:t>Build application shell, navigation, permission framework, audit service, common error handling, integration framework, configuration and reusable UI components.</w:t>
            </w:r>
          </w:p>
        </w:tc>
      </w:tr>
      <w:tr>
        <w:tc>
          <w:tcPr>
            <w:tcW w:type="dxa" w:w="2880"/>
            <w:vAlign w:val="center"/>
          </w:tcPr>
          <w:p>
            <w:r/>
            <w:r>
              <w:rPr>
                <w:b w:val="0"/>
                <w:sz w:val="18"/>
              </w:rPr>
              <w:t>Phase 4 - Business Module Delivery</w:t>
            </w:r>
          </w:p>
        </w:tc>
        <w:tc>
          <w:tcPr>
            <w:tcW w:type="dxa" w:w="8064"/>
            <w:vAlign w:val="center"/>
          </w:tcPr>
          <w:p>
            <w:r/>
            <w:r>
              <w:rPr>
                <w:b w:val="0"/>
                <w:sz w:val="18"/>
              </w:rPr>
              <w:t>Implement User Management, Clinical Attachment, Patient Services and Premarital modules according to API readiness and approved priorities.</w:t>
            </w:r>
          </w:p>
        </w:tc>
      </w:tr>
      <w:tr>
        <w:tc>
          <w:tcPr>
            <w:tcW w:type="dxa" w:w="2880"/>
            <w:vAlign w:val="center"/>
          </w:tcPr>
          <w:p>
            <w:r/>
            <w:r>
              <w:rPr>
                <w:b w:val="0"/>
                <w:sz w:val="18"/>
              </w:rPr>
              <w:t>Phase 5 - Hardening and Non-Functional Validation</w:t>
            </w:r>
          </w:p>
        </w:tc>
        <w:tc>
          <w:tcPr>
            <w:tcW w:type="dxa" w:w="8064"/>
            <w:vAlign w:val="center"/>
          </w:tcPr>
          <w:p>
            <w:r/>
            <w:r>
              <w:rPr>
                <w:b w:val="0"/>
                <w:sz w:val="18"/>
              </w:rPr>
              <w:t>Complete SAST/SCA where applicable, vulnerability scanning, penetration testing, performance testing, accessibility/usability review, security configuration review and DR testing.</w:t>
            </w:r>
          </w:p>
        </w:tc>
      </w:tr>
      <w:tr>
        <w:tc>
          <w:tcPr>
            <w:tcW w:type="dxa" w:w="2880"/>
            <w:vAlign w:val="center"/>
          </w:tcPr>
          <w:p>
            <w:r/>
            <w:r>
              <w:rPr>
                <w:b w:val="0"/>
                <w:sz w:val="18"/>
              </w:rPr>
              <w:t>Phase 6 - UAT and Operational Readiness</w:t>
            </w:r>
          </w:p>
        </w:tc>
        <w:tc>
          <w:tcPr>
            <w:tcW w:type="dxa" w:w="8064"/>
            <w:vAlign w:val="center"/>
          </w:tcPr>
          <w:p>
            <w:r/>
            <w:r>
              <w:rPr>
                <w:b w:val="0"/>
                <w:sz w:val="18"/>
              </w:rPr>
              <w:t>Complete business validation, support runbooks, monitoring dashboards, alerting, backup/restore evidence, access reviews, training and go-live approvals.</w:t>
            </w:r>
          </w:p>
        </w:tc>
      </w:tr>
      <w:tr>
        <w:tc>
          <w:tcPr>
            <w:tcW w:type="dxa" w:w="2880"/>
            <w:vAlign w:val="center"/>
          </w:tcPr>
          <w:p>
            <w:r/>
            <w:r>
              <w:rPr>
                <w:b w:val="0"/>
                <w:sz w:val="18"/>
              </w:rPr>
              <w:t>Phase 7 - Production Cut-over and Hypercare</w:t>
            </w:r>
          </w:p>
        </w:tc>
        <w:tc>
          <w:tcPr>
            <w:tcW w:type="dxa" w:w="8064"/>
            <w:vAlign w:val="center"/>
          </w:tcPr>
          <w:p>
            <w:r/>
            <w:r>
              <w:rPr>
                <w:b w:val="0"/>
                <w:sz w:val="18"/>
              </w:rPr>
              <w:t>Deploy approved release, validate SAML/API connectivity, execute smoke tests, monitor closely, resolve defects and transition to business-as-usual support.</w:t>
            </w:r>
          </w:p>
        </w:tc>
      </w:tr>
      <w:tr>
        <w:tc>
          <w:tcPr>
            <w:tcW w:type="dxa" w:w="2880"/>
            <w:vAlign w:val="center"/>
          </w:tcPr>
          <w:p>
            <w:r/>
            <w:r>
              <w:rPr>
                <w:b w:val="0"/>
                <w:sz w:val="18"/>
              </w:rPr>
              <w:t>Phase 8 - Post-Implementation Review</w:t>
            </w:r>
          </w:p>
        </w:tc>
        <w:tc>
          <w:tcPr>
            <w:tcW w:type="dxa" w:w="8064"/>
            <w:vAlign w:val="center"/>
          </w:tcPr>
          <w:p>
            <w:r/>
            <w:r>
              <w:rPr>
                <w:b w:val="0"/>
                <w:sz w:val="18"/>
              </w:rPr>
              <w:t>Review incidents, performance, audit quality, user feedback, unresolved risks, technical debt and future-scope items.</w:t>
            </w:r>
          </w:p>
        </w:tc>
      </w:tr>
    </w:tbl>
    <w:p/>
    <w:p>
      <w:pPr>
        <w:pStyle w:val="Heading3"/>
      </w:pPr>
      <w:r>
        <w:t>Implementation Workstreams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Workstream</w:t>
            </w:r>
          </w:p>
        </w:tc>
        <w:tc>
          <w:tcPr>
            <w:tcW w:type="dxa" w:w="7776"/>
            <w:vAlign w:val="center"/>
            <w:shd w:fill="D9EAF7"/>
          </w:tcPr>
          <w:p>
            <w:r/>
            <w:r>
              <w:rPr>
                <w:b/>
                <w:sz w:val="18"/>
              </w:rPr>
              <w:t>Primary Deliverables</w:t>
            </w:r>
          </w:p>
        </w:tc>
      </w:tr>
      <w:tr>
        <w:tc>
          <w:tcPr>
            <w:tcW w:type="dxa" w:w="3168"/>
            <w:vAlign w:val="center"/>
          </w:tcPr>
          <w:p>
            <w:r/>
            <w:r>
              <w:rPr>
                <w:b w:val="0"/>
                <w:sz w:val="18"/>
              </w:rPr>
              <w:t>Mendix Application</w:t>
            </w:r>
          </w:p>
        </w:tc>
        <w:tc>
          <w:tcPr>
            <w:tcW w:type="dxa" w:w="7776"/>
            <w:vAlign w:val="center"/>
          </w:tcPr>
          <w:p>
            <w:r/>
            <w:r>
              <w:rPr>
                <w:b w:val="0"/>
                <w:sz w:val="18"/>
              </w:rPr>
              <w:t>Modules, pages, microflows, domain model, security roles, non-persistent integration models and application configuration.</w:t>
            </w:r>
          </w:p>
        </w:tc>
      </w:tr>
      <w:tr>
        <w:tc>
          <w:tcPr>
            <w:tcW w:type="dxa" w:w="3168"/>
            <w:vAlign w:val="center"/>
          </w:tcPr>
          <w:p>
            <w:r/>
            <w:r>
              <w:rPr>
                <w:b w:val="0"/>
                <w:sz w:val="18"/>
              </w:rPr>
              <w:t>Identity and Security</w:t>
            </w:r>
          </w:p>
        </w:tc>
        <w:tc>
          <w:tcPr>
            <w:tcW w:type="dxa" w:w="7776"/>
            <w:vAlign w:val="center"/>
          </w:tcPr>
          <w:p>
            <w:r/>
            <w:r>
              <w:rPr>
                <w:b w:val="0"/>
                <w:sz w:val="18"/>
              </w:rPr>
              <w:t>SAML integration, access model, privileged access, threat model, security tests, vulnerability management and incident procedures.</w:t>
            </w:r>
          </w:p>
        </w:tc>
      </w:tr>
      <w:tr>
        <w:tc>
          <w:tcPr>
            <w:tcW w:type="dxa" w:w="3168"/>
            <w:vAlign w:val="center"/>
          </w:tcPr>
          <w:p>
            <w:r/>
            <w:r>
              <w:rPr>
                <w:b w:val="0"/>
                <w:sz w:val="18"/>
              </w:rPr>
              <w:t>Integration</w:t>
            </w:r>
          </w:p>
        </w:tc>
        <w:tc>
          <w:tcPr>
            <w:tcW w:type="dxa" w:w="7776"/>
            <w:vAlign w:val="center"/>
          </w:tcPr>
          <w:p>
            <w:r/>
            <w:r>
              <w:rPr>
                <w:b w:val="0"/>
                <w:sz w:val="18"/>
              </w:rPr>
              <w:t>API contracts, mappings, service authentication, timeouts, error handling, mocks/stubs and source-owner sign-off.</w:t>
            </w:r>
          </w:p>
        </w:tc>
      </w:tr>
      <w:tr>
        <w:tc>
          <w:tcPr>
            <w:tcW w:type="dxa" w:w="3168"/>
            <w:vAlign w:val="center"/>
          </w:tcPr>
          <w:p>
            <w:r/>
            <w:r>
              <w:rPr>
                <w:b w:val="0"/>
                <w:sz w:val="18"/>
              </w:rPr>
              <w:t>Infrastructure</w:t>
            </w:r>
          </w:p>
        </w:tc>
        <w:tc>
          <w:tcPr>
            <w:tcW w:type="dxa" w:w="7776"/>
            <w:vAlign w:val="center"/>
          </w:tcPr>
          <w:p>
            <w:r/>
            <w:r>
              <w:rPr>
                <w:b w:val="0"/>
                <w:sz w:val="18"/>
              </w:rPr>
              <w:t>On-premises runtime, database, reverse proxy/load balancer, certificates, network rules, backup, HA/DR and environment provisioning.</w:t>
            </w:r>
          </w:p>
        </w:tc>
      </w:tr>
      <w:tr>
        <w:tc>
          <w:tcPr>
            <w:tcW w:type="dxa" w:w="3168"/>
            <w:vAlign w:val="center"/>
          </w:tcPr>
          <w:p>
            <w:r/>
            <w:r>
              <w:rPr>
                <w:b w:val="0"/>
                <w:sz w:val="18"/>
              </w:rPr>
              <w:t>Observability</w:t>
            </w:r>
          </w:p>
        </w:tc>
        <w:tc>
          <w:tcPr>
            <w:tcW w:type="dxa" w:w="7776"/>
            <w:vAlign w:val="center"/>
          </w:tcPr>
          <w:p>
            <w:r/>
            <w:r>
              <w:rPr>
                <w:b w:val="0"/>
                <w:sz w:val="18"/>
              </w:rPr>
              <w:t>AppDynamics agents/configuration, dashboards, alerts, logging/masking standard and operational ownership.</w:t>
            </w:r>
          </w:p>
        </w:tc>
      </w:tr>
      <w:tr>
        <w:tc>
          <w:tcPr>
            <w:tcW w:type="dxa" w:w="3168"/>
            <w:vAlign w:val="center"/>
          </w:tcPr>
          <w:p>
            <w:r/>
            <w:r>
              <w:rPr>
                <w:b w:val="0"/>
                <w:sz w:val="18"/>
              </w:rPr>
              <w:t>Data and Privacy</w:t>
            </w:r>
          </w:p>
        </w:tc>
        <w:tc>
          <w:tcPr>
            <w:tcW w:type="dxa" w:w="7776"/>
            <w:vAlign w:val="center"/>
          </w:tcPr>
          <w:p>
            <w:r/>
            <w:r>
              <w:rPr>
                <w:b w:val="0"/>
                <w:sz w:val="18"/>
              </w:rPr>
              <w:t>Data-flow diagram, classification, data minimization, audit retention, masking and non-production data controls.</w:t>
            </w:r>
          </w:p>
        </w:tc>
      </w:tr>
      <w:tr>
        <w:tc>
          <w:tcPr>
            <w:tcW w:type="dxa" w:w="3168"/>
            <w:vAlign w:val="center"/>
          </w:tcPr>
          <w:p>
            <w:r/>
            <w:r>
              <w:rPr>
                <w:b w:val="0"/>
                <w:sz w:val="18"/>
              </w:rPr>
              <w:t>DevSecOps and Release</w:t>
            </w:r>
          </w:p>
        </w:tc>
        <w:tc>
          <w:tcPr>
            <w:tcW w:type="dxa" w:w="7776"/>
            <w:vAlign w:val="center"/>
          </w:tcPr>
          <w:p>
            <w:r/>
            <w:r>
              <w:rPr>
                <w:b w:val="0"/>
                <w:sz w:val="18"/>
              </w:rPr>
              <w:t>Version control, branching, quality gates, deployment automation, approvals, evidence retention and rollback packages.</w:t>
            </w:r>
          </w:p>
        </w:tc>
      </w:tr>
      <w:tr>
        <w:tc>
          <w:tcPr>
            <w:tcW w:type="dxa" w:w="3168"/>
            <w:vAlign w:val="center"/>
          </w:tcPr>
          <w:p>
            <w:r/>
            <w:r>
              <w:rPr>
                <w:b w:val="0"/>
                <w:sz w:val="18"/>
              </w:rPr>
              <w:t>Business and Operations</w:t>
            </w:r>
          </w:p>
        </w:tc>
        <w:tc>
          <w:tcPr>
            <w:tcW w:type="dxa" w:w="7776"/>
            <w:vAlign w:val="center"/>
          </w:tcPr>
          <w:p>
            <w:r/>
            <w:r>
              <w:rPr>
                <w:b w:val="0"/>
                <w:sz w:val="18"/>
              </w:rPr>
              <w:t>UAT, process validation, training, support model, service acceptance and hypercare.</w:t>
            </w:r>
          </w:p>
        </w:tc>
      </w:tr>
    </w:tbl>
    <w:p/>
    <w:p>
      <w:pPr>
        <w:pStyle w:val="Heading3"/>
      </w:pPr>
      <w:r>
        <w:t>Delivery Gates</w:t>
      </w:r>
    </w:p>
    <w:p>
      <w:pPr>
        <w:pStyle w:val="ListBullet"/>
      </w:pPr>
      <w:r>
        <w:t>Architecture Review Board approval of target on-premises Mendix architecture.</w:t>
      </w:r>
    </w:p>
    <w:p>
      <w:pPr>
        <w:pStyle w:val="ListBullet"/>
      </w:pPr>
      <w:r>
        <w:t>Information Security approval of SAML, access controls, connectivity, logging and security-testing plan.</w:t>
      </w:r>
    </w:p>
    <w:p>
      <w:pPr>
        <w:pStyle w:val="ListBullet"/>
      </w:pPr>
      <w:r>
        <w:t>Infrastructure readiness for each environment.</w:t>
      </w:r>
    </w:p>
    <w:p>
      <w:pPr>
        <w:pStyle w:val="ListBullet"/>
      </w:pPr>
      <w:r>
        <w:t>Confirmed API contracts or approved mock/stub strategy for unavailable interfaces.</w:t>
      </w:r>
    </w:p>
    <w:p>
      <w:pPr>
        <w:pStyle w:val="ListBullet"/>
      </w:pPr>
      <w:r>
        <w:t>Completion of critical/high vulnerability remediation or approved risk acceptance.</w:t>
      </w:r>
    </w:p>
    <w:p>
      <w:pPr>
        <w:pStyle w:val="ListBullet"/>
      </w:pPr>
      <w:r>
        <w:t>Successful backup/restore and DR test evidence.</w:t>
      </w:r>
    </w:p>
    <w:p>
      <w:pPr>
        <w:pStyle w:val="ListBullet"/>
      </w:pPr>
      <w:r>
        <w:t>UAT approval and operational readiness sign-off.</w:t>
      </w:r>
    </w:p>
    <w:p>
      <w:pPr>
        <w:pStyle w:val="ListBullet"/>
      </w:pPr>
      <w:r>
        <w:t>Production change approval and rollback readiness.</w:t>
      </w:r>
    </w:p>
    <w:p>
      <w:pPr>
        <w:pStyle w:val="Heading3"/>
      </w:pPr>
      <w:r>
        <w:t>6.1.1 Deployment &amp; Cut-over Strategy</w:t>
      </w:r>
    </w:p>
    <w:p>
      <w:r>
        <w:t>The preferred cut-over approach is a controlled new-service deployment because EMH is a new unified support workspace rather than a direct replacement of a single legacy application. Existing source systems remain systems of record and continue operating during and after EMH go-live.</w:t>
      </w:r>
    </w:p>
    <w:p>
      <w:pPr>
        <w:pStyle w:val="ListNumber"/>
      </w:pPr>
      <w:r>
        <w:t>Freeze the approved production release and record the Mendix package/version, configuration baseline and dependency versions.</w:t>
      </w:r>
    </w:p>
    <w:p>
      <w:pPr>
        <w:pStyle w:val="ListNumber"/>
      </w:pPr>
      <w:r>
        <w:t>Back up the target EMH database and production configuration before deployment.</w:t>
      </w:r>
    </w:p>
    <w:p>
      <w:pPr>
        <w:pStyle w:val="ListNumber"/>
      </w:pPr>
      <w:r>
        <w:t>Deploy the Mendix application to production through the approved change process.</w:t>
      </w:r>
    </w:p>
    <w:p>
      <w:pPr>
        <w:pStyle w:val="ListNumber"/>
      </w:pPr>
      <w:r>
        <w:t>Configure production-only SAML metadata/certificates, secrets, API endpoints, AppDynamics agents and monitoring policies.</w:t>
      </w:r>
    </w:p>
    <w:p>
      <w:pPr>
        <w:pStyle w:val="ListNumber"/>
      </w:pPr>
      <w:r>
        <w:t>Validate network connectivity and certificate trust to IDAM, database, external APIs and monitoring infrastructure.</w:t>
      </w:r>
    </w:p>
    <w:p>
      <w:pPr>
        <w:pStyle w:val="ListNumber"/>
      </w:pPr>
      <w:r>
        <w:t>Create or synchronize approved initial EMH users/roles/permissions without importing source-system operational data.</w:t>
      </w:r>
    </w:p>
    <w:p>
      <w:pPr>
        <w:pStyle w:val="ListNumber"/>
      </w:pPr>
      <w:r>
        <w:t>Execute production smoke tests using approved test identities and non-sensitive test scenarios.</w:t>
      </w:r>
    </w:p>
    <w:p>
      <w:pPr>
        <w:pStyle w:val="ListNumber"/>
      </w:pPr>
      <w:r>
        <w:t>Validate authentication, authorization, application cards, navigation, representative API calls, audit records, logging sanitization and AppDynamics visibility.</w:t>
      </w:r>
    </w:p>
    <w:p>
      <w:pPr>
        <w:pStyle w:val="ListNumber"/>
      </w:pPr>
      <w:r>
        <w:t>Enable access for the approved pilot/support-user group, followed by wider rollout if the pilot is successful.</w:t>
      </w:r>
    </w:p>
    <w:p>
      <w:pPr>
        <w:pStyle w:val="ListNumber"/>
      </w:pPr>
      <w:r>
        <w:t>Monitor the service during hypercare and review access, errors, latency, external API availability and user feedback.</w:t>
      </w:r>
    </w:p>
    <w:p>
      <w:pPr>
        <w:pStyle w:val="Heading4"/>
      </w:pPr>
      <w:r>
        <w:t>Rollback Strategy</w:t>
      </w:r>
    </w:p>
    <w:p>
      <w:pPr>
        <w:pStyle w:val="ListBullet"/>
      </w:pPr>
      <w:r>
        <w:t>Disable user access at the reverse proxy, SAML relying-party configuration or application access layer if critical issues arise.</w:t>
      </w:r>
    </w:p>
    <w:p>
      <w:pPr>
        <w:pStyle w:val="ListBullet"/>
      </w:pPr>
      <w:r>
        <w:t>Roll back to the previous approved Mendix package where supported and safe.</w:t>
      </w:r>
    </w:p>
    <w:p>
      <w:pPr>
        <w:pStyle w:val="ListBullet"/>
      </w:pPr>
      <w:r>
        <w:t>Restore the EMH database/configuration backup if the deployment introduced incompatible persistent-model changes.</w:t>
      </w:r>
    </w:p>
    <w:p>
      <w:pPr>
        <w:pStyle w:val="ListBullet"/>
      </w:pPr>
      <w:r>
        <w:t>Revert network, certificate and integration configuration changes through approved infrastructure procedures.</w:t>
      </w:r>
    </w:p>
    <w:p>
      <w:pPr>
        <w:pStyle w:val="ListBullet"/>
      </w:pPr>
      <w:r>
        <w:t>Because source systems remain authoritative and EMH does not persist external operational data, rollback does not require reconciling patient/application data back to source systems.</w:t>
      </w:r>
    </w:p>
    <w:p>
      <w:pPr>
        <w:pStyle w:val="ListBullet"/>
      </w:pPr>
      <w:r>
        <w:t>Record the rollback decision, reason, evidence and follow-up actions through change and incident management.</w:t>
      </w:r>
    </w:p>
    <w:p>
      <w:pPr>
        <w:pStyle w:val="Heading4"/>
      </w:pPr>
      <w:r>
        <w:t>Cut-over Preconditions</w:t>
      </w:r>
    </w:p>
    <w:p>
      <w:pPr>
        <w:pStyle w:val="ListBullet"/>
      </w:pPr>
      <w:r>
        <w:t>Production environment and connectivity approved.</w:t>
      </w:r>
    </w:p>
    <w:p>
      <w:pPr>
        <w:pStyle w:val="ListBullet"/>
      </w:pPr>
      <w:r>
        <w:t>SAML authentication and logout verified in pre-production.</w:t>
      </w:r>
    </w:p>
    <w:p>
      <w:pPr>
        <w:pStyle w:val="ListBullet"/>
      </w:pPr>
      <w:r>
        <w:t>API owners confirm production endpoints, credentials, limits and support contacts.</w:t>
      </w:r>
    </w:p>
    <w:p>
      <w:pPr>
        <w:pStyle w:val="ListBullet"/>
      </w:pPr>
      <w:r>
        <w:t>Access matrix approved and initial privileged access reviewed.</w:t>
      </w:r>
    </w:p>
    <w:p>
      <w:pPr>
        <w:pStyle w:val="ListBullet"/>
      </w:pPr>
      <w:r>
        <w:t>AppDynamics dashboards and alerts operational.</w:t>
      </w:r>
    </w:p>
    <w:p>
      <w:pPr>
        <w:pStyle w:val="ListBullet"/>
      </w:pPr>
      <w:r>
        <w:t>Backup/restore and redeployment runbooks tested.</w:t>
      </w:r>
    </w:p>
    <w:p>
      <w:pPr>
        <w:pStyle w:val="ListBullet"/>
      </w:pPr>
      <w:r>
        <w:t>No unresolved critical security defects.</w:t>
      </w:r>
    </w:p>
    <w:p>
      <w:pPr>
        <w:pStyle w:val="ListBullet"/>
      </w:pPr>
      <w:r>
        <w:t>UAT and operational readiness approved.</w:t>
      </w:r>
    </w:p>
    <w:p>
      <w:pPr>
        <w:pStyle w:val="ListBullet"/>
      </w:pPr>
      <w:r>
        <w:t>Rollback package and responsibilities confirmed.</w:t>
      </w:r>
    </w:p>
    <w:p>
      <w:pPr>
        <w:pStyle w:val="Heading3"/>
      </w:pPr>
      <w:r>
        <w:t>6.1.2 Transition Architecture</w:t>
      </w:r>
    </w:p>
    <w:p>
      <w:r>
        <w:t>The transition architecture describes the temporary state while the Mendix solution is being developed, integrated and introduced. Existing source systems remain unchanged and authoritative throughout the transition.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Transition State</w:t>
            </w:r>
          </w:p>
        </w:tc>
        <w:tc>
          <w:tcPr>
            <w:tcW w:type="dxa" w:w="7776"/>
            <w:vAlign w:val="center"/>
            <w:shd w:fill="D9EAF7"/>
          </w:tcPr>
          <w:p>
            <w:r/>
            <w:r>
              <w:rPr>
                <w:b/>
                <w:sz w:val="18"/>
              </w:rPr>
              <w:t>Architecture Description</w:t>
            </w:r>
          </w:p>
        </w:tc>
      </w:tr>
      <w:tr>
        <w:tc>
          <w:tcPr>
            <w:tcW w:type="dxa" w:w="3168"/>
            <w:vAlign w:val="center"/>
          </w:tcPr>
          <w:p>
            <w:r/>
            <w:r>
              <w:rPr>
                <w:b w:val="0"/>
                <w:sz w:val="18"/>
              </w:rPr>
              <w:t>State A - Current</w:t>
            </w:r>
          </w:p>
        </w:tc>
        <w:tc>
          <w:tcPr>
            <w:tcW w:type="dxa" w:w="7776"/>
            <w:vAlign w:val="center"/>
          </w:tcPr>
          <w:p>
            <w:r/>
            <w:r>
              <w:rPr>
                <w:b w:val="0"/>
                <w:sz w:val="18"/>
              </w:rPr>
              <w:t>Support teams use existing systems, APIs and manual investigation methods. No Mendix production service is available.</w:t>
            </w:r>
          </w:p>
        </w:tc>
      </w:tr>
      <w:tr>
        <w:tc>
          <w:tcPr>
            <w:tcW w:type="dxa" w:w="3168"/>
            <w:vAlign w:val="center"/>
          </w:tcPr>
          <w:p>
            <w:r/>
            <w:r>
              <w:rPr>
                <w:b w:val="0"/>
                <w:sz w:val="18"/>
              </w:rPr>
              <w:t>State B - Foundation</w:t>
            </w:r>
          </w:p>
        </w:tc>
        <w:tc>
          <w:tcPr>
            <w:tcW w:type="dxa" w:w="7776"/>
            <w:vAlign w:val="center"/>
          </w:tcPr>
          <w:p>
            <w:r/>
            <w:r>
              <w:rPr>
                <w:b w:val="0"/>
                <w:sz w:val="18"/>
              </w:rPr>
              <w:t>On-premises Mendix non-production environments, SAML proof-of-concept, application shell, access framework and integration framework are established.</w:t>
            </w:r>
          </w:p>
        </w:tc>
      </w:tr>
      <w:tr>
        <w:tc>
          <w:tcPr>
            <w:tcW w:type="dxa" w:w="3168"/>
            <w:vAlign w:val="center"/>
          </w:tcPr>
          <w:p>
            <w:r/>
            <w:r>
              <w:rPr>
                <w:b w:val="0"/>
                <w:sz w:val="18"/>
              </w:rPr>
              <w:t>State C - Incremental Module Build</w:t>
            </w:r>
          </w:p>
        </w:tc>
        <w:tc>
          <w:tcPr>
            <w:tcW w:type="dxa" w:w="7776"/>
            <w:vAlign w:val="center"/>
          </w:tcPr>
          <w:p>
            <w:r/>
            <w:r>
              <w:rPr>
                <w:b w:val="0"/>
                <w:sz w:val="18"/>
              </w:rPr>
              <w:t>Business modules are delivered progressively. Unavailable APIs are represented by approved mocks/stubs in non-production only.</w:t>
            </w:r>
          </w:p>
        </w:tc>
      </w:tr>
      <w:tr>
        <w:tc>
          <w:tcPr>
            <w:tcW w:type="dxa" w:w="3168"/>
            <w:vAlign w:val="center"/>
          </w:tcPr>
          <w:p>
            <w:r/>
            <w:r>
              <w:rPr>
                <w:b w:val="0"/>
                <w:sz w:val="18"/>
              </w:rPr>
              <w:t>State D - Parallel Validation</w:t>
            </w:r>
          </w:p>
        </w:tc>
        <w:tc>
          <w:tcPr>
            <w:tcW w:type="dxa" w:w="7776"/>
            <w:vAlign w:val="center"/>
          </w:tcPr>
          <w:p>
            <w:r/>
            <w:r>
              <w:rPr>
                <w:b w:val="0"/>
                <w:sz w:val="18"/>
              </w:rPr>
              <w:t>Mendix UAT/pre-production operates alongside existing support methods. Users compare results with source systems; no source data is modified.</w:t>
            </w:r>
          </w:p>
        </w:tc>
      </w:tr>
      <w:tr>
        <w:tc>
          <w:tcPr>
            <w:tcW w:type="dxa" w:w="3168"/>
            <w:vAlign w:val="center"/>
          </w:tcPr>
          <w:p>
            <w:r/>
            <w:r>
              <w:rPr>
                <w:b w:val="0"/>
                <w:sz w:val="18"/>
              </w:rPr>
              <w:t>State E - Controlled Production Introduction</w:t>
            </w:r>
          </w:p>
        </w:tc>
        <w:tc>
          <w:tcPr>
            <w:tcW w:type="dxa" w:w="7776"/>
            <w:vAlign w:val="center"/>
          </w:tcPr>
          <w:p>
            <w:r/>
            <w:r>
              <w:rPr>
                <w:b w:val="0"/>
                <w:sz w:val="18"/>
              </w:rPr>
              <w:t>Mendix becomes the preferred unified support workspace for approved functions, while source systems remain available and authoritative.</w:t>
            </w:r>
          </w:p>
        </w:tc>
      </w:tr>
      <w:tr>
        <w:tc>
          <w:tcPr>
            <w:tcW w:type="dxa" w:w="3168"/>
            <w:vAlign w:val="center"/>
          </w:tcPr>
          <w:p>
            <w:r/>
            <w:r>
              <w:rPr>
                <w:b w:val="0"/>
                <w:sz w:val="18"/>
              </w:rPr>
              <w:t>State F - Target</w:t>
            </w:r>
          </w:p>
        </w:tc>
        <w:tc>
          <w:tcPr>
            <w:tcW w:type="dxa" w:w="7776"/>
            <w:vAlign w:val="center"/>
          </w:tcPr>
          <w:p>
            <w:r/>
            <w:r>
              <w:rPr>
                <w:b w:val="0"/>
                <w:sz w:val="18"/>
              </w:rPr>
              <w:t>All approved Phase 1 functions operate through the Mendix workspace, with mature monitoring, support, security controls and tested DR capability.</w:t>
            </w:r>
          </w:p>
        </w:tc>
      </w:tr>
    </w:tbl>
    <w:p/>
    <w:p>
      <w:r>
        <w:t>Transition architecture constraints:</w:t>
      </w:r>
    </w:p>
    <w:p>
      <w:pPr>
        <w:pStyle w:val="ListBullet"/>
      </w:pPr>
      <w:r>
        <w:t>No production API endpoint shall be used from development or test environments unless formally approved.</w:t>
      </w:r>
    </w:p>
    <w:p>
      <w:pPr>
        <w:pStyle w:val="ListBullet"/>
      </w:pPr>
      <w:r>
        <w:t>Mocks and stubs must not contain real Confidential or Highly Confidential data.</w:t>
      </w:r>
    </w:p>
    <w:p>
      <w:pPr>
        <w:pStyle w:val="ListBullet"/>
      </w:pPr>
      <w:r>
        <w:t>Temporary roles, test accounts, firewall rules, certificates and debug logging must be removed before production.</w:t>
      </w:r>
    </w:p>
    <w:p>
      <w:pPr>
        <w:pStyle w:val="ListBullet"/>
      </w:pPr>
      <w:r>
        <w:t>Parallel validation shall not result in local storage or spreadsheet extraction of sensitive source data.</w:t>
      </w:r>
    </w:p>
    <w:p>
      <w:pPr>
        <w:pStyle w:val="ListBullet"/>
      </w:pPr>
      <w:r>
        <w:t>Any temporary technical exception must have an owner, expiry date, compensating controls and closure evidence.</w:t>
      </w:r>
    </w:p>
    <w:p>
      <w:pPr>
        <w:pStyle w:val="Heading3"/>
      </w:pPr>
      <w:r>
        <w:t>6.1.3 Data Migration Approach</w:t>
      </w:r>
    </w:p>
    <w:p>
      <w:r>
        <w:t>No migration of external operational data is planned because EMH shall display source-system information through APIs and shall not persist those records. The migration scope is limited to EMH-owned configuration and access-control data required to operate the solution.</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b/>
                <w:sz w:val="18"/>
              </w:rPr>
              <w:t>Data Category</w:t>
            </w:r>
          </w:p>
        </w:tc>
        <w:tc>
          <w:tcPr>
            <w:tcW w:type="dxa" w:w="7488"/>
            <w:vAlign w:val="center"/>
            <w:shd w:fill="D9EAF7"/>
          </w:tcPr>
          <w:p>
            <w:r/>
            <w:r>
              <w:rPr>
                <w:b/>
                <w:sz w:val="18"/>
              </w:rPr>
              <w:t>Migration Approach</w:t>
            </w:r>
          </w:p>
        </w:tc>
      </w:tr>
      <w:tr>
        <w:tc>
          <w:tcPr>
            <w:tcW w:type="dxa" w:w="3456"/>
            <w:vAlign w:val="center"/>
          </w:tcPr>
          <w:p>
            <w:r/>
            <w:r>
              <w:rPr>
                <w:b w:val="0"/>
                <w:sz w:val="18"/>
              </w:rPr>
              <w:t>Applications, modules and menu configuration</w:t>
            </w:r>
          </w:p>
        </w:tc>
        <w:tc>
          <w:tcPr>
            <w:tcW w:type="dxa" w:w="7488"/>
            <w:vAlign w:val="center"/>
          </w:tcPr>
          <w:p>
            <w:r/>
            <w:r>
              <w:rPr>
                <w:b w:val="0"/>
                <w:sz w:val="18"/>
              </w:rPr>
              <w:t>Create through controlled seed/configuration scripts, Mendix data import, or administrative setup. Validate against the approved navigation design.</w:t>
            </w:r>
          </w:p>
        </w:tc>
      </w:tr>
      <w:tr>
        <w:tc>
          <w:tcPr>
            <w:tcW w:type="dxa" w:w="3456"/>
            <w:vAlign w:val="center"/>
          </w:tcPr>
          <w:p>
            <w:r/>
            <w:r>
              <w:rPr>
                <w:b w:val="0"/>
                <w:sz w:val="18"/>
              </w:rPr>
              <w:t>Permission catalog</w:t>
            </w:r>
          </w:p>
        </w:tc>
        <w:tc>
          <w:tcPr>
            <w:tcW w:type="dxa" w:w="7488"/>
            <w:vAlign w:val="center"/>
          </w:tcPr>
          <w:p>
            <w:r/>
            <w:r>
              <w:rPr>
                <w:b w:val="0"/>
                <w:sz w:val="18"/>
              </w:rPr>
              <w:t>Load approved permission keys and mappings. Validate naming, uniqueness and relationship to pages/actions.</w:t>
            </w:r>
          </w:p>
        </w:tc>
      </w:tr>
      <w:tr>
        <w:tc>
          <w:tcPr>
            <w:tcW w:type="dxa" w:w="3456"/>
            <w:vAlign w:val="center"/>
          </w:tcPr>
          <w:p>
            <w:r/>
            <w:r>
              <w:rPr>
                <w:b w:val="0"/>
                <w:sz w:val="18"/>
              </w:rPr>
              <w:t>Roles and role-permission mappings</w:t>
            </w:r>
          </w:p>
        </w:tc>
        <w:tc>
          <w:tcPr>
            <w:tcW w:type="dxa" w:w="7488"/>
            <w:vAlign w:val="center"/>
          </w:tcPr>
          <w:p>
            <w:r/>
            <w:r>
              <w:rPr>
                <w:b w:val="0"/>
                <w:sz w:val="18"/>
              </w:rPr>
              <w:t>Create from the approved access matrix. Require business owner and Information Security review.</w:t>
            </w:r>
          </w:p>
        </w:tc>
      </w:tr>
      <w:tr>
        <w:tc>
          <w:tcPr>
            <w:tcW w:type="dxa" w:w="3456"/>
            <w:vAlign w:val="center"/>
          </w:tcPr>
          <w:p>
            <w:r/>
            <w:r>
              <w:rPr>
                <w:b w:val="0"/>
                <w:sz w:val="18"/>
              </w:rPr>
              <w:t>User-to-role assignments</w:t>
            </w:r>
          </w:p>
        </w:tc>
        <w:tc>
          <w:tcPr>
            <w:tcW w:type="dxa" w:w="7488"/>
            <w:vAlign w:val="center"/>
          </w:tcPr>
          <w:p>
            <w:r/>
            <w:r>
              <w:rPr>
                <w:b w:val="0"/>
                <w:sz w:val="18"/>
              </w:rPr>
              <w:t>Provision from approved user lists or controlled identity mapping. Verify joiner/mover/leaver ownership and avoid broad bulk grants.</w:t>
            </w:r>
          </w:p>
        </w:tc>
      </w:tr>
      <w:tr>
        <w:tc>
          <w:tcPr>
            <w:tcW w:type="dxa" w:w="3456"/>
            <w:vAlign w:val="center"/>
          </w:tcPr>
          <w:p>
            <w:r/>
            <w:r>
              <w:rPr>
                <w:b w:val="0"/>
                <w:sz w:val="18"/>
              </w:rPr>
              <w:t>Reference data owned by EMH</w:t>
            </w:r>
          </w:p>
        </w:tc>
        <w:tc>
          <w:tcPr>
            <w:tcW w:type="dxa" w:w="7488"/>
            <w:vAlign w:val="center"/>
          </w:tcPr>
          <w:p>
            <w:r/>
            <w:r>
              <w:rPr>
                <w:b w:val="0"/>
                <w:sz w:val="18"/>
              </w:rPr>
              <w:t>Import only approved non-sensitive values. Define ownership and update method.</w:t>
            </w:r>
          </w:p>
        </w:tc>
      </w:tr>
      <w:tr>
        <w:tc>
          <w:tcPr>
            <w:tcW w:type="dxa" w:w="3456"/>
            <w:vAlign w:val="center"/>
          </w:tcPr>
          <w:p>
            <w:r/>
            <w:r>
              <w:rPr>
                <w:b w:val="0"/>
                <w:sz w:val="18"/>
              </w:rPr>
              <w:t>Audit history from legacy tools</w:t>
            </w:r>
          </w:p>
        </w:tc>
        <w:tc>
          <w:tcPr>
            <w:tcW w:type="dxa" w:w="7488"/>
            <w:vAlign w:val="center"/>
          </w:tcPr>
          <w:p>
            <w:r/>
            <w:r>
              <w:rPr>
                <w:b w:val="0"/>
                <w:sz w:val="18"/>
              </w:rPr>
              <w:t>No migration assumed. Retain legacy records in their existing approved repository unless a formal requirement is raised.</w:t>
            </w:r>
          </w:p>
        </w:tc>
      </w:tr>
      <w:tr>
        <w:tc>
          <w:tcPr>
            <w:tcW w:type="dxa" w:w="3456"/>
            <w:vAlign w:val="center"/>
          </w:tcPr>
          <w:p>
            <w:r/>
            <w:r>
              <w:rPr>
                <w:b w:val="0"/>
                <w:sz w:val="18"/>
              </w:rPr>
              <w:t>External patient/application/payment data</w:t>
            </w:r>
          </w:p>
        </w:tc>
        <w:tc>
          <w:tcPr>
            <w:tcW w:type="dxa" w:w="7488"/>
            <w:vAlign w:val="center"/>
          </w:tcPr>
          <w:p>
            <w:r/>
            <w:r>
              <w:rPr>
                <w:b w:val="0"/>
                <w:sz w:val="18"/>
              </w:rPr>
              <w:t>No migration and no persistence. Access remains API-based and display-only.</w:t>
            </w:r>
          </w:p>
        </w:tc>
      </w:tr>
      <w:tr>
        <w:tc>
          <w:tcPr>
            <w:tcW w:type="dxa" w:w="3456"/>
            <w:vAlign w:val="center"/>
          </w:tcPr>
          <w:p>
            <w:r/>
            <w:r>
              <w:rPr>
                <w:b w:val="0"/>
                <w:sz w:val="18"/>
              </w:rPr>
              <w:t>Configuration secrets/certificates</w:t>
            </w:r>
          </w:p>
        </w:tc>
        <w:tc>
          <w:tcPr>
            <w:tcW w:type="dxa" w:w="7488"/>
            <w:vAlign w:val="center"/>
          </w:tcPr>
          <w:p>
            <w:r/>
            <w:r>
              <w:rPr>
                <w:b w:val="0"/>
                <w:sz w:val="18"/>
              </w:rPr>
              <w:t>Not treated as ordinary data migration. Install through approved secret/certificate management processes.</w:t>
            </w:r>
          </w:p>
        </w:tc>
      </w:tr>
      <w:tr>
        <w:tc>
          <w:tcPr>
            <w:tcW w:type="dxa" w:w="3456"/>
            <w:vAlign w:val="center"/>
          </w:tcPr>
          <w:p>
            <w:r/>
            <w:r>
              <w:rPr>
                <w:b w:val="0"/>
                <w:sz w:val="18"/>
              </w:rPr>
              <w:t>Test data</w:t>
            </w:r>
          </w:p>
        </w:tc>
        <w:tc>
          <w:tcPr>
            <w:tcW w:type="dxa" w:w="7488"/>
            <w:vAlign w:val="center"/>
          </w:tcPr>
          <w:p>
            <w:r/>
            <w:r>
              <w:rPr>
                <w:b w:val="0"/>
                <w:sz w:val="18"/>
              </w:rPr>
              <w:t>Use synthetic or masked datasets only; remove temporary test data before production.</w:t>
            </w:r>
          </w:p>
        </w:tc>
      </w:tr>
    </w:tbl>
    <w:p/>
    <w:p>
      <w:pPr>
        <w:pStyle w:val="Heading4"/>
      </w:pPr>
      <w:r>
        <w:t>Migration Controls</w:t>
      </w:r>
    </w:p>
    <w:p>
      <w:pPr>
        <w:pStyle w:val="ListBullet"/>
      </w:pPr>
      <w:r>
        <w:t>Define source, owner, approver, volume, classification and validation rule for each migrated dataset.</w:t>
      </w:r>
    </w:p>
    <w:p>
      <w:pPr>
        <w:pStyle w:val="ListBullet"/>
      </w:pPr>
      <w:r>
        <w:t>Use four-eyes review for privileged role and permission imports.</w:t>
      </w:r>
    </w:p>
    <w:p>
      <w:pPr>
        <w:pStyle w:val="ListBullet"/>
      </w:pPr>
      <w:r>
        <w:t>Validate record counts, uniqueness, referential integrity, active/inactive status and permission effectiveness.</w:t>
      </w:r>
    </w:p>
    <w:p>
      <w:pPr>
        <w:pStyle w:val="ListBullet"/>
      </w:pPr>
      <w:r>
        <w:t>Reject unapproved or orphaned accounts and permission records.</w:t>
      </w:r>
    </w:p>
    <w:p>
      <w:pPr>
        <w:pStyle w:val="ListBullet"/>
      </w:pPr>
      <w:r>
        <w:t>Retain migration execution logs without exposing sensitive values.</w:t>
      </w:r>
    </w:p>
    <w:p>
      <w:pPr>
        <w:pStyle w:val="ListBullet"/>
      </w:pPr>
      <w:r>
        <w:t>Back up the target database before production migration.</w:t>
      </w:r>
    </w:p>
    <w:p>
      <w:pPr>
        <w:pStyle w:val="ListBullet"/>
      </w:pPr>
      <w:r>
        <w:t>Prepare rollback or cleanup scripts for failed configuration migration.</w:t>
      </w:r>
    </w:p>
    <w:p>
      <w:pPr>
        <w:pStyle w:val="ListBullet"/>
      </w:pPr>
      <w:r>
        <w:t>Obtain business owner sign-off on migrated roles, permissions and navigation configuration.</w:t>
      </w:r>
    </w:p>
    <w:p>
      <w:pPr>
        <w:pStyle w:val="Heading4"/>
      </w:pPr>
      <w:r>
        <w:t>Migration Reconciliation</w:t>
      </w:r>
    </w:p>
    <w:p>
      <w:pPr>
        <w:pStyle w:val="ListNumber"/>
      </w:pPr>
      <w:r>
        <w:t>Compare imported application/menu/permission counts against approved source files.</w:t>
      </w:r>
    </w:p>
    <w:p>
      <w:pPr>
        <w:pStyle w:val="ListNumber"/>
      </w:pPr>
      <w:r>
        <w:t>Run automated checks for duplicate permission keys, orphaned role mappings and invalid menu references.</w:t>
      </w:r>
    </w:p>
    <w:p>
      <w:pPr>
        <w:pStyle w:val="ListNumber"/>
      </w:pPr>
      <w:r>
        <w:t>Test representative users from each approved role and application scope.</w:t>
      </w:r>
    </w:p>
    <w:p>
      <w:pPr>
        <w:pStyle w:val="ListNumber"/>
      </w:pPr>
      <w:r>
        <w:t>Confirm denied access for negative test cases.</w:t>
      </w:r>
    </w:p>
    <w:p>
      <w:pPr>
        <w:pStyle w:val="ListNumber"/>
      </w:pPr>
      <w:r>
        <w:t>Confirm all configuration changes are auditable.</w:t>
      </w:r>
    </w:p>
    <w:p>
      <w:pPr>
        <w:pStyle w:val="ListNumber"/>
      </w:pPr>
      <w:r>
        <w:t>Obtain formal acceptance from the Business Owner, Application Owner and Information Security representative as required.</w:t>
      </w:r>
    </w:p>
    <w:p>
      <w:pPr>
        <w:pStyle w:val="Heading2"/>
      </w:pPr>
      <w:r>
        <w:t>UAE Government Compliance Considerations</w:t>
      </w:r>
    </w:p>
    <w:p>
      <w:pPr>
        <w:pStyle w:val="ListBullet"/>
      </w:pPr>
      <w:r>
        <w:t>Implementation environments, deployment pipelines, repositories, artifacts and test data must remain within approved government boundaries.</w:t>
      </w:r>
    </w:p>
    <w:p>
      <w:pPr>
        <w:pStyle w:val="ListBullet"/>
      </w:pPr>
      <w:r>
        <w:t>Production data shall not be migrated to non-production environments without formal approval and masking.</w:t>
      </w:r>
    </w:p>
    <w:p>
      <w:pPr>
        <w:pStyle w:val="ListBullet"/>
      </w:pPr>
      <w:r>
        <w:t>Cut-over and rollback must preserve availability, evidence, accountability and data confidentiality.</w:t>
      </w:r>
    </w:p>
    <w:p>
      <w:pPr>
        <w:pStyle w:val="ListBullet"/>
      </w:pPr>
      <w:r>
        <w:t>Temporary transition controls and exceptions must be formally recorded and closed.</w:t>
      </w:r>
    </w:p>
    <w:p>
      <w:pPr>
        <w:pStyle w:val="ListBullet"/>
      </w:pPr>
      <w:r>
        <w:t>All security test reports, approvals, deployment evidence, access matrices and DR results should be retained as governance evidence.</w:t>
      </w:r>
    </w:p>
    <w:p>
      <w:pPr>
        <w:pStyle w:val="Heading2"/>
      </w:pPr>
      <w:r>
        <w:t>Recommendations</w:t>
      </w:r>
    </w:p>
    <w:p>
      <w:pPr>
        <w:pStyle w:val="ListBullet"/>
      </w:pPr>
      <w:r>
        <w:t>Use a pilot rollout for a limited support-user group before broad production enablement.</w:t>
      </w:r>
    </w:p>
    <w:p>
      <w:pPr>
        <w:pStyle w:val="ListBullet"/>
      </w:pPr>
      <w:r>
        <w:t>Prioritize modules according to confirmed API readiness rather than forcing all modules into a single release.</w:t>
      </w:r>
    </w:p>
    <w:p>
      <w:pPr>
        <w:pStyle w:val="ListBullet"/>
      </w:pPr>
      <w:r>
        <w:t>Build SAML, permissions, audit and integration frameworks before business-page development.</w:t>
      </w:r>
    </w:p>
    <w:p>
      <w:pPr>
        <w:pStyle w:val="ListBullet"/>
      </w:pPr>
      <w:r>
        <w:t>Create mock services for non-production development only when source APIs are unavailable, with clear removal criteria.</w:t>
      </w:r>
    </w:p>
    <w:p>
      <w:pPr>
        <w:pStyle w:val="ListBullet"/>
      </w:pPr>
      <w:r>
        <w:t>Automate deployment, configuration validation and post-deployment smoke tests where the approved Mendix/on-premises tooling allows.</w:t>
      </w:r>
    </w:p>
    <w:p>
      <w:pPr>
        <w:pStyle w:val="ListBullet"/>
      </w:pPr>
      <w:r>
        <w:t>Treat security, DR and operational readiness as release gates rather than post-go-live activities.</w:t>
      </w:r>
    </w:p>
    <w:p>
      <w:pPr>
        <w:pStyle w:val="Heading2"/>
      </w:pPr>
      <w:r>
        <w:t>Assumptions and Open Questions</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b/>
                <w:sz w:val="18"/>
              </w:rPr>
              <w:t>Item</w:t>
            </w:r>
          </w:p>
        </w:tc>
        <w:tc>
          <w:tcPr>
            <w:tcW w:type="dxa" w:w="7488"/>
            <w:vAlign w:val="center"/>
            <w:shd w:fill="D9EAF7"/>
          </w:tcPr>
          <w:p>
            <w:r/>
            <w:r>
              <w:rPr>
                <w:b/>
                <w:sz w:val="18"/>
              </w:rPr>
              <w:t>Current Treatment</w:t>
            </w:r>
          </w:p>
        </w:tc>
      </w:tr>
      <w:tr>
        <w:tc>
          <w:tcPr>
            <w:tcW w:type="dxa" w:w="3456"/>
            <w:vAlign w:val="center"/>
          </w:tcPr>
          <w:p>
            <w:r/>
            <w:r>
              <w:rPr>
                <w:b w:val="0"/>
                <w:sz w:val="18"/>
              </w:rPr>
              <w:t>Mendix Marketplace modules</w:t>
            </w:r>
          </w:p>
        </w:tc>
        <w:tc>
          <w:tcPr>
            <w:tcW w:type="dxa" w:w="7488"/>
            <w:vAlign w:val="center"/>
          </w:tcPr>
          <w:p>
            <w:r/>
            <w:r>
              <w:rPr>
                <w:b w:val="0"/>
                <w:sz w:val="18"/>
              </w:rPr>
              <w:t>Pending confirmation. No module shall be adopted without security, licensing and maintenance review.</w:t>
            </w:r>
          </w:p>
        </w:tc>
      </w:tr>
      <w:tr>
        <w:tc>
          <w:tcPr>
            <w:tcW w:type="dxa" w:w="3456"/>
            <w:vAlign w:val="center"/>
          </w:tcPr>
          <w:p>
            <w:r/>
            <w:r>
              <w:rPr>
                <w:b w:val="0"/>
                <w:sz w:val="18"/>
              </w:rPr>
              <w:t>Custom Java actions</w:t>
            </w:r>
          </w:p>
        </w:tc>
        <w:tc>
          <w:tcPr>
            <w:tcW w:type="dxa" w:w="7488"/>
            <w:vAlign w:val="center"/>
          </w:tcPr>
          <w:p>
            <w:r/>
            <w:r>
              <w:rPr>
                <w:b w:val="0"/>
                <w:sz w:val="18"/>
              </w:rPr>
              <w:t>Potentially permitted, but pending confirmation. Use only where Mendix-native capability is insufficient and after SAST/SCA review.</w:t>
            </w:r>
          </w:p>
        </w:tc>
      </w:tr>
      <w:tr>
        <w:tc>
          <w:tcPr>
            <w:tcW w:type="dxa" w:w="3456"/>
            <w:vAlign w:val="center"/>
          </w:tcPr>
          <w:p>
            <w:r/>
            <w:r>
              <w:rPr>
                <w:b w:val="0"/>
                <w:sz w:val="18"/>
              </w:rPr>
              <w:t>UAE Pass integration</w:t>
            </w:r>
          </w:p>
        </w:tc>
        <w:tc>
          <w:tcPr>
            <w:tcW w:type="dxa" w:w="7488"/>
            <w:vAlign w:val="center"/>
          </w:tcPr>
          <w:p>
            <w:r/>
            <w:r>
              <w:rPr>
                <w:b w:val="0"/>
                <w:sz w:val="18"/>
              </w:rPr>
              <w:t>Pending confirmation whether brokered by enterprise IDAM or directly integrated.</w:t>
            </w:r>
          </w:p>
        </w:tc>
      </w:tr>
      <w:tr>
        <w:tc>
          <w:tcPr>
            <w:tcW w:type="dxa" w:w="3456"/>
            <w:vAlign w:val="center"/>
          </w:tcPr>
          <w:p>
            <w:r/>
            <w:r>
              <w:rPr>
                <w:b w:val="0"/>
                <w:sz w:val="18"/>
              </w:rPr>
              <w:t>AppDynamics and SIEM</w:t>
            </w:r>
          </w:p>
        </w:tc>
        <w:tc>
          <w:tcPr>
            <w:tcW w:type="dxa" w:w="7488"/>
            <w:vAlign w:val="center"/>
          </w:tcPr>
          <w:p>
            <w:r/>
            <w:r>
              <w:rPr>
                <w:b w:val="0"/>
                <w:sz w:val="18"/>
              </w:rPr>
              <w:t>AppDynamics confirmed for monitoring/logging; SIEM forwarding remains pending.</w:t>
            </w:r>
          </w:p>
        </w:tc>
      </w:tr>
      <w:tr>
        <w:tc>
          <w:tcPr>
            <w:tcW w:type="dxa" w:w="3456"/>
            <w:vAlign w:val="center"/>
          </w:tcPr>
          <w:p>
            <w:r/>
            <w:r>
              <w:rPr>
                <w:b w:val="0"/>
                <w:sz w:val="18"/>
              </w:rPr>
              <w:t>Audit retention</w:t>
            </w:r>
          </w:p>
        </w:tc>
        <w:tc>
          <w:tcPr>
            <w:tcW w:type="dxa" w:w="7488"/>
            <w:vAlign w:val="center"/>
          </w:tcPr>
          <w:p>
            <w:r/>
            <w:r>
              <w:rPr>
                <w:b w:val="0"/>
                <w:sz w:val="18"/>
              </w:rPr>
              <w:t>One year stated, pending Compliance/Legal/Records Management validation.</w:t>
            </w:r>
          </w:p>
        </w:tc>
      </w:tr>
      <w:tr>
        <w:tc>
          <w:tcPr>
            <w:tcW w:type="dxa" w:w="3456"/>
            <w:vAlign w:val="center"/>
          </w:tcPr>
          <w:p>
            <w:r/>
            <w:r>
              <w:rPr>
                <w:b w:val="0"/>
                <w:sz w:val="18"/>
              </w:rPr>
              <w:t>PAM tooling</w:t>
            </w:r>
          </w:p>
        </w:tc>
        <w:tc>
          <w:tcPr>
            <w:tcW w:type="dxa" w:w="7488"/>
            <w:vAlign w:val="center"/>
          </w:tcPr>
          <w:p>
            <w:r/>
            <w:r>
              <w:rPr>
                <w:b w:val="0"/>
                <w:sz w:val="18"/>
              </w:rPr>
              <w:t>Pending confirmation from Infrastructure/Information Security.</w:t>
            </w:r>
          </w:p>
        </w:tc>
      </w:tr>
      <w:tr>
        <w:tc>
          <w:tcPr>
            <w:tcW w:type="dxa" w:w="3456"/>
            <w:vAlign w:val="center"/>
          </w:tcPr>
          <w:p>
            <w:r/>
            <w:r>
              <w:rPr>
                <w:b w:val="0"/>
                <w:sz w:val="18"/>
              </w:rPr>
              <w:t>SAST/SCA tools</w:t>
            </w:r>
          </w:p>
        </w:tc>
        <w:tc>
          <w:tcPr>
            <w:tcW w:type="dxa" w:w="7488"/>
            <w:vAlign w:val="center"/>
          </w:tcPr>
          <w:p>
            <w:r/>
            <w:r>
              <w:rPr>
                <w:b w:val="0"/>
                <w:sz w:val="18"/>
              </w:rPr>
              <w:t>Pending confirmation from Information Security/DevSecOps.</w:t>
            </w:r>
          </w:p>
        </w:tc>
      </w:tr>
      <w:tr>
        <w:tc>
          <w:tcPr>
            <w:tcW w:type="dxa" w:w="3456"/>
            <w:vAlign w:val="center"/>
          </w:tcPr>
          <w:p>
            <w:r/>
            <w:r>
              <w:rPr>
                <w:b w:val="0"/>
                <w:sz w:val="18"/>
              </w:rPr>
              <w:t>RTO/RPO</w:t>
            </w:r>
          </w:p>
        </w:tc>
        <w:tc>
          <w:tcPr>
            <w:tcW w:type="dxa" w:w="7488"/>
            <w:vAlign w:val="center"/>
          </w:tcPr>
          <w:p>
            <w:r/>
            <w:r>
              <w:rPr>
                <w:b w:val="0"/>
                <w:sz w:val="18"/>
              </w:rPr>
              <w:t>Provisional RTO 1 hour and RPO 5 minutes, pending formal approval and test evidence.</w:t>
            </w:r>
          </w:p>
        </w:tc>
      </w:tr>
      <w:tr>
        <w:tc>
          <w:tcPr>
            <w:tcW w:type="dxa" w:w="3456"/>
            <w:vAlign w:val="center"/>
          </w:tcPr>
          <w:p>
            <w:r/>
            <w:r>
              <w:rPr>
                <w:b w:val="0"/>
                <w:sz w:val="18"/>
              </w:rPr>
              <w:t>DR strategy</w:t>
            </w:r>
          </w:p>
        </w:tc>
        <w:tc>
          <w:tcPr>
            <w:tcW w:type="dxa" w:w="7488"/>
            <w:vAlign w:val="center"/>
          </w:tcPr>
          <w:p>
            <w:r/>
            <w:r>
              <w:rPr>
                <w:b w:val="0"/>
                <w:sz w:val="18"/>
              </w:rPr>
              <w:t>Redeploy on disaster, subject to timed validation and possible enhancement to pre-provisioned or warm-standby capability.</w:t>
            </w:r>
          </w:p>
        </w:tc>
      </w:tr>
      <w:tr>
        <w:tc>
          <w:tcPr>
            <w:tcW w:type="dxa" w:w="3456"/>
            <w:vAlign w:val="center"/>
          </w:tcPr>
          <w:p>
            <w:r/>
            <w:r>
              <w:rPr>
                <w:b w:val="0"/>
                <w:sz w:val="18"/>
              </w:rPr>
              <w:t>High availability topology</w:t>
            </w:r>
          </w:p>
        </w:tc>
        <w:tc>
          <w:tcPr>
            <w:tcW w:type="dxa" w:w="7488"/>
            <w:vAlign w:val="center"/>
          </w:tcPr>
          <w:p>
            <w:r/>
            <w:r>
              <w:rPr>
                <w:b w:val="0"/>
                <w:sz w:val="18"/>
              </w:rPr>
              <w:t>Pending infrastructure sizing and criticality assessment.</w:t>
            </w:r>
          </w:p>
        </w:tc>
      </w:tr>
      <w:tr>
        <w:tc>
          <w:tcPr>
            <w:tcW w:type="dxa" w:w="3456"/>
            <w:vAlign w:val="center"/>
          </w:tcPr>
          <w:p>
            <w:r/>
            <w:r>
              <w:rPr>
                <w:b w:val="0"/>
                <w:sz w:val="18"/>
              </w:rPr>
              <w:t>API gaps</w:t>
            </w:r>
          </w:p>
        </w:tc>
        <w:tc>
          <w:tcPr>
            <w:tcW w:type="dxa" w:w="7488"/>
            <w:vAlign w:val="center"/>
          </w:tcPr>
          <w:p>
            <w:r/>
            <w:r>
              <w:rPr>
                <w:b w:val="0"/>
                <w:sz w:val="18"/>
              </w:rPr>
              <w:t>IDAM role API, Clinical Attachment responsibility API, and Premarital APIs require confirmation or approved deferral.</w:t>
            </w:r>
          </w:p>
        </w:tc>
      </w:tr>
      <w:tr>
        <w:tc>
          <w:tcPr>
            <w:tcW w:type="dxa" w:w="3456"/>
            <w:vAlign w:val="center"/>
          </w:tcPr>
          <w:p>
            <w:r/>
            <w:r>
              <w:rPr>
                <w:b w:val="0"/>
                <w:sz w:val="18"/>
              </w:rPr>
              <w:t>On-premises Mendix topology and licensing</w:t>
            </w:r>
          </w:p>
        </w:tc>
        <w:tc>
          <w:tcPr>
            <w:tcW w:type="dxa" w:w="7488"/>
            <w:vAlign w:val="center"/>
          </w:tcPr>
          <w:p>
            <w:r/>
            <w:r>
              <w:rPr>
                <w:b w:val="0"/>
                <w:sz w:val="18"/>
              </w:rPr>
              <w:t>Pending final platform/infrastructure design and product licensing confirmation.</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Error Management Hub — Mendix Architecture Design Document Rewrite | Confidential / Highly Confidential | Draft for Architecture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Management Hub - Mendix Architecture Design Document</dc:title>
  <dc:subject>Complete Mendix architecture rewrite including Information Security and Implementation &amp; Migration sections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