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D5AD7" w:rsidRDefault="005D5AD7">
      <w:pPr>
        <w:pStyle w:val="Ttulo"/>
        <w:widowControl w:val="0"/>
        <w:spacing w:before="40" w:after="40" w:line="240" w:lineRule="auto"/>
        <w:contextualSpacing w:val="0"/>
        <w:jc w:val="center"/>
      </w:pPr>
    </w:p>
    <w:p w:rsidR="005D5AD7" w:rsidRDefault="005D5AD7">
      <w:pPr>
        <w:pStyle w:val="Ttulo"/>
        <w:widowControl w:val="0"/>
        <w:spacing w:before="40" w:after="40" w:line="240" w:lineRule="auto"/>
        <w:contextualSpacing w:val="0"/>
        <w:jc w:val="center"/>
      </w:pPr>
    </w:p>
    <w:p w:rsidR="002F31AA" w:rsidRPr="002F31AA" w:rsidRDefault="002F31AA" w:rsidP="002F31AA"/>
    <w:p w:rsidR="005D5AD7" w:rsidRDefault="005D5AD7">
      <w:pPr>
        <w:pStyle w:val="Ttulo"/>
        <w:widowControl w:val="0"/>
        <w:spacing w:before="40" w:after="40" w:line="240" w:lineRule="auto"/>
        <w:contextualSpacing w:val="0"/>
        <w:jc w:val="center"/>
      </w:pPr>
    </w:p>
    <w:p w:rsidR="005D5AD7" w:rsidRDefault="005D5AD7">
      <w:pPr>
        <w:pStyle w:val="Ttulo"/>
        <w:widowControl w:val="0"/>
        <w:spacing w:before="40" w:after="40" w:line="240" w:lineRule="auto"/>
        <w:contextualSpacing w:val="0"/>
        <w:jc w:val="center"/>
      </w:pPr>
    </w:p>
    <w:p w:rsidR="005D5AD7" w:rsidRDefault="002F31AA">
      <w:pPr>
        <w:pStyle w:val="Ttulo"/>
        <w:widowControl w:val="0"/>
        <w:spacing w:before="40" w:after="40" w:line="240" w:lineRule="auto"/>
        <w:contextualSpacing w:val="0"/>
        <w:jc w:val="center"/>
      </w:pPr>
      <w:r>
        <w:rPr>
          <w:b/>
          <w:i/>
          <w:sz w:val="36"/>
          <w:szCs w:val="36"/>
        </w:rPr>
        <w:t>Documentación e información de cursos</w:t>
      </w:r>
    </w:p>
    <w:p w:rsidR="005D5AD7" w:rsidRDefault="005D5AD7" w:rsidP="002F31AA">
      <w:pPr>
        <w:pStyle w:val="Ttulo"/>
        <w:widowControl w:val="0"/>
        <w:spacing w:before="40" w:after="40" w:line="240" w:lineRule="auto"/>
        <w:contextualSpacing w:val="0"/>
      </w:pPr>
      <w:bookmarkStart w:id="0" w:name="h.ruocn5l0je7i" w:colFirst="0" w:colLast="0"/>
      <w:bookmarkEnd w:id="0"/>
    </w:p>
    <w:p w:rsidR="002F31AA" w:rsidRPr="002F31AA" w:rsidRDefault="002F31AA" w:rsidP="002F31AA"/>
    <w:p w:rsidR="005D5AD7" w:rsidRDefault="005D5AD7"/>
    <w:p w:rsidR="005D5AD7" w:rsidRDefault="005D5AD7"/>
    <w:p w:rsidR="005D5AD7" w:rsidRDefault="005D5AD7"/>
    <w:p w:rsidR="005D5AD7" w:rsidRDefault="005D5AD7"/>
    <w:p w:rsidR="002F31AA" w:rsidRDefault="002F31AA"/>
    <w:p w:rsidR="002F31AA" w:rsidRDefault="002F31AA"/>
    <w:p w:rsidR="005D5AD7" w:rsidRDefault="009D35E9">
      <w:pPr>
        <w:pStyle w:val="Ttulo"/>
        <w:spacing w:after="0" w:line="240" w:lineRule="auto"/>
        <w:contextualSpacing w:val="0"/>
        <w:jc w:val="center"/>
      </w:pPr>
      <w:r>
        <w:rPr>
          <w:rFonts w:ascii="Arial Black" w:eastAsia="Arial Black" w:hAnsi="Arial Black" w:cs="Arial Black"/>
          <w:sz w:val="32"/>
          <w:szCs w:val="32"/>
        </w:rPr>
        <w:t>Integrantes – Año 2016</w:t>
      </w:r>
    </w:p>
    <w:p w:rsidR="005D5AD7" w:rsidRDefault="005D5AD7">
      <w:pPr>
        <w:spacing w:line="240" w:lineRule="auto"/>
      </w:pPr>
    </w:p>
    <w:tbl>
      <w:tblPr>
        <w:tblStyle w:val="a"/>
        <w:tblW w:w="8789" w:type="dxa"/>
        <w:tblInd w:w="4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5D5AD7">
        <w:tc>
          <w:tcPr>
            <w:tcW w:w="1985" w:type="dxa"/>
            <w:shd w:val="clear" w:color="auto" w:fill="A6A6A6"/>
          </w:tcPr>
          <w:p w:rsidR="005D5AD7" w:rsidRDefault="009D35E9">
            <w:pPr>
              <w:widowControl w:val="0"/>
              <w:spacing w:before="40" w:after="40" w:line="288" w:lineRule="auto"/>
              <w:jc w:val="center"/>
            </w:pPr>
            <w:r>
              <w:rPr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5D5AD7" w:rsidRDefault="009D35E9">
            <w:pPr>
              <w:widowControl w:val="0"/>
              <w:spacing w:before="40" w:after="40" w:line="288" w:lineRule="auto"/>
              <w:jc w:val="center"/>
            </w:pPr>
            <w:r>
              <w:rPr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5D5AD7" w:rsidRDefault="009D35E9">
            <w:pPr>
              <w:widowControl w:val="0"/>
              <w:spacing w:before="40" w:after="40" w:line="288" w:lineRule="auto"/>
              <w:jc w:val="center"/>
            </w:pPr>
            <w:r>
              <w:rPr>
                <w:color w:val="FFFFFF"/>
                <w:sz w:val="20"/>
                <w:szCs w:val="20"/>
              </w:rPr>
              <w:t>E-Mail</w:t>
            </w:r>
          </w:p>
        </w:tc>
      </w:tr>
      <w:tr w:rsidR="005D5AD7">
        <w:tc>
          <w:tcPr>
            <w:tcW w:w="1985" w:type="dxa"/>
          </w:tcPr>
          <w:p w:rsidR="005D5AD7" w:rsidRDefault="009D35E9">
            <w:pPr>
              <w:keepLines/>
              <w:widowControl w:val="0"/>
              <w:spacing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1173388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Santiago, Peralta</w:t>
            </w:r>
          </w:p>
        </w:tc>
        <w:tc>
          <w:tcPr>
            <w:tcW w:w="3402" w:type="dxa"/>
          </w:tcPr>
          <w:p w:rsidR="005D5AD7" w:rsidRDefault="00DD5C77">
            <w:pPr>
              <w:keepLines/>
              <w:widowControl w:val="0"/>
              <w:spacing w:after="120" w:line="240" w:lineRule="auto"/>
              <w:ind w:left="175"/>
            </w:pPr>
            <w:hyperlink r:id="rId7">
              <w:r w:rsidR="009D35E9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speralta83@gmail.com</w:t>
              </w:r>
            </w:hyperlink>
            <w:hyperlink r:id="rId8"/>
          </w:p>
        </w:tc>
      </w:tr>
      <w:tr w:rsidR="005D5AD7">
        <w:tc>
          <w:tcPr>
            <w:tcW w:w="1985" w:type="dxa"/>
          </w:tcPr>
          <w:p w:rsidR="005D5AD7" w:rsidRDefault="009D35E9">
            <w:pPr>
              <w:keepLines/>
              <w:widowControl w:val="0"/>
              <w:spacing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1202388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Obregon, Juan Facundo</w:t>
            </w:r>
          </w:p>
        </w:tc>
        <w:tc>
          <w:tcPr>
            <w:tcW w:w="3402" w:type="dxa"/>
          </w:tcPr>
          <w:p w:rsidR="005D5AD7" w:rsidRDefault="00DD5C77">
            <w:pPr>
              <w:keepLines/>
              <w:widowControl w:val="0"/>
              <w:spacing w:after="120" w:line="240" w:lineRule="auto"/>
              <w:ind w:left="175"/>
            </w:pPr>
            <w:hyperlink r:id="rId9">
              <w:r w:rsidR="009D35E9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facundo.obregon@safabox.com</w:t>
              </w:r>
            </w:hyperlink>
            <w:hyperlink r:id="rId10"/>
          </w:p>
        </w:tc>
      </w:tr>
      <w:tr w:rsidR="005D5AD7">
        <w:tc>
          <w:tcPr>
            <w:tcW w:w="1985" w:type="dxa"/>
          </w:tcPr>
          <w:p w:rsidR="005D5AD7" w:rsidRDefault="009D35E9">
            <w:pPr>
              <w:keepLines/>
              <w:widowControl w:val="0"/>
              <w:spacing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1223161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Montañez, Cinthia</w:t>
            </w:r>
          </w:p>
        </w:tc>
        <w:tc>
          <w:tcPr>
            <w:tcW w:w="3402" w:type="dxa"/>
          </w:tcPr>
          <w:p w:rsidR="005D5AD7" w:rsidRDefault="00DD5C77">
            <w:pPr>
              <w:keepLines/>
              <w:widowControl w:val="0"/>
              <w:spacing w:after="120" w:line="240" w:lineRule="auto"/>
              <w:ind w:left="175"/>
            </w:pPr>
            <w:hyperlink r:id="rId11">
              <w:r w:rsidR="009D35E9"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</w:rPr>
                <w:t>cinthiamontaez@gmail.com</w:t>
              </w:r>
            </w:hyperlink>
            <w:hyperlink r:id="rId12"/>
          </w:p>
        </w:tc>
      </w:tr>
      <w:tr w:rsidR="005D5AD7">
        <w:tc>
          <w:tcPr>
            <w:tcW w:w="1985" w:type="dxa"/>
          </w:tcPr>
          <w:p w:rsidR="005D5AD7" w:rsidRDefault="00DD5C77">
            <w:pPr>
              <w:keepLines/>
              <w:widowControl w:val="0"/>
              <w:spacing w:after="120" w:line="240" w:lineRule="auto"/>
              <w:jc w:val="right"/>
            </w:pPr>
            <w:hyperlink r:id="rId13">
              <w:r w:rsidR="009D35E9"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</w:rPr>
                <w:t>1</w:t>
              </w:r>
            </w:hyperlink>
            <w:r w:rsidR="009D35E9">
              <w:rPr>
                <w:rFonts w:ascii="Times New Roman" w:eastAsia="Times New Roman" w:hAnsi="Times New Roman" w:cs="Times New Roman"/>
                <w:sz w:val="20"/>
                <w:szCs w:val="20"/>
              </w:rPr>
              <w:t>237937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Caro, Jonatan</w:t>
            </w:r>
          </w:p>
        </w:tc>
        <w:tc>
          <w:tcPr>
            <w:tcW w:w="3402" w:type="dxa"/>
          </w:tcPr>
          <w:p w:rsidR="005D5AD7" w:rsidRDefault="00DD5C77">
            <w:pPr>
              <w:keepLines/>
              <w:widowControl w:val="0"/>
              <w:spacing w:after="120" w:line="240" w:lineRule="auto"/>
              <w:ind w:left="175"/>
            </w:pPr>
            <w:hyperlink r:id="rId14">
              <w:r w:rsidR="009D35E9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joni1087@gmail.com</w:t>
              </w:r>
            </w:hyperlink>
            <w:hyperlink r:id="rId15"/>
          </w:p>
        </w:tc>
      </w:tr>
      <w:tr w:rsidR="005D5AD7">
        <w:tc>
          <w:tcPr>
            <w:tcW w:w="1985" w:type="dxa"/>
          </w:tcPr>
          <w:p w:rsidR="005D5AD7" w:rsidRDefault="009D35E9">
            <w:pPr>
              <w:keepLines/>
              <w:widowControl w:val="0"/>
              <w:spacing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1134115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Matsui, Gerardo</w:t>
            </w:r>
          </w:p>
        </w:tc>
        <w:tc>
          <w:tcPr>
            <w:tcW w:w="3402" w:type="dxa"/>
          </w:tcPr>
          <w:p w:rsidR="005D5AD7" w:rsidRDefault="00DD5C77">
            <w:pPr>
              <w:keepLines/>
              <w:widowControl w:val="0"/>
              <w:spacing w:after="120" w:line="240" w:lineRule="auto"/>
              <w:ind w:left="175"/>
            </w:pPr>
            <w:hyperlink r:id="rId16">
              <w:r w:rsidR="009D35E9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gerardo.matsui@gmail.com</w:t>
              </w:r>
            </w:hyperlink>
            <w:hyperlink r:id="rId17"/>
          </w:p>
        </w:tc>
      </w:tr>
    </w:tbl>
    <w:p w:rsidR="005D5AD7" w:rsidRDefault="009D35E9">
      <w:pPr>
        <w:pStyle w:val="Ttulo"/>
        <w:spacing w:before="240" w:line="240" w:lineRule="auto"/>
        <w:contextualSpacing w:val="0"/>
      </w:pPr>
      <w:bookmarkStart w:id="1" w:name="h.8l8t8fdi0xb" w:colFirst="0" w:colLast="0"/>
      <w:bookmarkEnd w:id="1"/>
      <w:r>
        <w:rPr>
          <w:rFonts w:ascii="Arial Black" w:eastAsia="Arial Black" w:hAnsi="Arial Black" w:cs="Arial Black"/>
          <w:i/>
          <w:sz w:val="32"/>
          <w:szCs w:val="32"/>
        </w:rPr>
        <w:t>Profesores:</w:t>
      </w:r>
    </w:p>
    <w:p w:rsidR="005D5AD7" w:rsidRDefault="005D5AD7">
      <w:pPr>
        <w:spacing w:line="240" w:lineRule="auto"/>
      </w:pPr>
    </w:p>
    <w:p w:rsidR="005D5AD7" w:rsidRDefault="009D35E9">
      <w:pPr>
        <w:spacing w:line="240" w:lineRule="auto"/>
        <w:jc w:val="both"/>
      </w:pPr>
      <w:r>
        <w:rPr>
          <w:b/>
          <w:i/>
        </w:rPr>
        <w:t xml:space="preserve">Director de Cátedra: </w:t>
      </w:r>
      <w:r>
        <w:rPr>
          <w:i/>
        </w:rPr>
        <w:t>Dra. Inés Casanovas</w:t>
      </w:r>
    </w:p>
    <w:p w:rsidR="005D5AD7" w:rsidRDefault="009D35E9">
      <w:pPr>
        <w:spacing w:line="240" w:lineRule="auto"/>
        <w:jc w:val="both"/>
      </w:pPr>
      <w:r>
        <w:rPr>
          <w:b/>
          <w:i/>
        </w:rPr>
        <w:t xml:space="preserve">Profesor a cargo del curso: </w:t>
      </w:r>
      <w:r>
        <w:rPr>
          <w:i/>
        </w:rPr>
        <w:t>Mag. Ing. Gabriela Salem</w:t>
      </w:r>
    </w:p>
    <w:p w:rsidR="005D5AD7" w:rsidRDefault="009D35E9">
      <w:pPr>
        <w:spacing w:line="240" w:lineRule="auto"/>
        <w:jc w:val="both"/>
      </w:pPr>
      <w:r>
        <w:rPr>
          <w:b/>
          <w:i/>
        </w:rPr>
        <w:t xml:space="preserve">Profesor a cargo del proyecto:  </w:t>
      </w:r>
      <w:r>
        <w:rPr>
          <w:i/>
        </w:rPr>
        <w:t>Lic. Silvia Balduzzi - Ing. Pablo Abramowicz</w:t>
      </w:r>
    </w:p>
    <w:p w:rsidR="005D5AD7" w:rsidRDefault="009D35E9">
      <w:pPr>
        <w:spacing w:line="240" w:lineRule="auto"/>
        <w:jc w:val="both"/>
      </w:pPr>
      <w:r>
        <w:rPr>
          <w:b/>
          <w:i/>
        </w:rPr>
        <w:t xml:space="preserve">Controller: </w:t>
      </w:r>
      <w:r>
        <w:rPr>
          <w:i/>
        </w:rPr>
        <w:t>Mag.Ing. Gabriela Salem</w:t>
      </w:r>
    </w:p>
    <w:p w:rsidR="005D5AD7" w:rsidRDefault="009D35E9">
      <w:r>
        <w:br w:type="page"/>
      </w:r>
    </w:p>
    <w:p w:rsidR="005D5AD7" w:rsidRDefault="005D5AD7">
      <w:pPr>
        <w:spacing w:line="240" w:lineRule="auto"/>
        <w:jc w:val="both"/>
      </w:pPr>
    </w:p>
    <w:p w:rsidR="005D5AD7" w:rsidRDefault="005D5AD7">
      <w:pPr>
        <w:pStyle w:val="Ttulo1"/>
        <w:spacing w:line="240" w:lineRule="auto"/>
        <w:contextualSpacing w:val="0"/>
        <w:jc w:val="both"/>
      </w:pPr>
      <w:bookmarkStart w:id="2" w:name="h.phfa0o9cd8t9" w:colFirst="0" w:colLast="0"/>
      <w:bookmarkEnd w:id="2"/>
    </w:p>
    <w:p w:rsidR="002F31AA" w:rsidRDefault="002F31AA">
      <w:r>
        <w:t>Indice</w:t>
      </w:r>
    </w:p>
    <w:p w:rsidR="002F31AA" w:rsidRDefault="002F31AA" w:rsidP="002F31AA">
      <w:r>
        <w:br w:type="page"/>
      </w:r>
    </w:p>
    <w:p w:rsidR="005D5AD7" w:rsidRDefault="005D5AD7"/>
    <w:p w:rsidR="005D5AD7" w:rsidRDefault="005D5AD7">
      <w:pPr>
        <w:pStyle w:val="Ttulo1"/>
        <w:spacing w:line="240" w:lineRule="auto"/>
        <w:contextualSpacing w:val="0"/>
        <w:jc w:val="both"/>
      </w:pPr>
      <w:bookmarkStart w:id="3" w:name="h.qgyx8xcmyvbh" w:colFirst="0" w:colLast="0"/>
      <w:bookmarkEnd w:id="3"/>
    </w:p>
    <w:p w:rsidR="005D5AD7" w:rsidRDefault="009D35E9">
      <w:pPr>
        <w:pStyle w:val="Ttulo1"/>
        <w:spacing w:line="240" w:lineRule="auto"/>
        <w:contextualSpacing w:val="0"/>
        <w:jc w:val="both"/>
      </w:pPr>
      <w:bookmarkStart w:id="4" w:name="h.pxc3wqdm0uwx" w:colFirst="0" w:colLast="0"/>
      <w:bookmarkEnd w:id="4"/>
      <w:r>
        <w:rPr>
          <w:sz w:val="28"/>
          <w:szCs w:val="28"/>
        </w:rPr>
        <w:t>Introducción</w:t>
      </w:r>
    </w:p>
    <w:p w:rsidR="005D5AD7" w:rsidRDefault="005D5AD7"/>
    <w:p w:rsidR="005D5AD7" w:rsidRDefault="009D35E9">
      <w:r>
        <w:t xml:space="preserve">El propósito de este documento es describir </w:t>
      </w:r>
      <w:r w:rsidR="002F31AA">
        <w:t xml:space="preserve">el diseño curricular de las materias que vamos a desarrollar en nuestro sistema a modo de relevamiento de negocio para poder comprender la funcionalidad del mismo </w:t>
      </w:r>
      <w:r w:rsidR="00324EB3">
        <w:t>y como se desarrolla el aprendizaje de los alumnos en el segundo ciclo de la escuela primaria.</w:t>
      </w:r>
    </w:p>
    <w:p w:rsidR="00324EB3" w:rsidRDefault="00324EB3"/>
    <w:p w:rsidR="00324EB3" w:rsidRDefault="00324EB3"/>
    <w:p w:rsidR="005D5AD7" w:rsidRDefault="005D5AD7">
      <w:pPr>
        <w:spacing w:line="240" w:lineRule="auto"/>
        <w:jc w:val="both"/>
      </w:pPr>
    </w:p>
    <w:p w:rsidR="005D5AD7" w:rsidRDefault="005D5AD7">
      <w:pPr>
        <w:pStyle w:val="Ttulo1"/>
        <w:spacing w:line="240" w:lineRule="auto"/>
        <w:contextualSpacing w:val="0"/>
        <w:jc w:val="both"/>
      </w:pPr>
      <w:bookmarkStart w:id="5" w:name="h.v8wxbai56fai" w:colFirst="0" w:colLast="0"/>
      <w:bookmarkEnd w:id="5"/>
    </w:p>
    <w:p w:rsidR="005D5AD7" w:rsidRDefault="009D35E9">
      <w:r>
        <w:br w:type="page"/>
      </w:r>
    </w:p>
    <w:p w:rsidR="005D5AD7" w:rsidRDefault="005D5AD7">
      <w:pPr>
        <w:pStyle w:val="Ttulo1"/>
        <w:spacing w:line="240" w:lineRule="auto"/>
        <w:contextualSpacing w:val="0"/>
        <w:jc w:val="both"/>
      </w:pPr>
      <w:bookmarkStart w:id="6" w:name="h.wzp2le5fmq0r" w:colFirst="0" w:colLast="0"/>
      <w:bookmarkEnd w:id="6"/>
    </w:p>
    <w:p w:rsidR="005D5AD7" w:rsidRPr="00324EB3" w:rsidRDefault="00324EB3">
      <w:pPr>
        <w:spacing w:line="240" w:lineRule="auto"/>
        <w:jc w:val="both"/>
        <w:rPr>
          <w:sz w:val="32"/>
          <w:szCs w:val="32"/>
        </w:rPr>
      </w:pPr>
      <w:bookmarkStart w:id="7" w:name="h.3hpsyfhs1t6b" w:colFirst="0" w:colLast="0"/>
      <w:bookmarkEnd w:id="7"/>
      <w:r w:rsidRPr="00324EB3">
        <w:rPr>
          <w:sz w:val="32"/>
          <w:szCs w:val="32"/>
        </w:rPr>
        <w:t>¿Que es un Diseño curricular?</w:t>
      </w:r>
    </w:p>
    <w:p w:rsidR="00324EB3" w:rsidRDefault="00324EB3">
      <w:pPr>
        <w:spacing w:line="240" w:lineRule="auto"/>
        <w:jc w:val="both"/>
      </w:pP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color w:val="222222"/>
          <w:shd w:val="clear" w:color="auto" w:fill="FFFFFF"/>
        </w:rPr>
      </w:pPr>
      <w:r>
        <w:rPr>
          <w:rFonts w:ascii="RotisSansSerif-Light" w:hAnsi="RotisSansSerif-Light" w:cs="RotisSansSerif-Light"/>
        </w:rPr>
        <w:t>El diseño curricular es la p</w:t>
      </w:r>
      <w:r>
        <w:rPr>
          <w:color w:val="222222"/>
          <w:shd w:val="clear" w:color="auto" w:fill="FFFFFF"/>
        </w:rPr>
        <w:t>laneación de la estructura que tendrá el plan de estudios atendiendo a las necesidades del estudiante para una formación integral y al desarrollo del campo disciplinar.</w:t>
      </w: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color w:val="222222"/>
          <w:shd w:val="clear" w:color="auto" w:fill="FFFFFF"/>
        </w:rPr>
      </w:pP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</w:rPr>
      </w:pPr>
      <w:r>
        <w:rPr>
          <w:color w:val="222222"/>
          <w:shd w:val="clear" w:color="auto" w:fill="FFFFFF"/>
        </w:rPr>
        <w:t xml:space="preserve">El diseño curricular </w:t>
      </w:r>
      <w:r>
        <w:rPr>
          <w:rFonts w:ascii="RotisSansSerif-Light" w:hAnsi="RotisSansSerif-Light" w:cs="RotisSansSerif-Light"/>
        </w:rPr>
        <w:t>establece una herramienta para lograr las metas comunes de contenido para estudiante adaptado para la pluralidad del sistema educativo. Al mismo acompaña a los equipos docentes a seguir en línea con la concepción político-educativa que sostiene el Gobierno del Sistema.</w:t>
      </w: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</w:rPr>
      </w:pPr>
    </w:p>
    <w:p w:rsidR="00324EB3" w:rsidRDefault="00324EB3">
      <w:pPr>
        <w:rPr>
          <w:rFonts w:ascii="RotisSansSerif-Light" w:hAnsi="RotisSansSerif-Light" w:cs="RotisSansSerif-Light"/>
        </w:rPr>
      </w:pPr>
      <w:r>
        <w:rPr>
          <w:rFonts w:ascii="RotisSansSerif-Light" w:hAnsi="RotisSansSerif-Light" w:cs="RotisSansSerif-Light"/>
        </w:rPr>
        <w:br w:type="page"/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  <w:sz w:val="32"/>
          <w:szCs w:val="32"/>
        </w:rPr>
      </w:pPr>
      <w:r w:rsidRPr="00324EB3">
        <w:rPr>
          <w:sz w:val="32"/>
          <w:szCs w:val="32"/>
        </w:rPr>
        <w:lastRenderedPageBreak/>
        <w:t xml:space="preserve">Diseño curricular para </w:t>
      </w:r>
      <w:r w:rsidRPr="00324EB3">
        <w:rPr>
          <w:bCs/>
          <w:sz w:val="32"/>
          <w:szCs w:val="32"/>
        </w:rPr>
        <w:t>INFORMÁTICA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  <w:r w:rsidRPr="00324EB3">
        <w:rPr>
          <w:bCs/>
        </w:rPr>
        <w:t>Informática como instrumento para el tratamiento de los problemas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  <w:r w:rsidRPr="00324EB3">
        <w:rPr>
          <w:bCs/>
        </w:rPr>
        <w:t>Informática como conocimiento compartido con otras áreas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Relación entre Informática como recurso didáctico y como instrumento para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el tratamiento de los problemas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  <w:r w:rsidRPr="00324EB3">
        <w:rPr>
          <w:bCs/>
        </w:rPr>
        <w:t>La dinámica escolar en torno a la Informática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Algunas consideraciones sobre la organización escolar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El lugar de los docentes de grado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Los espacios y tiempos destinados a la planificación de las actividades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Horarios y formas de acceso de los alumnos a las computadoras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Las computadoras, su ubicación en la escuela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Algunas consideraciones sobre las condiciones didácticas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 contextualización del trabajo escolar en Informática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El lugar de las producciones de los alumnos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Las computadoras y las formas de acceso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de los alumnos a sus programas y archivos de trabajo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El docente con grupos heterogéneos de alumnos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 autonomía de los alumnos frente a las computadoras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Organización del trabajo en las computadoras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 selección de los recursos informáticos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  <w:r w:rsidRPr="00324EB3">
        <w:rPr>
          <w:bCs/>
        </w:rPr>
        <w:t>PROPÓSITOS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  <w:r w:rsidRPr="00324EB3">
        <w:rPr>
          <w:bCs/>
        </w:rPr>
        <w:t>CONTENIDOS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Las técnicas informáticas en el tratamiento de los problemas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Representación de la información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Organización de la información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Modelización de problemas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Cuadros de contenidos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Las herramientas informáticas y su manejo operativo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Cuadros de contenidos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 computadora y su manejo operativo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Cuadros de contenidos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  <w:r w:rsidRPr="00324EB3">
        <w:rPr>
          <w:bCs/>
        </w:rPr>
        <w:t>EVALUACIÓN</w:t>
      </w: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  <w:r w:rsidRPr="00324EB3">
        <w:rPr>
          <w:bCs/>
        </w:rPr>
        <w:t>Objetivos de aprendizaje</w:t>
      </w:r>
    </w:p>
    <w:p w:rsidR="006A6BB6" w:rsidRDefault="006A6BB6" w:rsidP="00324EB3">
      <w:pPr>
        <w:autoSpaceDE w:val="0"/>
        <w:autoSpaceDN w:val="0"/>
        <w:adjustRightInd w:val="0"/>
        <w:spacing w:line="240" w:lineRule="auto"/>
        <w:rPr>
          <w:bCs/>
        </w:rPr>
      </w:pP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Bold" w:hAnsi="RotisSansSerif-Bold" w:cs="RotisSansSerif-Bold"/>
          <w:b/>
          <w:bCs/>
          <w:sz w:val="32"/>
          <w:szCs w:val="32"/>
        </w:rPr>
      </w:pPr>
      <w:r>
        <w:rPr>
          <w:rFonts w:ascii="RotisSansSerif-Bold" w:hAnsi="RotisSansSerif-Bold" w:cs="RotisSansSerif-Bold"/>
          <w:b/>
          <w:bCs/>
          <w:sz w:val="32"/>
          <w:szCs w:val="32"/>
        </w:rPr>
        <w:t>Cuarto y quinto grado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2"/>
          <w:szCs w:val="12"/>
        </w:rPr>
        <w:t>􀁘</w:t>
      </w:r>
      <w:r>
        <w:rPr>
          <w:rFonts w:ascii="MonotypeSorts" w:hAnsi="MonotypeSorts" w:cs="MonotypeSorts"/>
          <w:sz w:val="12"/>
          <w:szCs w:val="12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Representación de la información.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2"/>
          <w:szCs w:val="12"/>
        </w:rPr>
        <w:t>􀁘</w:t>
      </w:r>
      <w:r>
        <w:rPr>
          <w:rFonts w:ascii="MonotypeSorts" w:hAnsi="MonotypeSorts" w:cs="MonotypeSorts"/>
          <w:sz w:val="12"/>
          <w:szCs w:val="12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Organización de la información.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Representación de datos y/o resultados de un proceso empleando sistemas de codificación: numéricos,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lingüísticos o icónicos.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Ejemplo: uso de viñetas para indicar partes de un discurso o secuencia de conceptos o temas dentro del texto.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Pasaje del registro manual al registro informático identificando el sistema de codificación de datos que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mejor se adecua al tratamiento del problema y la herramienta informática empleada.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lastRenderedPageBreak/>
        <w:t>Ejemplo: necesidad de explicitar el nombre de las variables y sus unidades de medida en los cabezales del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cuadro y no en los datos recogidos.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Reconocimiento, en problemas sencillos, de los sistemas de representación más adecuados al tipo de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resultado a comunicar.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Ejemplo: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- Explicitar los datos numéricamente o emplear gráficos cartesianos.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- Interpretar los atributos de un texto como forma de jerarquizar la información.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- Reconocer el empleo de viñetas como una forma de representar jerarquías en la información.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- Comparar los valores de una tabla con su representación gráfica.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Reconocimiento de las listas de palabras o números, tablas de doble entrada, esquemas jerárquicos como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diferentes formas de organizar la información según el tipo de problema por resolver.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Empleo de tablas de doble entrada prearmadas o sugeridas por el docente para organizar y sistematizar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la información.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Ejemplo: tratamiento de datos experimentales en tablas de doble entrada sencillas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Diferentes sistemas de codificación de los programas de uso habitual para indicar los comandos o acciones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por realizar sobre los objetos que manipulan (textos, gráficos, imágenes, etcétera).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- Sistemas de íconos (indican una acción puntual sobre un objeto determinado –impresora o disquetera–).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- Menú desplegable (despliega jerárquicamente las acciones por realizar según criterios clasificatorios propios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de cada programa o grupos de programas; por ejemplo: “Guardar como” está dentro del menú “Archivo”).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- Combinación de teclas (permite obviar el empleo del mouse).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- Pantalla de diálogo (solicita datos o parámetros mediante los cuales se ejecuta el comando solicitado;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por ejemplo: cantidad de copias en la impresión o páginas por imprimir del total).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- Sonidos identificadores de errores en las acciones.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- Opciones del menú en gris claro para indicar acción imposible de realizar en ese momento (acción de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copiar parte del texto cuando éste no ha sido seleccionado).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- Secuencia de presiones sobre los botones del mouse (seleccionar objetos, arrastrar objetos por el monitor,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ejecutar programas, ejecutar las opciones del menú contextual ).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- Simple y doble clic sobre el botón del mouse para indicar diferentes acciones sobre el objeto (seleccionar,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ejecutar, arrastrar).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Procesador de textos.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2"/>
          <w:szCs w:val="12"/>
        </w:rPr>
        <w:t>􀁘</w:t>
      </w:r>
      <w:r>
        <w:rPr>
          <w:rFonts w:ascii="MonotypeSorts" w:hAnsi="MonotypeSorts" w:cs="MonotypeSorts"/>
          <w:sz w:val="12"/>
          <w:szCs w:val="12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Editores de imágenes.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Italic" w:hAnsi="RotisSansSerif-Italic" w:cs="RotisSansSerif-Italic"/>
          <w:i/>
          <w:iCs/>
          <w:sz w:val="14"/>
          <w:szCs w:val="14"/>
        </w:rPr>
      </w:pPr>
      <w:r>
        <w:rPr>
          <w:rFonts w:ascii="RotisSansSerif" w:hAnsi="RotisSansSerif" w:cs="RotisSansSerif"/>
        </w:rPr>
        <w:t>C</w:t>
      </w:r>
      <w:r>
        <w:rPr>
          <w:rFonts w:ascii="RotisSansSerif" w:hAnsi="RotisSansSerif" w:cs="RotisSansSerif"/>
          <w:sz w:val="17"/>
          <w:szCs w:val="17"/>
        </w:rPr>
        <w:t xml:space="preserve">UARTO Y QUINTO GRADO </w:t>
      </w:r>
      <w:r>
        <w:rPr>
          <w:rFonts w:ascii="RotisSansSerif" w:hAnsi="RotisSansSerif" w:cs="RotisSansSerif"/>
        </w:rPr>
        <w:t xml:space="preserve">| </w:t>
      </w:r>
      <w:r>
        <w:rPr>
          <w:rFonts w:ascii="RotisSansSerif-Italic" w:hAnsi="RotisSansSerif-Italic" w:cs="RotisSansSerif-Italic"/>
          <w:i/>
          <w:iCs/>
          <w:sz w:val="18"/>
          <w:szCs w:val="18"/>
        </w:rPr>
        <w:t>L</w:t>
      </w:r>
      <w:r>
        <w:rPr>
          <w:rFonts w:ascii="RotisSansSerif-Italic" w:hAnsi="RotisSansSerif-Italic" w:cs="RotisSansSerif-Italic"/>
          <w:i/>
          <w:iCs/>
          <w:sz w:val="14"/>
          <w:szCs w:val="14"/>
        </w:rPr>
        <w:t>AS HERRAMIENTAS INFORMÁTICAS Y SU MANEJO OPERATIVO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Comandos de edición de textos: ingreso y supresión de caracteres, recuperación de textos suprimidos.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Movimiento del cursor dentro del texto y del texto en la pantalla.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Elementos paratextuales empleados en la representación y la organización de la información.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- Tipos de letras y atributos (color, subrayado, negritas, etcétera).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- Definición de párrafos: alineación, interlineado, espaciado, sangrías y viñetas en los párrafos.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lastRenderedPageBreak/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Selección de texto: bloques. Operaciones sobre los bloques: cambio de tipos y aspectos de las letras, búsqueda,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búsqueda y reemplazo, correctores ortográficos y sinónimos, copiar, mover y borrar bloques dentro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de un documento.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Definición de tablas de doble entrada simple.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Herramientas de dibujo: figuras básicas y autoformas. Composición de figuras empleando diferentes formas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básicas. Color de líneas y relleno de las figuras.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Copia de imágenes elaboradas en un editor de imágenes.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Impresión de archivos en condiciones preestablecidas de antemano por los docentes.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Edición de imágenes modificando el bitmap. Herramientas de dibujo básicas: línea, rectángulo, cuadrado,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círculo, elipse.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Color de fondo y frente.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Composición de imágenes por superposición de figuras, por simetría o rotación de figuras básicas.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Inserción de imágenes en el procesador de textos por copiado.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16"/>
          <w:szCs w:val="16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Comando de preservación, recuperación de archivos de imágenes.</w:t>
      </w:r>
      <w:r>
        <w:rPr>
          <w:rFonts w:ascii="RotisSansSerif-Light" w:hAnsi="RotisSansSerif-Light" w:cs="RotisSansSerif-Light"/>
          <w:sz w:val="16"/>
          <w:szCs w:val="16"/>
        </w:rPr>
        <w:t>31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sz w:val="12"/>
          <w:szCs w:val="12"/>
        </w:rPr>
      </w:pPr>
      <w:r>
        <w:rPr>
          <w:rFonts w:ascii="RotisSansSerif-Light" w:hAnsi="RotisSansSerif-Light" w:cs="RotisSansSerif-Light"/>
          <w:sz w:val="16"/>
          <w:szCs w:val="16"/>
        </w:rPr>
        <w:t xml:space="preserve">31 </w:t>
      </w:r>
      <w:r>
        <w:rPr>
          <w:rFonts w:ascii="RotisSansSerif-Light" w:hAnsi="RotisSansSerif-Light" w:cs="RotisSansSerif-Light"/>
          <w:sz w:val="18"/>
          <w:szCs w:val="18"/>
        </w:rPr>
        <w:t>Se transfieren los conocimientos respecto de la preservación de archivos trabajados desde el procesador de textos</w:t>
      </w:r>
      <w:r>
        <w:rPr>
          <w:rFonts w:hint="eastAsia"/>
          <w:sz w:val="12"/>
          <w:szCs w:val="12"/>
        </w:rPr>
        <w:t xml:space="preserve"> 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sz w:val="12"/>
          <w:szCs w:val="12"/>
        </w:rPr>
      </w:pP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" w:hAnsi="RotisSansSerif" w:cs="RotisSansSerif"/>
          <w:sz w:val="32"/>
          <w:szCs w:val="32"/>
        </w:rPr>
      </w:pPr>
      <w:r>
        <w:rPr>
          <w:rFonts w:ascii="RotisSansSerif" w:hAnsi="RotisSansSerif" w:cs="RotisSansSerif"/>
          <w:sz w:val="42"/>
          <w:szCs w:val="42"/>
        </w:rPr>
        <w:t>L</w:t>
      </w:r>
      <w:r>
        <w:rPr>
          <w:rFonts w:ascii="RotisSansSerif" w:hAnsi="RotisSansSerif" w:cs="RotisSansSerif"/>
          <w:sz w:val="32"/>
          <w:szCs w:val="32"/>
        </w:rPr>
        <w:t>A COMPUTADORA Y SU MANEJO OPERATIVO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Bold" w:hAnsi="RotisSansSerif-Bold" w:cs="RotisSansSerif-Bold"/>
          <w:b/>
          <w:bCs/>
          <w:sz w:val="32"/>
          <w:szCs w:val="32"/>
        </w:rPr>
      </w:pPr>
      <w:r>
        <w:rPr>
          <w:rFonts w:ascii="RotisSansSerif-Bold" w:hAnsi="RotisSansSerif-Bold" w:cs="RotisSansSerif-Bold"/>
          <w:b/>
          <w:bCs/>
          <w:sz w:val="32"/>
          <w:szCs w:val="32"/>
        </w:rPr>
        <w:t>Cuarto y quinto grado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2"/>
          <w:szCs w:val="12"/>
        </w:rPr>
        <w:t>􀁘</w:t>
      </w:r>
      <w:r>
        <w:rPr>
          <w:rFonts w:ascii="MonotypeSorts" w:hAnsi="MonotypeSorts" w:cs="MonotypeSorts"/>
          <w:sz w:val="12"/>
          <w:szCs w:val="12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 xml:space="preserve">Estructura básica de la computadora monousuaria. </w:t>
      </w: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Las partes constitutivas de la computadora. Funciones de las diferentes unidades de entrada, salida y de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la Unidad Central de Proceso (CPU) sólo para las partes observables en las acciones que se realizan sobre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ella.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Ejemplo: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- Las diferentes unidades de entrada como dispositivos que permiten el ingreso de los datos y/o programas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 xml:space="preserve">(disquetera, teclado, </w:t>
      </w:r>
      <w:r>
        <w:rPr>
          <w:rFonts w:ascii="RotisSanSerLigIta" w:hAnsi="RotisSanSerLigIta" w:cs="RotisSanSerLigIta"/>
          <w:sz w:val="20"/>
          <w:szCs w:val="20"/>
        </w:rPr>
        <w:t>mouse</w:t>
      </w:r>
      <w:r>
        <w:rPr>
          <w:rFonts w:ascii="RotisSansSerif-Light" w:hAnsi="RotisSansSerif-Light" w:cs="RotisSansSerif-Light"/>
          <w:sz w:val="20"/>
          <w:szCs w:val="20"/>
        </w:rPr>
        <w:t>).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- La Unidad Central de Proceso (CPU) como dispositivo que permite almacenar y ejecutar los datos a partir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de determinados programas.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- La memoria principal o de procesamiento (RAM) como depósito en la cual se almacena el programa y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los datos para su procesamiento.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Memoria principal o de procesamiento (RAM) de la Unidad Central de Proceso como dispositivo que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almacena programas, datos y resultados de los procesos. Diferencia entre almacenar un programa y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ejecutarlo.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Memoria principal o de procesamiento y memorias permanentes o de almacenamiento (discos rígidos,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disquetes, discos compactos). Identificación de las funciones de los discos rígidos y disquetes como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memorias de almacenamiento de programas y datos, otorgando el sentido de lugar donde se preservan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las producciones que se realizan con los diferentes programas que se emplean.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lastRenderedPageBreak/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Diferentes tipo de memorias de almacenamientos permanentes: disco rígido, disquetes, discos compactos.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Funciones y formas de acceso a la información de cada una de ellas.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Ejemplo: el disco rígido como memoria de almacenamiento y conservación de los archivos.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18"/>
          <w:szCs w:val="18"/>
        </w:rPr>
      </w:pPr>
      <w:r>
        <w:rPr>
          <w:rFonts w:ascii="RotisSansSerif-Light" w:hAnsi="RotisSansSerif-Light" w:cs="RotisSansSerif-Light"/>
          <w:sz w:val="18"/>
          <w:szCs w:val="18"/>
        </w:rPr>
        <w:t>532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Italic" w:hAnsi="RotisSansSerif-Italic" w:cs="RotisSansSerif-Italic"/>
          <w:i/>
          <w:iCs/>
          <w:sz w:val="14"/>
          <w:szCs w:val="14"/>
        </w:rPr>
      </w:pPr>
      <w:r>
        <w:rPr>
          <w:rFonts w:ascii="RotisSansSerif" w:hAnsi="RotisSansSerif" w:cs="RotisSansSerif"/>
        </w:rPr>
        <w:t>C</w:t>
      </w:r>
      <w:r>
        <w:rPr>
          <w:rFonts w:ascii="RotisSansSerif" w:hAnsi="RotisSansSerif" w:cs="RotisSansSerif"/>
          <w:sz w:val="17"/>
          <w:szCs w:val="17"/>
        </w:rPr>
        <w:t xml:space="preserve">UARTO Y QUINTO GRADO </w:t>
      </w:r>
      <w:r>
        <w:rPr>
          <w:rFonts w:ascii="RotisSansSerif" w:hAnsi="RotisSansSerif" w:cs="RotisSansSerif"/>
        </w:rPr>
        <w:t xml:space="preserve">| </w:t>
      </w:r>
      <w:r>
        <w:rPr>
          <w:rFonts w:ascii="RotisSansSerif-Italic" w:hAnsi="RotisSansSerif-Italic" w:cs="RotisSansSerif-Italic"/>
          <w:i/>
          <w:iCs/>
          <w:sz w:val="18"/>
          <w:szCs w:val="18"/>
        </w:rPr>
        <w:t>L</w:t>
      </w:r>
      <w:r>
        <w:rPr>
          <w:rFonts w:ascii="RotisSansSerif-Italic" w:hAnsi="RotisSansSerif-Italic" w:cs="RotisSansSerif-Italic"/>
          <w:i/>
          <w:iCs/>
          <w:sz w:val="14"/>
          <w:szCs w:val="14"/>
        </w:rPr>
        <w:t>A COMPUTADORA Y SU MANEJO OPERATIVO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Sistemas de comunicación utilizados en las computadoras para indicar las acciones que realiza el dispositivo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físico (</w:t>
      </w:r>
      <w:r>
        <w:rPr>
          <w:rFonts w:ascii="RotisSanSerLigIta" w:hAnsi="RotisSanSerLigIta" w:cs="RotisSanSerLigIta"/>
          <w:sz w:val="20"/>
          <w:szCs w:val="20"/>
        </w:rPr>
        <w:t>hardware</w:t>
      </w:r>
      <w:r>
        <w:rPr>
          <w:rFonts w:ascii="RotisSansSerif-Light" w:hAnsi="RotisSansSerif-Light" w:cs="RotisSansSerif-Light"/>
          <w:sz w:val="20"/>
          <w:szCs w:val="20"/>
        </w:rPr>
        <w:t>).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Ejemplo: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- Luz indicadora de que está encendida la computadora.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- Luz de testeo de las componentes (teclado, lectora de disco compacto, disquetera) en el momento de iniciar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la rutina de encendido.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- Luz indicadora de que se está accediendo a las memorias permanentes o de almacenamiento para grabar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o leer archivos.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Interfaces de comunicación "usuario-computadora".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- Acceso a programas de uso habitual a través de la manipulación de las ventanas que despliega el sistema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operativo para abrirlas, cerrarlas, activar o desactivarlas, maximizar o minimizarlas.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 xml:space="preserve">- Carga y ejecución de los programas o </w:t>
      </w:r>
      <w:r>
        <w:rPr>
          <w:rFonts w:ascii="RotisSanSerLigIta" w:hAnsi="RotisSanSerLigIta" w:cs="RotisSanSerLigIta"/>
          <w:sz w:val="20"/>
          <w:szCs w:val="20"/>
        </w:rPr>
        <w:t xml:space="preserve">software </w:t>
      </w:r>
      <w:r>
        <w:rPr>
          <w:rFonts w:ascii="RotisSansSerif-Light" w:hAnsi="RotisSansSerif-Light" w:cs="RotisSansSerif-Light"/>
          <w:sz w:val="20"/>
          <w:szCs w:val="20"/>
        </w:rPr>
        <w:t>a partir de su representación icónica en pantalla y a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través de las opciones de acceso al programa que brinda el sistema operativo (acceso a los directorios o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carpetas que los contienen y apertura del programa correspondiente).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- Estructura jerárquica en árbol de los sistemas de almacenamiento: directorio y subdirectorio para acceder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a archivos de datos y programas.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Control de la impresión de archivos en condiciones establecidas (configuradas) por los programas.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Control de la presencia de virus en los archivos de datos o programas almacenados en los diferentes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directorios o carpetas.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- Controles antes de acceder a abrirlos.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Cuidado de los disquetes de diferentes elementos, como: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- Fuentes de calor artificiales o naturales.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- Campos magnéticos (imanes, televisores o monitores).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- Preservarlos del polvo, migas u otros elementos que pueden rayarlos, reflexión sobre los motivos tecnológicos</w:t>
      </w:r>
    </w:p>
    <w:p w:rsidR="006A6BB6" w:rsidRPr="00324EB3" w:rsidRDefault="006A6BB6" w:rsidP="006A6BB6">
      <w:pPr>
        <w:autoSpaceDE w:val="0"/>
        <w:autoSpaceDN w:val="0"/>
        <w:adjustRightInd w:val="0"/>
        <w:spacing w:line="240" w:lineRule="auto"/>
        <w:rPr>
          <w:bCs/>
        </w:rPr>
      </w:pPr>
      <w:r>
        <w:rPr>
          <w:rFonts w:ascii="RotisSansSerif-Light" w:hAnsi="RotisSansSerif-Light" w:cs="RotisSansSerif-Light"/>
          <w:sz w:val="20"/>
          <w:szCs w:val="20"/>
        </w:rPr>
        <w:t>que promueven su mantenimiento y cuidado.</w:t>
      </w:r>
      <w:r>
        <w:rPr>
          <w:rFonts w:hint="eastAsia"/>
          <w:sz w:val="12"/>
          <w:szCs w:val="12"/>
        </w:rPr>
        <w:t xml:space="preserve"> </w:t>
      </w:r>
      <w:r>
        <w:rPr>
          <w:rFonts w:hint="eastAsia"/>
          <w:sz w:val="12"/>
          <w:szCs w:val="12"/>
        </w:rPr>
        <w:t>􀁘</w:t>
      </w: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rFonts w:ascii="RotisSansSerif-Bold" w:hAnsi="RotisSansSerif-Bold" w:cs="RotisSansSerif-Bold"/>
          <w:b/>
          <w:bCs/>
          <w:sz w:val="27"/>
          <w:szCs w:val="27"/>
        </w:rPr>
      </w:pPr>
    </w:p>
    <w:p w:rsidR="006A6BB6" w:rsidRDefault="00324EB3" w:rsidP="006A6BB6">
      <w:pPr>
        <w:autoSpaceDE w:val="0"/>
        <w:autoSpaceDN w:val="0"/>
        <w:adjustRightInd w:val="0"/>
        <w:spacing w:line="240" w:lineRule="auto"/>
        <w:rPr>
          <w:rFonts w:ascii="RotisSansSerif-Bold" w:hAnsi="RotisSansSerif-Bold" w:cs="RotisSansSerif-Bold"/>
          <w:b/>
          <w:bCs/>
        </w:rPr>
      </w:pPr>
      <w:r>
        <w:rPr>
          <w:rFonts w:ascii="RotisSansSerif-Light" w:hAnsi="RotisSansSerif-Light" w:cs="RotisSansSerif-Light"/>
        </w:rPr>
        <w:br w:type="page"/>
      </w:r>
      <w:r w:rsidR="006A6BB6">
        <w:rPr>
          <w:rFonts w:ascii="RotisSansSerif-Bold" w:hAnsi="RotisSansSerif-Bold" w:cs="RotisSansSerif-Bold"/>
          <w:b/>
          <w:bCs/>
        </w:rPr>
        <w:lastRenderedPageBreak/>
        <w:t>Cuarto y quinto grado Sexto y séptimo grado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2"/>
          <w:szCs w:val="12"/>
        </w:rPr>
        <w:t>􀁑</w:t>
      </w:r>
      <w:r>
        <w:rPr>
          <w:rFonts w:ascii="MonotypeSorts" w:hAnsi="MonotypeSorts" w:cs="MonotypeSorts"/>
          <w:sz w:val="12"/>
          <w:szCs w:val="12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Acceder a las computadoras de forma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autónoma, operando adecuadamente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las rutinas de encendido y apagado de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los equipos, seleccionando y ejecutando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por sí mismos los programas de simple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acceso a través de sus interfaces gráficas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(íconos, menúes desplegables, etcétera).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2"/>
          <w:szCs w:val="12"/>
        </w:rPr>
        <w:t>􀁑</w:t>
      </w:r>
      <w:r>
        <w:rPr>
          <w:rFonts w:ascii="MonotypeSorts" w:hAnsi="MonotypeSorts" w:cs="MonotypeSorts"/>
          <w:sz w:val="12"/>
          <w:szCs w:val="12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En los programas de uso habitual,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acceder con autonomía a sus propias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producciones utilizando correctamente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los comandos básicos de preservación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(grabado) y recuperación de archivos</w:t>
      </w:r>
    </w:p>
    <w:p w:rsidR="00324EB3" w:rsidRDefault="006A6BB6" w:rsidP="006A6BB6">
      <w:pPr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propios.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Lograr comunicarse adecuadamente con los programas de uso habitual, leyendo e</w:t>
      </w:r>
    </w:p>
    <w:p w:rsidR="006A6BB6" w:rsidRDefault="006A6BB6" w:rsidP="006A6BB6">
      <w:pPr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interpretando la información sobre su manejo operativo desplegada en la pantalla.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Interpretar, en problemas sencillos, el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tipo de representación y organización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de los datos según los criterios con que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fueron elaborados grupalmente.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2"/>
          <w:szCs w:val="12"/>
        </w:rPr>
        <w:t>􀁑</w:t>
      </w:r>
      <w:r>
        <w:rPr>
          <w:rFonts w:ascii="MonotypeSorts" w:hAnsi="MonotypeSorts" w:cs="MonotypeSorts"/>
          <w:sz w:val="12"/>
          <w:szCs w:val="12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Proponer, en problemas sencillos,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expresiones lógicas y matemáticas de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transformación de los datos para ser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procesadas en las herramientas informáticas</w:t>
      </w:r>
    </w:p>
    <w:p w:rsidR="006A6BB6" w:rsidRDefault="006A6BB6" w:rsidP="006A6BB6">
      <w:pPr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seleccionadas por el docente.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Interpretar los diferentes tipos de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representación de la información según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el tipo de problema y la herramienta</w:t>
      </w:r>
    </w:p>
    <w:p w:rsidR="006A6BB6" w:rsidRDefault="006A6BB6" w:rsidP="006A6BB6">
      <w:pPr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utilizada para su tratamiento.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}</w:t>
      </w:r>
      <w:r w:rsidRPr="006A6BB6">
        <w:rPr>
          <w:rFonts w:ascii="RotisSansSerif-Light" w:hAnsi="RotisSansSerif-Light" w:cs="RotisSansSerif-Light"/>
          <w:sz w:val="20"/>
          <w:szCs w:val="20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Usar con autonomía los comandos de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edición de los datos de las herramientas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seleccionadas para trabajar en el ciclo.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2"/>
          <w:szCs w:val="12"/>
        </w:rPr>
        <w:t>􀁑</w:t>
      </w:r>
      <w:r>
        <w:rPr>
          <w:rFonts w:ascii="MonotypeSorts" w:hAnsi="MonotypeSorts" w:cs="MonotypeSorts"/>
          <w:sz w:val="12"/>
          <w:szCs w:val="12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Transferir los conocimientos de los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comandos de preservación y recuperación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de archivos de unas herramientas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informáticas a otras, con interfaces de</w:t>
      </w:r>
    </w:p>
    <w:p w:rsidR="006A6BB6" w:rsidRDefault="006A6BB6" w:rsidP="006A6BB6">
      <w:pPr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comunicación parecidas.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Comunicar sus ideas entre pares y a los docentes utilizando un lenguaje técnico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informático mínimo referido a las partes observables de la computadora y a las</w:t>
      </w:r>
    </w:p>
    <w:p w:rsidR="006A6BB6" w:rsidRDefault="006A6BB6" w:rsidP="006A6BB6">
      <w:pPr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acciones simples que se realizan sobre los programas de uso habitual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Comprender globalmente la incidencia de la tecnología informática en los dispositivos</w:t>
      </w:r>
    </w:p>
    <w:p w:rsidR="006A6BB6" w:rsidRDefault="006A6BB6" w:rsidP="006A6BB6">
      <w:pPr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de uso habitual en la sociedad.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Valorar la información por lo que dice y no por el soporte tecnológico con la cual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se comunica.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2"/>
          <w:szCs w:val="12"/>
        </w:rPr>
        <w:t>􀁑</w:t>
      </w:r>
      <w:r>
        <w:rPr>
          <w:rFonts w:ascii="MonotypeSorts" w:hAnsi="MonotypeSorts" w:cs="MonotypeSorts"/>
          <w:sz w:val="12"/>
          <w:szCs w:val="12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Lograr conductas de responsabilidad social en el uso de los equipos, compartiendo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recursos, cuidándolos y atendiendo las propias necesidades en equilibrio con las</w:t>
      </w:r>
    </w:p>
    <w:p w:rsidR="006A6BB6" w:rsidRDefault="006A6BB6" w:rsidP="006A6BB6">
      <w:pPr>
        <w:rPr>
          <w:rFonts w:ascii="RotisSansSerif-Light" w:hAnsi="RotisSansSerif-Light" w:cs="RotisSansSerif-Light"/>
        </w:rPr>
      </w:pPr>
      <w:r>
        <w:rPr>
          <w:rFonts w:ascii="RotisSansSerif-Light" w:hAnsi="RotisSansSerif-Light" w:cs="RotisSansSerif-Light"/>
          <w:sz w:val="20"/>
          <w:szCs w:val="20"/>
        </w:rPr>
        <w:t>necesidades de sus pares.</w:t>
      </w:r>
    </w:p>
    <w:p w:rsidR="006A6BB6" w:rsidRDefault="006A6BB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  <w:sz w:val="32"/>
          <w:szCs w:val="32"/>
        </w:rPr>
      </w:pPr>
      <w:r w:rsidRPr="00324EB3">
        <w:rPr>
          <w:sz w:val="32"/>
          <w:szCs w:val="32"/>
        </w:rPr>
        <w:lastRenderedPageBreak/>
        <w:t>Diseño curricular para MATEMÁTICA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Números y operaciones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Sistema de numeración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Operaciones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Suma y resta de números naturales en segundo ciclo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Problemas diversos de multiplicación y división con números naturales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Uso y explicitación de las propiedades de las operaciones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Los algoritmos de las operaciones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Divisibilidad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Cálculo exacto y aproximado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Los números racionales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Los problemas de medidas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Multiplicación de fracciones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Expresiones decimales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Relaciones entre variables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Las relaciones de proporcionalidad directa e inversa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Estadística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El uso de la calculadora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Geometría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Construcciones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El uso de los instrumentos de geometría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Los ángulos y el cubrimiento del plano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Medida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Problemas de medición</w:t>
      </w:r>
    </w:p>
    <w:p w:rsid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Perímetro, área y volumen</w:t>
      </w:r>
    </w:p>
    <w:p w:rsidR="00C916C6" w:rsidRDefault="00C916C6" w:rsidP="00324EB3">
      <w:pPr>
        <w:autoSpaceDE w:val="0"/>
        <w:autoSpaceDN w:val="0"/>
        <w:adjustRightInd w:val="0"/>
        <w:spacing w:line="240" w:lineRule="auto"/>
      </w:pPr>
    </w:p>
    <w:p w:rsidR="00C916C6" w:rsidRPr="00C916C6" w:rsidRDefault="00C916C6" w:rsidP="00C916C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284" w:hanging="284"/>
      </w:pPr>
      <w:r w:rsidRPr="00C916C6">
        <w:rPr>
          <w:rFonts w:ascii="RotisSansSerif-Light" w:hAnsi="RotisSansSerif-Light" w:cs="RotisSansSerif-Light"/>
          <w:sz w:val="20"/>
          <w:szCs w:val="20"/>
        </w:rPr>
        <w:t>Lectura y escritura de números utilizando como referente unitario los miles, los millones o los miles de millones</w:t>
      </w:r>
    </w:p>
    <w:p w:rsidR="00C916C6" w:rsidRPr="00C916C6" w:rsidRDefault="00C916C6" w:rsidP="00C916C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284" w:hanging="284"/>
      </w:pPr>
      <w:r>
        <w:rPr>
          <w:rFonts w:ascii="RotisSansSerif-Light" w:hAnsi="RotisSansSerif-Light" w:cs="RotisSansSerif-Light"/>
          <w:sz w:val="20"/>
          <w:szCs w:val="20"/>
        </w:rPr>
        <w:t>Resolución de problemas que exijan una profundización en el análisis del valor posicional a partir de:</w:t>
      </w:r>
    </w:p>
    <w:p w:rsidR="00C916C6" w:rsidRPr="00C916C6" w:rsidRDefault="00C916C6" w:rsidP="00C916C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>
        <w:rPr>
          <w:rFonts w:ascii="RotisSansSerif-Light" w:hAnsi="RotisSansSerif-Light" w:cs="RotisSansSerif-Light"/>
          <w:sz w:val="20"/>
          <w:szCs w:val="20"/>
        </w:rPr>
        <w:t>La descomposición de números basada en la organización decimal del sistema</w:t>
      </w:r>
    </w:p>
    <w:p w:rsidR="00C916C6" w:rsidRPr="00C916C6" w:rsidRDefault="00C916C6" w:rsidP="00C916C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>
        <w:rPr>
          <w:rFonts w:ascii="RotisSansSerif-Light" w:hAnsi="RotisSansSerif-Light" w:cs="RotisSansSerif-Light"/>
          <w:sz w:val="20"/>
          <w:szCs w:val="20"/>
        </w:rPr>
        <w:t>El explicitación de las relaciones aditivas y multiplicativas que subyacen a un número.</w:t>
      </w:r>
    </w:p>
    <w:p w:rsidR="00C916C6" w:rsidRPr="00C916C6" w:rsidRDefault="00C916C6" w:rsidP="00C916C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>
        <w:rPr>
          <w:rFonts w:ascii="RotisSansSerif-Light" w:hAnsi="RotisSansSerif-Light" w:cs="RotisSansSerif-Light"/>
          <w:sz w:val="20"/>
          <w:szCs w:val="20"/>
        </w:rPr>
        <w:t>La expresión de un número en términos de unidades, decenas, centenas, unidades de mil, etcétera</w:t>
      </w:r>
    </w:p>
    <w:p w:rsidR="00C916C6" w:rsidRPr="00C916C6" w:rsidRDefault="00C916C6" w:rsidP="00C916C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>
        <w:rPr>
          <w:rFonts w:ascii="RotisSansSerif-Light" w:hAnsi="RotisSansSerif-Light" w:cs="RotisSansSerif-Light"/>
          <w:sz w:val="20"/>
          <w:szCs w:val="20"/>
        </w:rPr>
        <w:t>La interpretación y la utilización de la información contenida en la escritura decimal.</w:t>
      </w:r>
    </w:p>
    <w:p w:rsidR="00C916C6" w:rsidRPr="00C916C6" w:rsidRDefault="00C916C6" w:rsidP="00C916C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C916C6">
        <w:rPr>
          <w:rFonts w:ascii="RotisSansSerif-Light" w:hAnsi="RotisSansSerif-Light" w:cs="RotisSansSerif-Light"/>
          <w:sz w:val="20"/>
          <w:szCs w:val="20"/>
        </w:rPr>
        <w:t>Obtener en el visor de la calculadora el número 7.682, oprimiendo únicamente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C916C6">
        <w:rPr>
          <w:rFonts w:ascii="RotisSansSerif-Light" w:hAnsi="RotisSansSerif-Light" w:cs="RotisSansSerif-Light"/>
          <w:sz w:val="20"/>
          <w:szCs w:val="20"/>
        </w:rPr>
        <w:t>las teclas de las operaciones y los números 0 y 1. ¿Cuál será la forma más "económica" de hacerlo?</w:t>
      </w:r>
    </w:p>
    <w:p w:rsidR="00C916C6" w:rsidRPr="00A247CF" w:rsidRDefault="00C916C6" w:rsidP="00C916C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>
        <w:rPr>
          <w:rFonts w:ascii="RotisSansSerif-Light" w:hAnsi="RotisSansSerif-Light" w:cs="RotisSansSerif-Light"/>
          <w:sz w:val="20"/>
          <w:szCs w:val="20"/>
        </w:rPr>
        <w:t>En el visor de la calculadora aparece el número 11.356. ¿Cómo lograr que aparezca el 100.000, sin borrar el número anterior?</w:t>
      </w:r>
    </w:p>
    <w:p w:rsidR="00A247CF" w:rsidRPr="00A247CF" w:rsidRDefault="00A247CF" w:rsidP="00A247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>
        <w:rPr>
          <w:rFonts w:ascii="RotisSansSerif-Light" w:hAnsi="RotisSansSerif-Light" w:cs="RotisSansSerif-Light"/>
          <w:sz w:val="20"/>
          <w:szCs w:val="20"/>
        </w:rPr>
        <w:t>Determinación de la ubicación de números en la recta numérica a partir de distintas informaciones</w:t>
      </w:r>
    </w:p>
    <w:p w:rsidR="00A247CF" w:rsidRPr="00A247CF" w:rsidRDefault="00A247CF" w:rsidP="00A247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A247CF">
        <w:rPr>
          <w:rFonts w:ascii="RotisSansSerif-Light" w:hAnsi="RotisSansSerif-Light" w:cs="RotisSansSerif-Light"/>
          <w:sz w:val="20"/>
          <w:szCs w:val="20"/>
        </w:rPr>
        <w:t>Investigación sobre las reglas de funcionamiento del sistema de numeración romano. Comparación con nuestro sistema de numeración (número de símbolos, valor posicional, rol del cero).</w:t>
      </w:r>
    </w:p>
    <w:p w:rsidR="00A247CF" w:rsidRPr="00A247CF" w:rsidRDefault="00A247CF" w:rsidP="00A247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</w:p>
    <w:p w:rsidR="00A247CF" w:rsidRPr="00A247CF" w:rsidRDefault="00A247CF" w:rsidP="00A247CF">
      <w:pPr>
        <w:autoSpaceDE w:val="0"/>
        <w:autoSpaceDN w:val="0"/>
        <w:adjustRightInd w:val="0"/>
        <w:spacing w:line="240" w:lineRule="auto"/>
        <w:ind w:left="360"/>
      </w:pPr>
      <w:r>
        <w:rPr>
          <w:rFonts w:ascii="RotisSansSerif" w:hAnsi="RotisSansSerif" w:cs="RotisSansSerif"/>
          <w:sz w:val="28"/>
          <w:szCs w:val="28"/>
        </w:rPr>
        <w:t>P</w:t>
      </w:r>
      <w:r>
        <w:rPr>
          <w:rFonts w:ascii="RotisSansSerif" w:hAnsi="RotisSansSerif" w:cs="RotisSansSerif"/>
          <w:sz w:val="21"/>
          <w:szCs w:val="21"/>
        </w:rPr>
        <w:t>ROBLEMAS QUE IMPLICAN ADICIÓN Y SUSTRACCIÓN DE NÚMEROS NATURALES</w:t>
      </w:r>
    </w:p>
    <w:p w:rsidR="00A247CF" w:rsidRDefault="00A247CF" w:rsidP="00A247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A247CF">
        <w:rPr>
          <w:rFonts w:ascii="RotisSansSerif-Light" w:hAnsi="RotisSansSerif-Light" w:cs="RotisSansSerif-Light"/>
          <w:sz w:val="20"/>
          <w:szCs w:val="20"/>
        </w:rPr>
        <w:t xml:space="preserve">Resolución de problemas que impliquen suma y resta con números naturales en situaciones que amplíen los significados ya elaborados en el primer ciclo: </w:t>
      </w:r>
    </w:p>
    <w:p w:rsidR="00A247CF" w:rsidRDefault="00A247CF" w:rsidP="00A247CF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A247CF">
        <w:rPr>
          <w:rFonts w:ascii="RotisSansSerif-Light" w:hAnsi="RotisSansSerif-Light" w:cs="RotisSansSerif-Light"/>
          <w:sz w:val="20"/>
          <w:szCs w:val="20"/>
        </w:rPr>
        <w:t>Problemas en los que una cantidad se modifica sucesivamente implicando adiciones o sustracciones y hay que establecer el total de las modificaciones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247CF">
        <w:rPr>
          <w:rFonts w:ascii="RotisSansSerif-Light" w:hAnsi="RotisSansSerif-Light" w:cs="RotisSansSerif-Light"/>
          <w:sz w:val="20"/>
          <w:szCs w:val="20"/>
        </w:rPr>
        <w:t>independientemente del valor de la cantidad.</w:t>
      </w:r>
    </w:p>
    <w:p w:rsidR="00A247CF" w:rsidRDefault="00A247CF" w:rsidP="00324EB3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A247CF">
        <w:rPr>
          <w:rFonts w:ascii="RotisSansSerif-Light" w:hAnsi="RotisSansSerif-Light" w:cs="RotisSansSerif-Light"/>
          <w:sz w:val="20"/>
          <w:szCs w:val="20"/>
        </w:rPr>
        <w:t>Problemas en los que se comparan deudas mutuas entre personas.</w:t>
      </w:r>
    </w:p>
    <w:p w:rsidR="00A247CF" w:rsidRDefault="00A247CF" w:rsidP="00A247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A247CF">
        <w:rPr>
          <w:rFonts w:ascii="RotisSansSerif-Light" w:hAnsi="RotisSansSerif-Light" w:cs="RotisSansSerif-Light"/>
          <w:sz w:val="20"/>
          <w:szCs w:val="20"/>
        </w:rPr>
        <w:t>Resolución de problemas de suma y resta que involucren varias operaciones</w:t>
      </w:r>
    </w:p>
    <w:p w:rsidR="00A247CF" w:rsidRDefault="00A247CF" w:rsidP="00A247CF">
      <w:pPr>
        <w:pStyle w:val="Prrafodelista"/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</w:p>
    <w:p w:rsidR="00A247CF" w:rsidRDefault="00A247CF" w:rsidP="00A247CF">
      <w:pPr>
        <w:autoSpaceDE w:val="0"/>
        <w:autoSpaceDN w:val="0"/>
        <w:adjustRightInd w:val="0"/>
        <w:spacing w:line="240" w:lineRule="auto"/>
        <w:ind w:left="360"/>
        <w:rPr>
          <w:rFonts w:ascii="RotisSansSerif" w:hAnsi="RotisSansSerif" w:cs="RotisSansSerif"/>
          <w:sz w:val="21"/>
          <w:szCs w:val="21"/>
        </w:rPr>
      </w:pPr>
      <w:r>
        <w:rPr>
          <w:rFonts w:ascii="RotisSansSerif" w:hAnsi="RotisSansSerif" w:cs="RotisSansSerif"/>
          <w:sz w:val="28"/>
          <w:szCs w:val="28"/>
        </w:rPr>
        <w:t>P</w:t>
      </w:r>
      <w:r>
        <w:rPr>
          <w:rFonts w:ascii="RotisSansSerif" w:hAnsi="RotisSansSerif" w:cs="RotisSansSerif"/>
          <w:sz w:val="21"/>
          <w:szCs w:val="21"/>
        </w:rPr>
        <w:t>ROBLEMAS MULTIPLICATIVOS CON NÚMEROS NATURALES</w:t>
      </w:r>
    </w:p>
    <w:p w:rsidR="00A247CF" w:rsidRPr="00A247CF" w:rsidRDefault="00A247CF" w:rsidP="00A247C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09"/>
        <w:rPr>
          <w:rFonts w:ascii="RotisSansSerif" w:hAnsi="RotisSansSerif" w:cs="RotisSansSerif"/>
          <w:sz w:val="21"/>
          <w:szCs w:val="21"/>
        </w:rPr>
      </w:pPr>
      <w:r w:rsidRPr="00A247CF">
        <w:rPr>
          <w:rFonts w:ascii="RotisSansSerif-Light" w:hAnsi="RotisSansSerif-Light" w:cs="RotisSansSerif-Light"/>
          <w:sz w:val="20"/>
          <w:szCs w:val="20"/>
        </w:rPr>
        <w:t>Resolución de problemas de organizaciones rectangulares utilizando la multiplicación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247CF">
        <w:rPr>
          <w:rFonts w:ascii="RotisSansSerif-Light" w:hAnsi="RotisSansSerif-Light" w:cs="RotisSansSerif-Light"/>
          <w:sz w:val="20"/>
          <w:szCs w:val="20"/>
        </w:rPr>
        <w:t>y la división.</w:t>
      </w:r>
    </w:p>
    <w:p w:rsidR="00A247CF" w:rsidRPr="00A247CF" w:rsidRDefault="00A247CF" w:rsidP="00A247C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09"/>
        <w:rPr>
          <w:rFonts w:ascii="RotisSansSerif" w:hAnsi="RotisSansSerif" w:cs="RotisSansSerif"/>
          <w:sz w:val="21"/>
          <w:szCs w:val="21"/>
        </w:rPr>
      </w:pPr>
      <w:r>
        <w:rPr>
          <w:rFonts w:ascii="RotisSansSerif-Light" w:hAnsi="RotisSansSerif-Light" w:cs="RotisSansSerif-Light"/>
          <w:sz w:val="20"/>
          <w:szCs w:val="20"/>
        </w:rPr>
        <w:t>Resolución de problemas que combinen las cuatro operaciones con números naturales.</w:t>
      </w:r>
    </w:p>
    <w:p w:rsidR="00A247CF" w:rsidRPr="00A247CF" w:rsidRDefault="00A247CF" w:rsidP="00A247C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09"/>
        <w:rPr>
          <w:rFonts w:ascii="RotisSansSerif" w:hAnsi="RotisSansSerif" w:cs="RotisSansSerif"/>
          <w:sz w:val="21"/>
          <w:szCs w:val="21"/>
        </w:rPr>
      </w:pPr>
      <w:r w:rsidRPr="00A247CF">
        <w:rPr>
          <w:rFonts w:ascii="RotisSansSerif-Light" w:hAnsi="RotisSansSerif-Light" w:cs="RotisSansSerif-Light"/>
          <w:sz w:val="20"/>
          <w:szCs w:val="20"/>
        </w:rPr>
        <w:t>Resolución de problemas de combinatoria que se resuelvan con una multiplicación,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247CF">
        <w:rPr>
          <w:rFonts w:ascii="RotisSansSerif-Light" w:hAnsi="RotisSansSerif-Light" w:cs="RotisSansSerif-Light"/>
          <w:sz w:val="20"/>
          <w:szCs w:val="20"/>
        </w:rPr>
        <w:t>utilizando inicialmente procedimientos diversos y, posteriormente,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247CF">
        <w:rPr>
          <w:rFonts w:ascii="RotisSansSerif-Light" w:hAnsi="RotisSansSerif-Light" w:cs="RotisSansSerif-Light"/>
          <w:sz w:val="20"/>
          <w:szCs w:val="20"/>
        </w:rPr>
        <w:t>reconociendo la multiplicación.</w:t>
      </w:r>
    </w:p>
    <w:p w:rsidR="00A247CF" w:rsidRPr="00A247CF" w:rsidRDefault="00A247CF" w:rsidP="00A247CF">
      <w:pPr>
        <w:autoSpaceDE w:val="0"/>
        <w:autoSpaceDN w:val="0"/>
        <w:adjustRightInd w:val="0"/>
        <w:spacing w:line="240" w:lineRule="auto"/>
        <w:rPr>
          <w:rFonts w:ascii="RotisSansSerif" w:hAnsi="RotisSansSerif" w:cs="RotisSansSerif"/>
          <w:sz w:val="21"/>
          <w:szCs w:val="21"/>
        </w:rPr>
      </w:pPr>
    </w:p>
    <w:p w:rsidR="00A247CF" w:rsidRPr="00A247CF" w:rsidRDefault="00A247CF" w:rsidP="00A247CF">
      <w:pPr>
        <w:autoSpaceDE w:val="0"/>
        <w:autoSpaceDN w:val="0"/>
        <w:adjustRightInd w:val="0"/>
        <w:spacing w:line="240" w:lineRule="auto"/>
        <w:ind w:left="426"/>
        <w:rPr>
          <w:rFonts w:ascii="RotisSansSerif" w:hAnsi="RotisSansSerif" w:cs="RotisSansSerif"/>
          <w:sz w:val="21"/>
          <w:szCs w:val="21"/>
        </w:rPr>
      </w:pPr>
      <w:r>
        <w:rPr>
          <w:rFonts w:ascii="RotisSansSerif" w:hAnsi="RotisSansSerif" w:cs="RotisSansSerif"/>
          <w:sz w:val="28"/>
          <w:szCs w:val="28"/>
        </w:rPr>
        <w:t>D</w:t>
      </w:r>
      <w:r>
        <w:rPr>
          <w:rFonts w:ascii="RotisSansSerif" w:hAnsi="RotisSansSerif" w:cs="RotisSansSerif"/>
          <w:sz w:val="21"/>
          <w:szCs w:val="21"/>
        </w:rPr>
        <w:t>IVISIÓN ENTERA</w:t>
      </w:r>
    </w:p>
    <w:p w:rsidR="00A247CF" w:rsidRDefault="00A247CF" w:rsidP="00A247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Resolución de problemas de división que involucren un análisis del resto.</w:t>
      </w:r>
    </w:p>
    <w:p w:rsidR="00A247CF" w:rsidRDefault="00A247CF" w:rsidP="00A247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A247CF">
        <w:rPr>
          <w:rFonts w:ascii="RotisSansSerif-Light" w:hAnsi="RotisSansSerif-Light" w:cs="RotisSansSerif-Light"/>
          <w:sz w:val="20"/>
          <w:szCs w:val="20"/>
        </w:rPr>
        <w:t>Resolución de problemas de reparto (con incógnita tanto en la cantidad de partes como en el valor de cada parte) utilizando el algoritmo de la división o procedimientos de cálculo mental.</w:t>
      </w:r>
    </w:p>
    <w:p w:rsidR="00A247CF" w:rsidRDefault="00A247CF" w:rsidP="00A247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Uso de la calculadora para reconstruir el resto de una división.</w:t>
      </w:r>
    </w:p>
    <w:p w:rsidR="00FB1531" w:rsidRDefault="00A247CF" w:rsidP="00FB153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A247CF">
        <w:rPr>
          <w:rFonts w:ascii="RotisSansSerif-Light" w:hAnsi="RotisSansSerif-Light" w:cs="RotisSansSerif-Light"/>
          <w:sz w:val="20"/>
          <w:szCs w:val="20"/>
        </w:rPr>
        <w:t>Construcción del algoritmo de la división a partir de los algoritmos diversos utilizados en tercer grado.</w:t>
      </w:r>
    </w:p>
    <w:p w:rsidR="00FB1531" w:rsidRDefault="00FB1531" w:rsidP="00FB153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FB1531">
        <w:rPr>
          <w:rFonts w:ascii="RotisSansSerif-Light" w:hAnsi="RotisSansSerif-Light" w:cs="RotisSansSerif-Light"/>
          <w:sz w:val="20"/>
          <w:szCs w:val="20"/>
        </w:rPr>
        <w:t>Resolución de problemas que impliquen el uso de múltiplos y divisores de números naturales.</w:t>
      </w:r>
    </w:p>
    <w:p w:rsidR="00FB1531" w:rsidRDefault="00FB1531" w:rsidP="00FB153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Definiciones de múltiplo y divisor de un número, de múltiplo común y de divisor común.</w:t>
      </w:r>
    </w:p>
    <w:p w:rsidR="00FB1531" w:rsidRDefault="00FB1531" w:rsidP="00FB153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FB1531">
        <w:rPr>
          <w:rFonts w:ascii="RotisSansSerif-Light" w:hAnsi="RotisSansSerif-Light" w:cs="RotisSansSerif-Light"/>
          <w:sz w:val="20"/>
          <w:szCs w:val="20"/>
        </w:rPr>
        <w:t>Resolución de problemas que involucren la búsqueda de divisores comunes entre varios números</w:t>
      </w:r>
      <w:r>
        <w:rPr>
          <w:rFonts w:ascii="RotisSansSerif-Light" w:hAnsi="RotisSansSerif-Light" w:cs="RotisSansSerif-Light"/>
          <w:sz w:val="20"/>
          <w:szCs w:val="20"/>
        </w:rPr>
        <w:t xml:space="preserve"> o</w:t>
      </w:r>
      <w:r w:rsidRPr="00FB1531">
        <w:rPr>
          <w:rFonts w:ascii="RotisSansSerif-Light" w:hAnsi="RotisSansSerif-Light" w:cs="RotisSansSerif-Light"/>
          <w:sz w:val="20"/>
          <w:szCs w:val="20"/>
        </w:rPr>
        <w:t xml:space="preserve"> múltiplos comunes a varios números</w:t>
      </w:r>
    </w:p>
    <w:p w:rsidR="00FB1531" w:rsidRDefault="00FB1531" w:rsidP="00FB1531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</w:p>
    <w:p w:rsidR="00FB1531" w:rsidRDefault="00FB1531" w:rsidP="00FB1531">
      <w:pPr>
        <w:ind w:left="426"/>
        <w:rPr>
          <w:rFonts w:ascii="RotisSansSerif" w:hAnsi="RotisSansSerif" w:cs="RotisSansSerif"/>
          <w:sz w:val="21"/>
          <w:szCs w:val="21"/>
        </w:rPr>
      </w:pPr>
      <w:r>
        <w:rPr>
          <w:rFonts w:ascii="RotisSansSerif" w:hAnsi="RotisSansSerif" w:cs="RotisSansSerif"/>
          <w:sz w:val="28"/>
          <w:szCs w:val="28"/>
        </w:rPr>
        <w:t>C</w:t>
      </w:r>
      <w:r>
        <w:rPr>
          <w:rFonts w:ascii="RotisSansSerif" w:hAnsi="RotisSansSerif" w:cs="RotisSansSerif"/>
          <w:sz w:val="21"/>
          <w:szCs w:val="21"/>
        </w:rPr>
        <w:t>ÁLCULOS EXACTOS Y APROXIMADOS</w:t>
      </w:r>
      <w:r>
        <w:rPr>
          <w:rFonts w:ascii="RotisSansSerif" w:hAnsi="RotisSansSerif" w:cs="RotisSansSerif"/>
          <w:sz w:val="28"/>
          <w:szCs w:val="28"/>
        </w:rPr>
        <w:t>. A</w:t>
      </w:r>
      <w:r>
        <w:rPr>
          <w:rFonts w:ascii="RotisSansSerif" w:hAnsi="RotisSansSerif" w:cs="RotisSansSerif"/>
          <w:sz w:val="21"/>
          <w:szCs w:val="21"/>
        </w:rPr>
        <w:t>DICIÓN Y SUSTRACCIÓN</w:t>
      </w:r>
    </w:p>
    <w:p w:rsidR="002319C9" w:rsidRPr="002319C9" w:rsidRDefault="00FB1531" w:rsidP="002319C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  <w:rPr>
          <w:rFonts w:ascii="RotisSansSerif-Light" w:hAnsi="RotisSansSerif-Light" w:cs="RotisSansSerif-Light"/>
        </w:rPr>
      </w:pPr>
      <w:r w:rsidRPr="00FB1531">
        <w:rPr>
          <w:rFonts w:ascii="RotisSansSerif-Light" w:hAnsi="RotisSansSerif-Light" w:cs="RotisSansSerif-Light"/>
          <w:sz w:val="20"/>
          <w:szCs w:val="20"/>
        </w:rPr>
        <w:t>Cálculos mentales de sumas y restas a partir del análisis de la escritura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FB1531">
        <w:rPr>
          <w:rFonts w:ascii="RotisSansSerif-Light" w:hAnsi="RotisSansSerif-Light" w:cs="RotisSansSerif-Light"/>
          <w:sz w:val="20"/>
          <w:szCs w:val="20"/>
        </w:rPr>
        <w:t>decimal de los números.</w:t>
      </w:r>
    </w:p>
    <w:p w:rsidR="002319C9" w:rsidRPr="002319C9" w:rsidRDefault="002319C9" w:rsidP="002319C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  <w:rPr>
          <w:rFonts w:ascii="RotisSansSerif-Light" w:hAnsi="RotisSansSerif-Light" w:cs="RotisSansSerif-Light"/>
        </w:rPr>
      </w:pPr>
      <w:r w:rsidRPr="002319C9">
        <w:rPr>
          <w:rFonts w:ascii="RotisSansSerif-Light" w:hAnsi="RotisSansSerif-Light" w:cs="RotisSansSerif-Light"/>
          <w:sz w:val="20"/>
          <w:szCs w:val="20"/>
        </w:rPr>
        <w:t>Cálculo mental de multiplicaciones y divisiones apoyándose en propiedades de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2319C9">
        <w:rPr>
          <w:rFonts w:ascii="RotisSansSerif-Light" w:hAnsi="RotisSansSerif-Light" w:cs="RotisSansSerif-Light"/>
          <w:sz w:val="20"/>
          <w:szCs w:val="20"/>
        </w:rPr>
        <w:t>las operaciones.</w:t>
      </w:r>
    </w:p>
    <w:p w:rsidR="002319C9" w:rsidRPr="002319C9" w:rsidRDefault="002319C9" w:rsidP="002319C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  <w:rPr>
          <w:rFonts w:ascii="RotisSansSerif-Light" w:hAnsi="RotisSansSerif-Light" w:cs="RotisSansSerif-Light"/>
        </w:rPr>
      </w:pPr>
      <w:r w:rsidRPr="002319C9">
        <w:rPr>
          <w:rFonts w:ascii="RotisSansSerif-Light" w:hAnsi="RotisSansSerif-Light" w:cs="RotisSansSerif-Light"/>
          <w:sz w:val="20"/>
          <w:szCs w:val="20"/>
        </w:rPr>
        <w:t>Estimación del resultado de multiplicaciones y divisiones y cálculo de número de cifras de cociente.</w:t>
      </w:r>
    </w:p>
    <w:p w:rsidR="002319C9" w:rsidRPr="002319C9" w:rsidRDefault="002319C9" w:rsidP="00DE49E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  <w:rPr>
          <w:rFonts w:ascii="RotisSansSerif-Light" w:hAnsi="RotisSansSerif-Light" w:cs="RotisSansSerif-Light"/>
        </w:rPr>
      </w:pPr>
      <w:r w:rsidRPr="002319C9">
        <w:rPr>
          <w:rFonts w:ascii="RotisSansSerif-Light" w:hAnsi="RotisSansSerif-Light" w:cs="RotisSansSerif-Light"/>
          <w:sz w:val="20"/>
          <w:szCs w:val="20"/>
        </w:rPr>
        <w:t>Utilización de la calculadora para resolver situaciones problemáticas y para controlar cálculos realizados por otros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2319C9">
        <w:rPr>
          <w:rFonts w:ascii="RotisSansSerif-Light" w:hAnsi="RotisSansSerif-Light" w:cs="RotisSansSerif-Light"/>
          <w:sz w:val="20"/>
          <w:szCs w:val="20"/>
        </w:rPr>
        <w:t>procedimientos.</w:t>
      </w:r>
    </w:p>
    <w:p w:rsidR="00480EE2" w:rsidRPr="00480EE2" w:rsidRDefault="002319C9" w:rsidP="002319C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  <w:rPr>
          <w:rFonts w:ascii="RotisSansSerif-Light" w:hAnsi="RotisSansSerif-Light" w:cs="RotisSansSerif-Light"/>
        </w:rPr>
      </w:pPr>
      <w:r>
        <w:rPr>
          <w:rFonts w:ascii="RotisSansSerif-Light" w:hAnsi="RotisSansSerif-Light" w:cs="RotisSansSerif-Light"/>
          <w:sz w:val="20"/>
          <w:szCs w:val="20"/>
        </w:rPr>
        <w:t>Utilización de la calculadora para verificar relaciones anticipadas entre números y operaciones.</w:t>
      </w:r>
    </w:p>
    <w:p w:rsidR="002319C9" w:rsidRPr="00480EE2" w:rsidRDefault="002319C9" w:rsidP="006A194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  <w:rPr>
          <w:rFonts w:ascii="RotisSansSerif-Light" w:hAnsi="RotisSansSerif-Light" w:cs="RotisSansSerif-Light"/>
        </w:rPr>
      </w:pPr>
      <w:r w:rsidRPr="00480EE2">
        <w:rPr>
          <w:rFonts w:ascii="RotisSansSerif-Light" w:hAnsi="RotisSansSerif-Light" w:cs="RotisSansSerif-Light"/>
          <w:sz w:val="20"/>
          <w:szCs w:val="20"/>
        </w:rPr>
        <w:t>Selección y fundamentación de la</w:t>
      </w:r>
      <w:r w:rsidR="00480EE2"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estrategia de cálculo más pertinente</w:t>
      </w:r>
      <w:r w:rsidR="00480EE2"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en relación con </w:t>
      </w:r>
      <w:r w:rsidR="00480EE2" w:rsidRPr="00480EE2">
        <w:rPr>
          <w:rFonts w:ascii="RotisSansSerif-Light" w:hAnsi="RotisSansSerif-Light" w:cs="RotisSansSerif-Light"/>
          <w:sz w:val="20"/>
          <w:szCs w:val="20"/>
        </w:rPr>
        <w:t>los números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y las</w:t>
      </w:r>
      <w:r w:rsid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operaciones</w:t>
      </w:r>
    </w:p>
    <w:p w:rsidR="00480EE2" w:rsidRDefault="00480EE2" w:rsidP="00480EE2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</w:rPr>
      </w:pPr>
    </w:p>
    <w:p w:rsidR="00480EE2" w:rsidRPr="002A1B1F" w:rsidRDefault="00480EE2" w:rsidP="002A1B1F">
      <w:pPr>
        <w:autoSpaceDE w:val="0"/>
        <w:autoSpaceDN w:val="0"/>
        <w:adjustRightInd w:val="0"/>
        <w:spacing w:line="240" w:lineRule="auto"/>
        <w:ind w:left="426"/>
        <w:rPr>
          <w:rFonts w:ascii="RotisSansSerif" w:hAnsi="RotisSansSerif" w:cs="RotisSansSerif"/>
          <w:sz w:val="21"/>
          <w:szCs w:val="21"/>
        </w:rPr>
      </w:pPr>
      <w:r w:rsidRPr="002A1B1F">
        <w:rPr>
          <w:rFonts w:ascii="RotisSansSerif" w:hAnsi="RotisSansSerif" w:cs="RotisSansSerif"/>
          <w:sz w:val="28"/>
          <w:szCs w:val="28"/>
        </w:rPr>
        <w:t>N</w:t>
      </w:r>
      <w:r w:rsidRPr="002A1B1F">
        <w:rPr>
          <w:rFonts w:ascii="RotisSansSerif" w:hAnsi="RotisSansSerif" w:cs="RotisSansSerif"/>
          <w:sz w:val="21"/>
          <w:szCs w:val="21"/>
        </w:rPr>
        <w:t>ÚMEROS RACIONALES. FRACCIONES</w:t>
      </w:r>
    </w:p>
    <w:p w:rsidR="00480EE2" w:rsidRDefault="00480EE2" w:rsidP="00480EE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480EE2">
        <w:rPr>
          <w:rFonts w:ascii="RotisSansSerif-Light" w:hAnsi="RotisSansSerif-Light" w:cs="RotisSansSerif-Light"/>
          <w:sz w:val="20"/>
          <w:szCs w:val="20"/>
        </w:rPr>
        <w:t>Situaciones de reparto en partes iguales en las que tiene sentido repartir el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resto entero.</w:t>
      </w:r>
    </w:p>
    <w:p w:rsidR="00480EE2" w:rsidRDefault="00480EE2" w:rsidP="00480EE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480EE2">
        <w:rPr>
          <w:rFonts w:ascii="RotisSansSerif-Light" w:hAnsi="RotisSansSerif-Light" w:cs="RotisSansSerif-Light"/>
          <w:sz w:val="20"/>
          <w:szCs w:val="20"/>
        </w:rPr>
        <w:lastRenderedPageBreak/>
        <w:t>Situaciones de medición en las que la unidad no entra una cantidad entera de veces en el objeto a medir, para generar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la necesidad de fraccionar la unidad</w:t>
      </w:r>
    </w:p>
    <w:p w:rsidR="00480EE2" w:rsidRDefault="00480EE2" w:rsidP="0059177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480EE2">
        <w:rPr>
          <w:rFonts w:ascii="RotisSansSerif-Light" w:hAnsi="RotisSansSerif-Light" w:cs="RotisSansSerif-Light"/>
          <w:sz w:val="20"/>
          <w:szCs w:val="20"/>
        </w:rPr>
        <w:t>A partir de las situaciones de reparto y de medición, definición de las cantidades 1/2, 1/3, 1</w:t>
      </w:r>
      <w:r>
        <w:rPr>
          <w:rFonts w:ascii="RotisSansSerif-Light" w:hAnsi="RotisSansSerif-Light" w:cs="RotisSansSerif-Light"/>
          <w:sz w:val="20"/>
          <w:szCs w:val="20"/>
        </w:rPr>
        <w:t>/4, 1/5</w:t>
      </w:r>
      <w:r w:rsidRPr="00480EE2">
        <w:rPr>
          <w:rFonts w:ascii="RotisSansSerif-Light" w:hAnsi="RotisSansSerif-Light" w:cs="RotisSansSerif-Light"/>
          <w:sz w:val="20"/>
          <w:szCs w:val="20"/>
        </w:rPr>
        <w:t>, etc., como la parte tal que 2, 3, 4, 5, etc., partes iguales a ésa equivalen a la unidad. A partir de situaciones de reparto y de medición, definición de la fracción m/n como la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parte que contiene m veces 1/n.</w:t>
      </w:r>
    </w:p>
    <w:p w:rsidR="00480EE2" w:rsidRPr="00480EE2" w:rsidRDefault="00480EE2" w:rsidP="00480EE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A partir de la producción de soluciones en problemas de reparto, discusión de la equivalencia o no de ciertos repartos.</w:t>
      </w:r>
    </w:p>
    <w:p w:rsidR="00480EE2" w:rsidRDefault="00480EE2" w:rsidP="00480EE2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</w:p>
    <w:p w:rsidR="00480EE2" w:rsidRPr="002A1B1F" w:rsidRDefault="00480EE2" w:rsidP="002A1B1F">
      <w:pPr>
        <w:autoSpaceDE w:val="0"/>
        <w:autoSpaceDN w:val="0"/>
        <w:adjustRightInd w:val="0"/>
        <w:spacing w:line="240" w:lineRule="auto"/>
        <w:ind w:left="426"/>
        <w:rPr>
          <w:rFonts w:ascii="RotisSansSerif" w:hAnsi="RotisSansSerif" w:cs="RotisSansSerif"/>
          <w:sz w:val="21"/>
          <w:szCs w:val="21"/>
        </w:rPr>
      </w:pPr>
      <w:r w:rsidRPr="002A1B1F">
        <w:rPr>
          <w:rFonts w:ascii="RotisSansSerif" w:hAnsi="RotisSansSerif" w:cs="RotisSansSerif"/>
          <w:sz w:val="28"/>
          <w:szCs w:val="28"/>
        </w:rPr>
        <w:t>S</w:t>
      </w:r>
      <w:r w:rsidRPr="002A1B1F">
        <w:rPr>
          <w:rFonts w:ascii="RotisSansSerif" w:hAnsi="RotisSansSerif" w:cs="RotisSansSerif"/>
          <w:sz w:val="21"/>
          <w:szCs w:val="21"/>
        </w:rPr>
        <w:t>ITUACIONES DE MEDICIÓN</w:t>
      </w:r>
    </w:p>
    <w:p w:rsidR="00480EE2" w:rsidRDefault="00480EE2" w:rsidP="00480EE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480EE2">
        <w:rPr>
          <w:rFonts w:ascii="RotisSansSerif-Light" w:hAnsi="RotisSansSerif-Light" w:cs="RotisSansSerif-Light"/>
          <w:sz w:val="20"/>
          <w:szCs w:val="20"/>
        </w:rPr>
        <w:t>Determinación de diferentes medidas (longitudes y áreas) con relación a una unidad.</w:t>
      </w:r>
    </w:p>
    <w:p w:rsidR="00480EE2" w:rsidRPr="00480EE2" w:rsidRDefault="00480EE2" w:rsidP="00480EE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480EE2">
        <w:rPr>
          <w:rFonts w:ascii="RotisSansSerif-Light" w:hAnsi="RotisSansSerif-Light" w:cs="RotisSansSerif-Light"/>
          <w:sz w:val="20"/>
          <w:szCs w:val="20"/>
        </w:rPr>
        <w:t>Diferentes representaciones de algunas fracciones.</w:t>
      </w:r>
    </w:p>
    <w:p w:rsidR="00480EE2" w:rsidRDefault="00480EE2" w:rsidP="00480EE2"/>
    <w:p w:rsidR="00480EE2" w:rsidRPr="002A1B1F" w:rsidRDefault="00480EE2" w:rsidP="002A1B1F">
      <w:pPr>
        <w:ind w:left="426"/>
        <w:rPr>
          <w:rFonts w:ascii="RotisSansSerif" w:hAnsi="RotisSansSerif" w:cs="RotisSansSerif"/>
          <w:sz w:val="21"/>
          <w:szCs w:val="21"/>
        </w:rPr>
      </w:pPr>
      <w:r w:rsidRPr="002A1B1F">
        <w:rPr>
          <w:rFonts w:ascii="RotisSansSerif" w:hAnsi="RotisSansSerif" w:cs="RotisSansSerif"/>
          <w:sz w:val="28"/>
          <w:szCs w:val="28"/>
        </w:rPr>
        <w:t>F</w:t>
      </w:r>
      <w:r w:rsidRPr="002A1B1F">
        <w:rPr>
          <w:rFonts w:ascii="RotisSansSerif" w:hAnsi="RotisSansSerif" w:cs="RotisSansSerif"/>
          <w:sz w:val="21"/>
          <w:szCs w:val="21"/>
        </w:rPr>
        <w:t>RACCIONES</w:t>
      </w:r>
    </w:p>
    <w:p w:rsidR="00480EE2" w:rsidRDefault="00480EE2" w:rsidP="00480EE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480EE2">
        <w:rPr>
          <w:rFonts w:ascii="RotisSansSerif-Light" w:hAnsi="RotisSansSerif-Light" w:cs="RotisSansSerif-Light"/>
          <w:sz w:val="20"/>
          <w:szCs w:val="20"/>
        </w:rPr>
        <w:t>Cálculo de la mitad, la tercera parte, la cuarta parte, etc., de 1/2, 1/3, 1/4, 1/5, 1/6, etc., a partir de establecer relaciones con la unidad. Cálculo mental relativo a estas cuestiones.</w:t>
      </w:r>
    </w:p>
    <w:p w:rsidR="00480EE2" w:rsidRPr="00480EE2" w:rsidRDefault="00480EE2" w:rsidP="000C4A9B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480EE2">
        <w:rPr>
          <w:rFonts w:ascii="RotisSansSerif-Light" w:hAnsi="RotisSansSerif-Light" w:cs="RotisSansSerif-Light"/>
          <w:sz w:val="20"/>
          <w:szCs w:val="20"/>
        </w:rPr>
        <w:t>Reconstrucción de la unidad usando cuartos y octavos, tercios y sextos,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quintos y décimos, etcétera</w:t>
      </w:r>
    </w:p>
    <w:p w:rsidR="00480EE2" w:rsidRPr="00480EE2" w:rsidRDefault="00480EE2" w:rsidP="00480EE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480EE2">
        <w:rPr>
          <w:rFonts w:ascii="RotisSansSerif-Light" w:hAnsi="RotisSansSerif-Light" w:cs="RotisSansSerif-Light"/>
          <w:sz w:val="20"/>
          <w:szCs w:val="20"/>
        </w:rPr>
        <w:t>Utilización de diferentes recursos para ubicar una fracción mayor que uno entre dos enteros consecutivos.</w:t>
      </w:r>
    </w:p>
    <w:p w:rsidR="00C71135" w:rsidRPr="00C71135" w:rsidRDefault="00480EE2" w:rsidP="00C7113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480EE2">
        <w:rPr>
          <w:rFonts w:ascii="RotisSansSerif-Light" w:hAnsi="RotisSansSerif-Light" w:cs="RotisSansSerif-Light"/>
          <w:sz w:val="20"/>
          <w:szCs w:val="20"/>
        </w:rPr>
        <w:t>Comparación de fracciones en casos sencillos y apelando a diferentes argumentos.</w:t>
      </w:r>
    </w:p>
    <w:p w:rsidR="00C71135" w:rsidRPr="00C71135" w:rsidRDefault="00C71135" w:rsidP="00C7113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C71135">
        <w:rPr>
          <w:rFonts w:ascii="RotisSansSerif-Light" w:hAnsi="RotisSansSerif-Light" w:cs="RotisSansSerif-Light"/>
          <w:sz w:val="20"/>
          <w:szCs w:val="20"/>
        </w:rPr>
        <w:t>Utilización de diferentes recursos para mostrar la equivalencia de algunas fracciones sin exigir de entrada el procedimiento de multiplicar numerador y denominador por un mismo número.</w:t>
      </w:r>
    </w:p>
    <w:p w:rsidR="00AD6FE9" w:rsidRPr="00AD6FE9" w:rsidRDefault="00C71135" w:rsidP="00C7113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C71135">
        <w:rPr>
          <w:rFonts w:ascii="RotisSansSerif-Light" w:hAnsi="RotisSansSerif-Light" w:cs="RotisSansSerif-Light"/>
          <w:sz w:val="20"/>
          <w:szCs w:val="20"/>
        </w:rPr>
        <w:t>Elección, en cada caso, de una unidad conveniente para representar sobre la recta quintos y tercios; medios y quintos; cuartos, tercios y sextos, etcétera</w:t>
      </w:r>
    </w:p>
    <w:p w:rsidR="00C71135" w:rsidRPr="00AD6FE9" w:rsidRDefault="00C71135" w:rsidP="00C7113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AD6FE9">
        <w:rPr>
          <w:rFonts w:ascii="RotisSansSerif-Light" w:hAnsi="RotisSansSerif-Light" w:cs="RotisSansSerif-Light"/>
          <w:sz w:val="20"/>
          <w:szCs w:val="20"/>
        </w:rPr>
        <w:t>Cálculo mental para determinar la</w:t>
      </w:r>
      <w:r w:rsidR="00AD6FE9" w:rsidRPr="00AD6FE9">
        <w:rPr>
          <w:rFonts w:ascii="RotisSansSerif-Light" w:hAnsi="RotisSansSerif-Light" w:cs="RotisSansSerif-Light"/>
          <w:sz w:val="20"/>
          <w:szCs w:val="20"/>
        </w:rPr>
        <w:t xml:space="preserve"> fracción que es necesario sumar a una fracción dada para obtener un entero</w:t>
      </w:r>
    </w:p>
    <w:p w:rsidR="00AD6FE9" w:rsidRPr="00AD6FE9" w:rsidRDefault="00AD6FE9" w:rsidP="00AD6FE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AD6FE9">
        <w:rPr>
          <w:rFonts w:ascii="RotisSansSerif-Light" w:hAnsi="RotisSansSerif-Light" w:cs="RotisSansSerif-Light"/>
          <w:sz w:val="20"/>
          <w:szCs w:val="20"/>
        </w:rPr>
        <w:t>Resolución de problemas que exijan sumar y restar fracciones, utilizando diferentes procedimientos: descomposiciones aditivas, cálculo mental, equivalencias, gráficos. (No se plantea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D6FE9">
        <w:rPr>
          <w:rFonts w:ascii="RotisSansSerif-Light" w:hAnsi="RotisSansSerif-Light" w:cs="RotisSansSerif-Light"/>
          <w:sz w:val="20"/>
          <w:szCs w:val="20"/>
        </w:rPr>
        <w:t>todavía la exigencia del algoritmo convencional de suma de fracciones.)</w:t>
      </w:r>
    </w:p>
    <w:p w:rsidR="00C71135" w:rsidRDefault="00C71135" w:rsidP="00C71135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</w:p>
    <w:p w:rsidR="00C71135" w:rsidRPr="00480EE2" w:rsidRDefault="00C71135" w:rsidP="00C71135">
      <w:pPr>
        <w:pStyle w:val="Prrafodelista"/>
        <w:autoSpaceDE w:val="0"/>
        <w:autoSpaceDN w:val="0"/>
        <w:adjustRightInd w:val="0"/>
        <w:spacing w:line="240" w:lineRule="auto"/>
      </w:pPr>
    </w:p>
    <w:p w:rsidR="006F7882" w:rsidRDefault="002A1B1F" w:rsidP="002A1B1F">
      <w:pPr>
        <w:autoSpaceDE w:val="0"/>
        <w:autoSpaceDN w:val="0"/>
        <w:adjustRightInd w:val="0"/>
        <w:spacing w:line="240" w:lineRule="auto"/>
        <w:ind w:left="426"/>
      </w:pPr>
      <w:r w:rsidRPr="002A1B1F">
        <w:rPr>
          <w:rFonts w:ascii="RotisSansSerif-Bold" w:hAnsi="RotisSansSerif-Bold" w:cs="RotisSansSerif-Bold"/>
          <w:bCs/>
          <w:sz w:val="28"/>
          <w:szCs w:val="28"/>
        </w:rPr>
        <w:t>E</w:t>
      </w:r>
      <w:r w:rsidRPr="002A1B1F">
        <w:rPr>
          <w:rFonts w:ascii="RotisSansSerif-Bold" w:hAnsi="RotisSansSerif-Bold" w:cs="RotisSansSerif-Bold"/>
          <w:bCs/>
          <w:sz w:val="21"/>
          <w:szCs w:val="21"/>
        </w:rPr>
        <w:t>XPRESIONES DECIMALES</w:t>
      </w:r>
      <w:r w:rsidRPr="002A1B1F">
        <w:t xml:space="preserve"> </w:t>
      </w:r>
    </w:p>
    <w:p w:rsidR="006F7882" w:rsidRDefault="006F7882" w:rsidP="006F788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</w:pPr>
      <w:r w:rsidRPr="006F7882">
        <w:rPr>
          <w:rFonts w:ascii="RotisSansSerif-Light" w:hAnsi="RotisSansSerif-Light" w:cs="RotisSansSerif-Light"/>
          <w:sz w:val="20"/>
          <w:szCs w:val="20"/>
        </w:rPr>
        <w:t>Equivalencias entre billetes y monedas de uso común. Expresión numérica de las equivalencias establecidas.</w:t>
      </w:r>
      <w:r w:rsidRPr="002A1B1F">
        <w:t xml:space="preserve"> </w:t>
      </w:r>
    </w:p>
    <w:p w:rsidR="006F7882" w:rsidRPr="006F7882" w:rsidRDefault="006F7882" w:rsidP="006F788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</w:pPr>
      <w:r w:rsidRPr="006F7882">
        <w:rPr>
          <w:rFonts w:ascii="RotisSansSerif-Light" w:hAnsi="RotisSansSerif-Light" w:cs="RotisSansSerif-Light"/>
          <w:sz w:val="20"/>
          <w:szCs w:val="20"/>
        </w:rPr>
        <w:t>Escritura de precios o medidas de objetos de uso diario utilizando la coma decimal. Comparación de precios.</w:t>
      </w:r>
    </w:p>
    <w:p w:rsidR="006F7882" w:rsidRPr="006F7882" w:rsidRDefault="006F7882" w:rsidP="006F788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</w:pPr>
      <w:r w:rsidRPr="006F7882">
        <w:rPr>
          <w:rFonts w:ascii="RotisSansSerif-Light" w:hAnsi="RotisSansSerif-Light" w:cs="RotisSansSerif-Light"/>
          <w:sz w:val="20"/>
          <w:szCs w:val="20"/>
        </w:rPr>
        <w:t>Resolución de situaciones de adición y sustracción de expresiones decimales y de multiplicación de un decimal por un número natural, que hagan referencia a precios expresados en pesos</w:t>
      </w:r>
      <w:r>
        <w:rPr>
          <w:rFonts w:ascii="RotisSansSerif-Light" w:hAnsi="RotisSansSerif-Light" w:cs="RotisSansSerif-Light"/>
          <w:sz w:val="20"/>
          <w:szCs w:val="20"/>
        </w:rPr>
        <w:t>.</w:t>
      </w:r>
    </w:p>
    <w:p w:rsidR="006F7882" w:rsidRDefault="006F7882" w:rsidP="006F7882">
      <w:pPr>
        <w:autoSpaceDE w:val="0"/>
        <w:autoSpaceDN w:val="0"/>
        <w:adjustRightInd w:val="0"/>
        <w:spacing w:line="240" w:lineRule="auto"/>
      </w:pPr>
    </w:p>
    <w:p w:rsidR="006F7882" w:rsidRDefault="006F7882" w:rsidP="006F7882">
      <w:pPr>
        <w:autoSpaceDE w:val="0"/>
        <w:autoSpaceDN w:val="0"/>
        <w:adjustRightInd w:val="0"/>
        <w:spacing w:line="240" w:lineRule="auto"/>
        <w:ind w:left="426"/>
        <w:rPr>
          <w:rFonts w:ascii="RotisSansSerif-Bold" w:hAnsi="RotisSansSerif-Bold" w:cs="RotisSansSerif-Bold"/>
          <w:bCs/>
          <w:sz w:val="21"/>
          <w:szCs w:val="21"/>
        </w:rPr>
      </w:pPr>
      <w:r w:rsidRPr="006F7882">
        <w:rPr>
          <w:rFonts w:ascii="RotisSansSerif-Bold" w:hAnsi="RotisSansSerif-Bold" w:cs="RotisSansSerif-Bold"/>
          <w:bCs/>
          <w:sz w:val="28"/>
          <w:szCs w:val="28"/>
        </w:rPr>
        <w:t>R</w:t>
      </w:r>
      <w:r w:rsidRPr="006F7882">
        <w:rPr>
          <w:rFonts w:ascii="RotisSansSerif-Bold" w:hAnsi="RotisSansSerif-Bold" w:cs="RotisSansSerif-Bold"/>
          <w:bCs/>
          <w:sz w:val="21"/>
          <w:szCs w:val="21"/>
        </w:rPr>
        <w:t>ELACIONES ENTRE VARIABLES</w:t>
      </w:r>
    </w:p>
    <w:p w:rsidR="006F7882" w:rsidRPr="006F7882" w:rsidRDefault="006F7882" w:rsidP="004F4E7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sz w:val="21"/>
          <w:szCs w:val="21"/>
        </w:rPr>
      </w:pPr>
      <w:r w:rsidRPr="006F7882">
        <w:rPr>
          <w:rFonts w:ascii="RotisSansSerif-Light" w:hAnsi="RotisSansSerif-Light" w:cs="RotisSansSerif-Light"/>
          <w:sz w:val="20"/>
          <w:szCs w:val="20"/>
        </w:rPr>
        <w:t>Resolución de problemas que supongan la búsqueda de nuevos valores tanto del conjunto de partida como del de llegada. Considerar situaciones en las que se da el valor correspondiente a la unidad y eventualmente otros pares de valores, y situaciones en las que los datos no incluyen el correspondiente de la unidad, de manera de favorecer la puesta en juego de las relaciones "a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6F7882">
        <w:rPr>
          <w:rFonts w:ascii="RotisSansSerif-Light" w:hAnsi="RotisSansSerif-Light" w:cs="RotisSansSerif-Light"/>
          <w:sz w:val="20"/>
          <w:szCs w:val="20"/>
        </w:rPr>
        <w:t>doble, doble; a triple, triple; a mitad, mitad; a la suma, la suma".</w:t>
      </w:r>
    </w:p>
    <w:p w:rsidR="006F7882" w:rsidRPr="006F7882" w:rsidRDefault="006F7882" w:rsidP="006F788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sz w:val="21"/>
          <w:szCs w:val="21"/>
        </w:rPr>
      </w:pPr>
      <w:r w:rsidRPr="006F7882">
        <w:rPr>
          <w:rFonts w:ascii="RotisSansSerif-Light" w:hAnsi="RotisSansSerif-Light" w:cs="RotisSansSerif-Light"/>
          <w:sz w:val="20"/>
          <w:szCs w:val="20"/>
        </w:rPr>
        <w:lastRenderedPageBreak/>
        <w:t>Elaboración de tablas para organizar los datos y favorecer el análisis de relaciones entre ellos</w:t>
      </w:r>
    </w:p>
    <w:p w:rsidR="006F7882" w:rsidRDefault="006F7882" w:rsidP="006F7882">
      <w:pPr>
        <w:autoSpaceDE w:val="0"/>
        <w:autoSpaceDN w:val="0"/>
        <w:adjustRightInd w:val="0"/>
        <w:spacing w:line="240" w:lineRule="auto"/>
      </w:pPr>
    </w:p>
    <w:p w:rsidR="006F7882" w:rsidRDefault="006F7882" w:rsidP="006F7882">
      <w:pPr>
        <w:autoSpaceDE w:val="0"/>
        <w:autoSpaceDN w:val="0"/>
        <w:adjustRightInd w:val="0"/>
        <w:spacing w:line="240" w:lineRule="auto"/>
        <w:ind w:left="567"/>
        <w:rPr>
          <w:rFonts w:ascii="RotisSansSerif" w:hAnsi="RotisSansSerif" w:cs="RotisSansSerif"/>
          <w:sz w:val="21"/>
          <w:szCs w:val="21"/>
        </w:rPr>
      </w:pPr>
      <w:r>
        <w:rPr>
          <w:rFonts w:ascii="RotisSansSerif" w:hAnsi="RotisSansSerif" w:cs="RotisSansSerif"/>
          <w:sz w:val="28"/>
          <w:szCs w:val="28"/>
        </w:rPr>
        <w:t>P</w:t>
      </w:r>
      <w:r>
        <w:rPr>
          <w:rFonts w:ascii="RotisSansSerif" w:hAnsi="RotisSansSerif" w:cs="RotisSansSerif"/>
          <w:sz w:val="21"/>
          <w:szCs w:val="21"/>
        </w:rPr>
        <w:t>ROPORCIONALIDAD DIRECTA</w:t>
      </w:r>
      <w:r>
        <w:rPr>
          <w:rFonts w:ascii="RotisSansSerif" w:hAnsi="RotisSansSerif" w:cs="RotisSansSerif"/>
          <w:sz w:val="28"/>
          <w:szCs w:val="28"/>
        </w:rPr>
        <w:t xml:space="preserve">, </w:t>
      </w:r>
      <w:r>
        <w:rPr>
          <w:rFonts w:ascii="RotisSansSerif" w:hAnsi="RotisSansSerif" w:cs="RotisSansSerif"/>
          <w:sz w:val="21"/>
          <w:szCs w:val="21"/>
        </w:rPr>
        <w:t>CON NÚMEROS CON COMA</w:t>
      </w:r>
    </w:p>
    <w:p w:rsidR="002C205E" w:rsidRPr="002C205E" w:rsidRDefault="002C205E" w:rsidP="002C205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2C205E">
        <w:rPr>
          <w:rFonts w:ascii="RotisSansSerif-Light" w:hAnsi="RotisSansSerif-Light" w:cs="RotisSansSerif-Light"/>
          <w:sz w:val="20"/>
          <w:szCs w:val="20"/>
        </w:rPr>
        <w:t>Resolución de problemas de proporcionalidad</w:t>
      </w:r>
      <w:r w:rsidRPr="002C205E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2C205E">
        <w:rPr>
          <w:rFonts w:ascii="RotisSansSerif-Light" w:hAnsi="RotisSansSerif-Light" w:cs="RotisSansSerif-Light"/>
          <w:sz w:val="20"/>
          <w:szCs w:val="20"/>
        </w:rPr>
        <w:t>directa en los que una de las</w:t>
      </w:r>
      <w:r w:rsidRPr="002C205E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2C205E">
        <w:rPr>
          <w:rFonts w:ascii="RotisSansSerif-Light" w:hAnsi="RotisSansSerif-Light" w:cs="RotisSansSerif-Light"/>
          <w:sz w:val="20"/>
          <w:szCs w:val="20"/>
        </w:rPr>
        <w:t xml:space="preserve">variables supone la </w:t>
      </w:r>
      <w:r w:rsidRPr="002C205E">
        <w:rPr>
          <w:rFonts w:ascii="RotisSansSerif-Light" w:hAnsi="RotisSansSerif-Light" w:cs="RotisSansSerif-Light"/>
          <w:sz w:val="20"/>
          <w:szCs w:val="20"/>
        </w:rPr>
        <w:t>u</w:t>
      </w:r>
      <w:r w:rsidRPr="002C205E">
        <w:rPr>
          <w:rFonts w:ascii="RotisSansSerif-Light" w:hAnsi="RotisSansSerif-Light" w:cs="RotisSansSerif-Light"/>
          <w:sz w:val="20"/>
          <w:szCs w:val="20"/>
        </w:rPr>
        <w:t>tilización de</w:t>
      </w:r>
      <w:r w:rsidRPr="002C205E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2C205E">
        <w:rPr>
          <w:rFonts w:ascii="RotisSansSerif-Light" w:hAnsi="RotisSansSerif-Light" w:cs="RotisSansSerif-Light"/>
          <w:sz w:val="20"/>
          <w:szCs w:val="20"/>
        </w:rPr>
        <w:t>números con coma.</w:t>
      </w:r>
    </w:p>
    <w:p w:rsidR="002C205E" w:rsidRDefault="002C205E" w:rsidP="002C205E">
      <w:pPr>
        <w:jc w:val="both"/>
        <w:rPr>
          <w:rFonts w:ascii="RotisSansSerif-Light" w:hAnsi="RotisSansSerif-Light" w:cs="RotisSansSerif-Light"/>
          <w:sz w:val="20"/>
          <w:szCs w:val="20"/>
        </w:rPr>
      </w:pPr>
    </w:p>
    <w:p w:rsidR="002C205E" w:rsidRDefault="002C205E" w:rsidP="002C205E">
      <w:pPr>
        <w:jc w:val="both"/>
        <w:rPr>
          <w:rFonts w:ascii="RotisSansSerif-Light" w:hAnsi="RotisSansSerif-Light" w:cs="RotisSansSerif-Light"/>
          <w:sz w:val="20"/>
          <w:szCs w:val="20"/>
        </w:rPr>
      </w:pPr>
    </w:p>
    <w:p w:rsidR="002C205E" w:rsidRDefault="002C205E" w:rsidP="002C205E">
      <w:pPr>
        <w:jc w:val="both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" w:hAnsi="RotisSansSerif" w:cs="RotisSansSerif"/>
          <w:sz w:val="42"/>
          <w:szCs w:val="42"/>
        </w:rPr>
        <w:t>G</w:t>
      </w:r>
      <w:r>
        <w:rPr>
          <w:rFonts w:ascii="RotisSansSerif" w:hAnsi="RotisSansSerif" w:cs="RotisSansSerif"/>
          <w:sz w:val="32"/>
          <w:szCs w:val="32"/>
        </w:rPr>
        <w:t>EOMETRÍA</w:t>
      </w:r>
    </w:p>
    <w:p w:rsidR="002C205E" w:rsidRPr="002C205E" w:rsidRDefault="002C205E" w:rsidP="002C205E">
      <w:pPr>
        <w:rPr>
          <w:rFonts w:ascii="RotisSansSerif-Light" w:hAnsi="RotisSansSerif-Light" w:cs="RotisSansSerif-Light"/>
          <w:sz w:val="20"/>
          <w:szCs w:val="20"/>
        </w:rPr>
      </w:pPr>
    </w:p>
    <w:p w:rsidR="00480EE2" w:rsidRDefault="006A6BB6" w:rsidP="006A6BB6">
      <w:pPr>
        <w:autoSpaceDE w:val="0"/>
        <w:autoSpaceDN w:val="0"/>
        <w:adjustRightInd w:val="0"/>
        <w:spacing w:line="240" w:lineRule="auto"/>
        <w:ind w:left="567"/>
        <w:rPr>
          <w:rFonts w:ascii="RotisSansSerif" w:hAnsi="RotisSansSerif" w:cs="RotisSansSerif"/>
          <w:sz w:val="21"/>
          <w:szCs w:val="21"/>
        </w:rPr>
      </w:pPr>
      <w:r>
        <w:rPr>
          <w:rFonts w:ascii="RotisSansSerif" w:hAnsi="RotisSansSerif" w:cs="RotisSansSerif"/>
          <w:sz w:val="28"/>
          <w:szCs w:val="28"/>
        </w:rPr>
        <w:t>P</w:t>
      </w:r>
      <w:r>
        <w:rPr>
          <w:rFonts w:ascii="RotisSansSerif" w:hAnsi="RotisSansSerif" w:cs="RotisSansSerif"/>
          <w:sz w:val="21"/>
          <w:szCs w:val="21"/>
        </w:rPr>
        <w:t>RIMERAS EXPLORACIONES</w:t>
      </w:r>
      <w:r>
        <w:rPr>
          <w:rFonts w:ascii="RotisSansSerif" w:hAnsi="RotisSansSerif" w:cs="RotisSansSerif"/>
          <w:sz w:val="21"/>
          <w:szCs w:val="21"/>
        </w:rPr>
        <w:t xml:space="preserve"> </w:t>
      </w:r>
      <w:r>
        <w:rPr>
          <w:rFonts w:ascii="RotisSansSerif" w:hAnsi="RotisSansSerif" w:cs="RotisSansSerif"/>
          <w:sz w:val="21"/>
          <w:szCs w:val="21"/>
        </w:rPr>
        <w:t>DE FIGURAS POLIGONALES</w:t>
      </w:r>
      <w:r>
        <w:rPr>
          <w:rFonts w:ascii="RotisSansSerif" w:hAnsi="RotisSansSerif" w:cs="RotisSansSerif"/>
          <w:sz w:val="21"/>
          <w:szCs w:val="21"/>
        </w:rPr>
        <w:t xml:space="preserve"> </w:t>
      </w:r>
      <w:r>
        <w:rPr>
          <w:rFonts w:ascii="RotisSansSerif" w:hAnsi="RotisSansSerif" w:cs="RotisSansSerif"/>
          <w:sz w:val="21"/>
          <w:szCs w:val="21"/>
        </w:rPr>
        <w:t xml:space="preserve">A TRAVÉS DE </w:t>
      </w:r>
      <w:r>
        <w:rPr>
          <w:rFonts w:ascii="RotisSansSerif" w:hAnsi="RotisSansSerif" w:cs="RotisSansSerif"/>
          <w:sz w:val="21"/>
          <w:szCs w:val="21"/>
        </w:rPr>
        <w:t>C</w:t>
      </w:r>
      <w:r>
        <w:rPr>
          <w:rFonts w:ascii="RotisSansSerif" w:hAnsi="RotisSansSerif" w:cs="RotisSansSerif"/>
          <w:sz w:val="21"/>
          <w:szCs w:val="21"/>
        </w:rPr>
        <w:t>ONSTRUCCIONES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Construcción de figuras con ángulos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rectos, usando regla y escuadra, en las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siguientes situaciones: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a) Reproducción de figuras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I) con el modelo presente,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II) con el modelo fuera de la vista del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alumno, previo análisis del mismo.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b) Comunicación de las informaciones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necesarias para que un receptor pueda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reproducir la figura sin haberla visto.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Discusión de la necesidad y la suficiencia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de los elementos identificados para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la comunicación.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A partir del trabajo de construcción,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identificación de los elementos que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caracterizan las figuras: lados, diagonales,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ind w:left="567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vértices.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ind w:left="567"/>
        <w:rPr>
          <w:rFonts w:ascii="RotisSansSerif-Light" w:hAnsi="RotisSansSerif-Light" w:cs="RotisSansSerif-Light"/>
          <w:sz w:val="20"/>
          <w:szCs w:val="20"/>
        </w:rPr>
      </w:pP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" w:hAnsi="RotisSansSerif" w:cs="RotisSansSerif"/>
          <w:sz w:val="28"/>
          <w:szCs w:val="28"/>
        </w:rPr>
      </w:pPr>
      <w:r>
        <w:rPr>
          <w:rFonts w:ascii="RotisSansSerif" w:hAnsi="RotisSansSerif" w:cs="RotisSansSerif"/>
          <w:sz w:val="28"/>
          <w:szCs w:val="28"/>
        </w:rPr>
        <w:t>C</w:t>
      </w:r>
      <w:r>
        <w:rPr>
          <w:rFonts w:ascii="RotisSansSerif" w:hAnsi="RotisSansSerif" w:cs="RotisSansSerif"/>
          <w:sz w:val="21"/>
          <w:szCs w:val="21"/>
        </w:rPr>
        <w:t>IRCUNFERENCIA Y CÍRCULO</w:t>
      </w:r>
      <w:r>
        <w:rPr>
          <w:rFonts w:ascii="RotisSansSerif" w:hAnsi="RotisSansSerif" w:cs="RotisSansSerif"/>
          <w:sz w:val="28"/>
          <w:szCs w:val="28"/>
        </w:rPr>
        <w:t>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ind w:left="567"/>
        <w:rPr>
          <w:rFonts w:ascii="RotisSansSerif" w:hAnsi="RotisSansSerif" w:cs="RotisSansSerif"/>
          <w:sz w:val="21"/>
          <w:szCs w:val="21"/>
        </w:rPr>
      </w:pPr>
      <w:r>
        <w:rPr>
          <w:rFonts w:ascii="RotisSansSerif" w:hAnsi="RotisSansSerif" w:cs="RotisSansSerif"/>
          <w:sz w:val="28"/>
          <w:szCs w:val="28"/>
        </w:rPr>
        <w:t>U</w:t>
      </w:r>
      <w:r>
        <w:rPr>
          <w:rFonts w:ascii="RotisSansSerif" w:hAnsi="RotisSansSerif" w:cs="RotisSansSerif"/>
          <w:sz w:val="21"/>
          <w:szCs w:val="21"/>
        </w:rPr>
        <w:t>SO DEL COMPÁS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Reproducción de figuras que contengan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circunferencias o arcos de circunferencias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ind w:left="567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con regla, escuadra y compás.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Utilización del compás como recurso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para transportar segmentos.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Construcción de cuadrados y rectángulos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en hoja lisa usando escuadra no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graduada y compás.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Resolución de situaciones que impliquen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concebir la circunferencia como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conjunto de puntos que equidistan de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ind w:left="567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un centro.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Resolución de situaciones que impliquen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concebir el círculo como conjunto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de puntos que están a una distancia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del centro menor o igual que una distancia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ind w:left="567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lastRenderedPageBreak/>
        <w:t>dada.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Construcciones que movilicen la definición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ind w:left="567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de circunferencia estudiada.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ind w:left="567"/>
        <w:rPr>
          <w:rFonts w:ascii="RotisSansSerif-Light" w:hAnsi="RotisSansSerif-Light" w:cs="RotisSansSerif-Light"/>
          <w:sz w:val="20"/>
          <w:szCs w:val="20"/>
        </w:rPr>
      </w:pPr>
    </w:p>
    <w:p w:rsidR="006A6BB6" w:rsidRDefault="006A6BB6" w:rsidP="006A6BB6">
      <w:pPr>
        <w:autoSpaceDE w:val="0"/>
        <w:autoSpaceDN w:val="0"/>
        <w:adjustRightInd w:val="0"/>
        <w:spacing w:line="240" w:lineRule="auto"/>
        <w:ind w:left="567"/>
        <w:rPr>
          <w:rFonts w:ascii="RotisSansSerif" w:hAnsi="RotisSansSerif" w:cs="RotisSansSerif"/>
          <w:sz w:val="21"/>
          <w:szCs w:val="21"/>
        </w:rPr>
      </w:pPr>
      <w:r>
        <w:rPr>
          <w:rFonts w:ascii="RotisSansSerif" w:hAnsi="RotisSansSerif" w:cs="RotisSansSerif"/>
          <w:sz w:val="28"/>
          <w:szCs w:val="28"/>
        </w:rPr>
        <w:t>P</w:t>
      </w:r>
      <w:r>
        <w:rPr>
          <w:rFonts w:ascii="RotisSansSerif" w:hAnsi="RotisSansSerif" w:cs="RotisSansSerif"/>
          <w:sz w:val="21"/>
          <w:szCs w:val="21"/>
        </w:rPr>
        <w:t>ROPIEDAD TRIANGULAR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Exploración de las condiciones que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permitan construir un triángulo a partir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de los tres lados.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Identificación de la propiedad triangular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(cada lado menor que la suma de los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ind w:left="567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otros dos).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ind w:left="567"/>
        <w:rPr>
          <w:rFonts w:ascii="RotisSansSerif-Light" w:hAnsi="RotisSansSerif-Light" w:cs="RotisSansSerif-Light"/>
          <w:sz w:val="20"/>
          <w:szCs w:val="20"/>
        </w:rPr>
      </w:pPr>
    </w:p>
    <w:p w:rsidR="006A6BB6" w:rsidRDefault="006A6BB6" w:rsidP="006A6BB6">
      <w:pPr>
        <w:autoSpaceDE w:val="0"/>
        <w:autoSpaceDN w:val="0"/>
        <w:adjustRightInd w:val="0"/>
        <w:spacing w:line="240" w:lineRule="auto"/>
        <w:ind w:left="567"/>
        <w:rPr>
          <w:rFonts w:ascii="RotisSansSerif" w:hAnsi="RotisSansSerif" w:cs="RotisSansSerif"/>
          <w:sz w:val="21"/>
          <w:szCs w:val="21"/>
        </w:rPr>
      </w:pPr>
      <w:r>
        <w:rPr>
          <w:rFonts w:ascii="RotisSansSerif" w:hAnsi="RotisSansSerif" w:cs="RotisSansSerif"/>
          <w:sz w:val="28"/>
          <w:szCs w:val="28"/>
        </w:rPr>
        <w:t>Á</w:t>
      </w:r>
      <w:r>
        <w:rPr>
          <w:rFonts w:ascii="RotisSansSerif" w:hAnsi="RotisSansSerif" w:cs="RotisSansSerif"/>
          <w:sz w:val="21"/>
          <w:szCs w:val="21"/>
        </w:rPr>
        <w:t>NGULOS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Reproducción (con y sin modelo a la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vista) de poligonales abiertas y cerradas.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Identificación de la necesidad de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transportar el ángulo. Uso de "instrumentos"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no convencionales para transportar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ind w:left="567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el ángulo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Reproducción de polígonos (de cuatro,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cinco y seis lados). Identificación de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la información necesaria para reproducir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un polígono. Identificación del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ángulo en la figura. Necesidad de medir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los ángulos para comunicar informaciones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que permiten reproducir un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polígono. Comparación con el triángulo.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Uso del transportador.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Ángulos agudos, rectos y obtusos.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ind w:left="567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Bisectriz de un ángulo.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ind w:left="567"/>
        <w:rPr>
          <w:rFonts w:ascii="RotisSansSerif-Light" w:hAnsi="RotisSansSerif-Light" w:cs="RotisSansSerif-Light"/>
          <w:sz w:val="20"/>
          <w:szCs w:val="20"/>
        </w:rPr>
      </w:pPr>
    </w:p>
    <w:p w:rsidR="006A6BB6" w:rsidRDefault="006A6BB6" w:rsidP="006A6BB6">
      <w:pPr>
        <w:autoSpaceDE w:val="0"/>
        <w:autoSpaceDN w:val="0"/>
        <w:adjustRightInd w:val="0"/>
        <w:spacing w:line="240" w:lineRule="auto"/>
        <w:ind w:left="567"/>
        <w:rPr>
          <w:rFonts w:ascii="RotisSansSerif" w:hAnsi="RotisSansSerif" w:cs="RotisSansSerif"/>
          <w:sz w:val="21"/>
          <w:szCs w:val="21"/>
        </w:rPr>
      </w:pPr>
      <w:r>
        <w:rPr>
          <w:rFonts w:ascii="RotisSansSerif" w:hAnsi="RotisSansSerif" w:cs="RotisSansSerif"/>
          <w:sz w:val="28"/>
          <w:szCs w:val="28"/>
        </w:rPr>
        <w:t>L</w:t>
      </w:r>
      <w:r>
        <w:rPr>
          <w:rFonts w:ascii="RotisSansSerif" w:hAnsi="RotisSansSerif" w:cs="RotisSansSerif"/>
          <w:sz w:val="21"/>
          <w:szCs w:val="21"/>
        </w:rPr>
        <w:t>ONGITUD</w:t>
      </w:r>
      <w:r>
        <w:rPr>
          <w:rFonts w:ascii="RotisSansSerif" w:hAnsi="RotisSansSerif" w:cs="RotisSansSerif"/>
          <w:sz w:val="28"/>
          <w:szCs w:val="28"/>
        </w:rPr>
        <w:t xml:space="preserve">, </w:t>
      </w:r>
      <w:r>
        <w:rPr>
          <w:rFonts w:ascii="RotisSansSerif" w:hAnsi="RotisSansSerif" w:cs="RotisSansSerif"/>
          <w:sz w:val="21"/>
          <w:szCs w:val="21"/>
        </w:rPr>
        <w:t>CAPACIDAD</w:t>
      </w:r>
      <w:r>
        <w:rPr>
          <w:rFonts w:ascii="RotisSansSerif" w:hAnsi="RotisSansSerif" w:cs="RotisSansSerif"/>
          <w:sz w:val="28"/>
          <w:szCs w:val="28"/>
        </w:rPr>
        <w:t xml:space="preserve">, </w:t>
      </w:r>
      <w:r>
        <w:rPr>
          <w:rFonts w:ascii="RotisSansSerif" w:hAnsi="RotisSansSerif" w:cs="RotisSansSerif"/>
          <w:sz w:val="21"/>
          <w:szCs w:val="21"/>
        </w:rPr>
        <w:t>PESO Y TIEMPO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Resolución de problemas que impliquen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la medición de longitudes usando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el metro y el centímetro como unidades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de medida.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Resolución de problemas que exijan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determinar pesos y capacidades. Uso de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instrumentos como balanzas, vasos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graduados, goteros, etcétera. Utilización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del kilo, el gramo y el litro como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unidades de peso y capacidad.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Resolución de problemas que demanden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comparar pesos y capacidades. Uso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de fracciones de las unidades de medida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para determinar y comparar pesos y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capacidades.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Medición de ángulos usando el ángulo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recto como unidad de medida: es la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mitad que un recto, equivale a dos ángulos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ind w:left="567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lastRenderedPageBreak/>
        <w:t>rectos, etcétera.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Uso de relojes y calendarios para localizar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diferentes acontecimientos, ubicarse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en el tiempo y medir duraciones.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Estimación de longitudes, capacidades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y pesos por intermedio de comparaciones,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eligiendo una unidad de medida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conveniente (convencional o no), a "ojo"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ind w:left="567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o por medio del cálculo.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ind w:left="567"/>
        <w:rPr>
          <w:rFonts w:ascii="RotisSansSerif-Light" w:hAnsi="RotisSansSerif-Light" w:cs="RotisSansSerif-Light"/>
          <w:sz w:val="20"/>
          <w:szCs w:val="20"/>
        </w:rPr>
      </w:pPr>
    </w:p>
    <w:p w:rsidR="006A6BB6" w:rsidRDefault="006A6BB6" w:rsidP="006A6BB6">
      <w:pPr>
        <w:autoSpaceDE w:val="0"/>
        <w:autoSpaceDN w:val="0"/>
        <w:adjustRightInd w:val="0"/>
        <w:spacing w:line="240" w:lineRule="auto"/>
        <w:ind w:left="567"/>
        <w:rPr>
          <w:rFonts w:ascii="RotisSansSerif" w:hAnsi="RotisSansSerif" w:cs="RotisSansSerif"/>
          <w:sz w:val="21"/>
          <w:szCs w:val="21"/>
        </w:rPr>
      </w:pPr>
      <w:r>
        <w:rPr>
          <w:rFonts w:ascii="RotisSansSerif" w:hAnsi="RotisSansSerif" w:cs="RotisSansSerif"/>
          <w:sz w:val="28"/>
          <w:szCs w:val="28"/>
        </w:rPr>
        <w:t>P</w:t>
      </w:r>
      <w:r>
        <w:rPr>
          <w:rFonts w:ascii="RotisSansSerif" w:hAnsi="RotisSansSerif" w:cs="RotisSansSerif"/>
          <w:sz w:val="21"/>
          <w:szCs w:val="21"/>
        </w:rPr>
        <w:t>ERÍMETRO</w:t>
      </w:r>
      <w:r>
        <w:rPr>
          <w:rFonts w:ascii="RotisSansSerif" w:hAnsi="RotisSansSerif" w:cs="RotisSansSerif"/>
          <w:sz w:val="28"/>
          <w:szCs w:val="28"/>
        </w:rPr>
        <w:t xml:space="preserve">, </w:t>
      </w:r>
      <w:r>
        <w:rPr>
          <w:rFonts w:ascii="RotisSansSerif" w:hAnsi="RotisSansSerif" w:cs="RotisSansSerif"/>
          <w:sz w:val="21"/>
          <w:szCs w:val="21"/>
        </w:rPr>
        <w:t>ÁREA Y VOLUMEN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Resolución de problemas que impliquen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el cálculo del perímetro de figuras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poligonales por diferentes procedimientos: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medición con regla, con unidades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 xml:space="preserve">fabricadas </w:t>
      </w:r>
      <w:r>
        <w:rPr>
          <w:rFonts w:ascii="RotisSansSerif-Italic" w:hAnsi="RotisSansSerif-Italic" w:cs="RotisSansSerif-Italic"/>
          <w:i/>
          <w:iCs/>
          <w:sz w:val="20"/>
          <w:szCs w:val="20"/>
        </w:rPr>
        <w:t xml:space="preserve">ad hoc, </w:t>
      </w:r>
      <w:r>
        <w:rPr>
          <w:rFonts w:ascii="RotisSansSerif-Light" w:hAnsi="RotisSansSerif-Light" w:cs="RotisSansSerif-Light"/>
          <w:sz w:val="20"/>
          <w:szCs w:val="20"/>
        </w:rPr>
        <w:t>etcétera.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Comparación de los perímetros de dos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figuras diferentes a partir del análisis de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ciertos elementos sin apelar a la medición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efectiva.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hint="eastAsia"/>
          <w:sz w:val="14"/>
          <w:szCs w:val="14"/>
        </w:rPr>
        <w:t>􀁚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Estimación del perímetro de superficies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ind w:left="567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mayores que el aula.</w:t>
      </w:r>
    </w:p>
    <w:p w:rsidR="006A6BB6" w:rsidRDefault="006A6BB6" w:rsidP="006A6BB6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Medición del área de figuras de lados</w:t>
      </w:r>
    </w:p>
    <w:p w:rsidR="006A6BB6" w:rsidRPr="006A6BB6" w:rsidRDefault="006A6BB6" w:rsidP="006A6BB6">
      <w:pPr>
        <w:autoSpaceDE w:val="0"/>
        <w:autoSpaceDN w:val="0"/>
        <w:adjustRightInd w:val="0"/>
        <w:spacing w:line="240" w:lineRule="auto"/>
        <w:ind w:left="567"/>
      </w:pPr>
      <w:r>
        <w:rPr>
          <w:rFonts w:ascii="RotisSansSerif-Light" w:hAnsi="RotisSansSerif-Light" w:cs="RotisSansSerif-Light"/>
          <w:sz w:val="20"/>
          <w:szCs w:val="20"/>
        </w:rPr>
        <w:t>rectos utilizando papel cuadricúlado</w:t>
      </w:r>
    </w:p>
    <w:p w:rsidR="00480EE2" w:rsidRDefault="00480EE2" w:rsidP="00480EE2"/>
    <w:p w:rsidR="006A6BB6" w:rsidRDefault="006A6BB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  <w:sz w:val="32"/>
          <w:szCs w:val="32"/>
        </w:rPr>
      </w:pPr>
      <w:r w:rsidRPr="00324EB3">
        <w:rPr>
          <w:sz w:val="32"/>
          <w:szCs w:val="32"/>
        </w:rPr>
        <w:lastRenderedPageBreak/>
        <w:t xml:space="preserve">Diseño curricular para </w:t>
      </w:r>
      <w:r w:rsidRPr="00324EB3">
        <w:rPr>
          <w:bCs/>
          <w:sz w:val="32"/>
          <w:szCs w:val="32"/>
        </w:rPr>
        <w:t>Prácticas del Lenguaje</w:t>
      </w:r>
    </w:p>
    <w:p w:rsidR="00324EB3" w:rsidRDefault="00324EB3" w:rsidP="00324EB3">
      <w:pPr>
        <w:autoSpaceDE w:val="0"/>
        <w:autoSpaceDN w:val="0"/>
        <w:adjustRightInd w:val="0"/>
        <w:spacing w:line="240" w:lineRule="auto"/>
      </w:pPr>
    </w:p>
    <w:p w:rsidR="00324EB3" w:rsidRDefault="00324EB3" w:rsidP="00324EB3">
      <w:pPr>
        <w:autoSpaceDE w:val="0"/>
        <w:autoSpaceDN w:val="0"/>
        <w:adjustRightInd w:val="0"/>
        <w:spacing w:line="240" w:lineRule="auto"/>
      </w:pP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1. Práctica de la lectura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1.1. Quehaceres generales del lector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1.2. Lectura literaria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1.3. Lectura crítica de la prensa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2. Práctica de la escritura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2.1. Quehaceres generales del escritor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2.2. Escribir como lector, leer como escritor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2.3. Escribir: una forma de participar desde la escuela en la vida ciudadana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3. Hablar en la escuela (y más allá de ella)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3.1. La diversidad lingüística en el aula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3.2. De los contextos interpersonales a los públicos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Hablar en contextos interpersonales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Hablar en contextos más públicos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4. Las prácticas del lenguaje en contextos de estudio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4.1. Operar con diversas fuentes de información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4.2. Registrar y reelaborar la información obtenida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4.3. Compartir con otros los conocimientos construidos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4.4. Confrontar con otras opiniones, tomando posición frente a la información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5. Reflexión sobre el lenguaje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5.1. Lenguaje e interacción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5.2. Lenguaje y diversidad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5.3. Lenguaje y conciencia crítica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5.4. Gramática y estrategias discursivas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left="1440"/>
      </w:pPr>
      <w:r w:rsidRPr="00324EB3">
        <w:t>Del uso a la reflexión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left="1440"/>
      </w:pPr>
      <w:r w:rsidRPr="00324EB3">
        <w:t>Del uso y la reflexión a la sistematización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5.5. Quehaceres del escritor y adquisición del conocimiento ortográfico</w:t>
      </w:r>
    </w:p>
    <w:p w:rsidR="00945621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Contenidos que serán objeto de reflexión sistemática</w:t>
      </w:r>
    </w:p>
    <w:p w:rsidR="002F3267" w:rsidRDefault="002F3267" w:rsidP="002F3267">
      <w:pPr>
        <w:autoSpaceDE w:val="0"/>
        <w:autoSpaceDN w:val="0"/>
        <w:adjustRightInd w:val="0"/>
        <w:spacing w:line="240" w:lineRule="auto"/>
        <w:rPr>
          <w:rFonts w:ascii="RotisSansSerif-Bold" w:hAnsi="RotisSansSerif-Bold" w:cs="RotisSansSerif-Bold"/>
          <w:b/>
          <w:bCs/>
          <w:sz w:val="17"/>
          <w:szCs w:val="17"/>
        </w:rPr>
      </w:pPr>
      <w:r>
        <w:rPr>
          <w:rFonts w:ascii="RotisSansSerif-Bold" w:hAnsi="RotisSansSerif-Bold" w:cs="RotisSansSerif-Bold"/>
          <w:b/>
          <w:bCs/>
        </w:rPr>
        <w:t>C</w:t>
      </w:r>
      <w:r>
        <w:rPr>
          <w:rFonts w:ascii="RotisSansSerif-Bold" w:hAnsi="RotisSansSerif-Bold" w:cs="RotisSansSerif-Bold"/>
          <w:b/>
          <w:bCs/>
          <w:sz w:val="17"/>
          <w:szCs w:val="17"/>
        </w:rPr>
        <w:t>UARTO GRADO</w:t>
      </w:r>
    </w:p>
    <w:p w:rsidR="002F3267" w:rsidRDefault="002F3267" w:rsidP="002F3267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17"/>
          <w:szCs w:val="17"/>
        </w:rPr>
      </w:pPr>
      <w:r>
        <w:rPr>
          <w:rFonts w:hint="eastAsia"/>
          <w:sz w:val="14"/>
          <w:szCs w:val="14"/>
        </w:rPr>
        <w:t>􀁘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</w:rPr>
        <w:t>P</w:t>
      </w:r>
      <w:r>
        <w:rPr>
          <w:rFonts w:ascii="RotisSansSerif-Light" w:hAnsi="RotisSansSerif-Light" w:cs="RotisSansSerif-Light"/>
          <w:sz w:val="17"/>
          <w:szCs w:val="17"/>
        </w:rPr>
        <w:t>RIMER PERÍODO</w:t>
      </w:r>
    </w:p>
    <w:p w:rsidR="002F3267" w:rsidRDefault="002F3267" w:rsidP="002F3267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</w:rPr>
      </w:pPr>
      <w:r>
        <w:rPr>
          <w:rFonts w:ascii="RotisSansSerif-Light" w:hAnsi="RotisSansSerif-Light" w:cs="RotisSansSerif-Light"/>
        </w:rPr>
        <w:t>- Proyecto: antología de cuentos de diferentes subgéneros (lectura y producción</w:t>
      </w:r>
    </w:p>
    <w:p w:rsidR="002F3267" w:rsidRDefault="002F3267" w:rsidP="002F3267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</w:rPr>
      </w:pPr>
      <w:r>
        <w:rPr>
          <w:rFonts w:ascii="RotisSansSerif-Light" w:hAnsi="RotisSansSerif-Light" w:cs="RotisSansSerif-Light"/>
        </w:rPr>
        <w:t>escrita).</w:t>
      </w:r>
    </w:p>
    <w:p w:rsidR="002F3267" w:rsidRDefault="002F3267" w:rsidP="002F3267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</w:rPr>
      </w:pPr>
      <w:r>
        <w:rPr>
          <w:rFonts w:ascii="RotisSansSerif-Light" w:hAnsi="RotisSansSerif-Light" w:cs="RotisSansSerif-Light"/>
        </w:rPr>
        <w:t>- Actividad habitual: lectura de noticias (tres meses).</w:t>
      </w:r>
    </w:p>
    <w:p w:rsidR="002F3267" w:rsidRDefault="002F3267" w:rsidP="002F3267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</w:rPr>
      </w:pPr>
      <w:r>
        <w:rPr>
          <w:rFonts w:ascii="RotisSansSerif-Light" w:hAnsi="RotisSansSerif-Light" w:cs="RotisSansSerif-Light"/>
        </w:rPr>
        <w:t>- Secuencia didáctica: preparación de una exposición, sobre un contenido de</w:t>
      </w:r>
    </w:p>
    <w:p w:rsidR="002F3267" w:rsidRDefault="002F3267" w:rsidP="002F3267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</w:rPr>
      </w:pPr>
      <w:r>
        <w:rPr>
          <w:rFonts w:ascii="RotisSansSerif-Light" w:hAnsi="RotisSansSerif-Light" w:cs="RotisSansSerif-Light"/>
        </w:rPr>
        <w:t>Ciencias Sociales o de Ciencias Naturales (un mes y medio aproximadamente).</w:t>
      </w:r>
    </w:p>
    <w:p w:rsidR="002F3267" w:rsidRDefault="002F3267" w:rsidP="002F3267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17"/>
          <w:szCs w:val="17"/>
        </w:rPr>
      </w:pPr>
      <w:r>
        <w:rPr>
          <w:rFonts w:hint="eastAsia"/>
          <w:sz w:val="14"/>
          <w:szCs w:val="14"/>
        </w:rPr>
        <w:t>􀁘</w:t>
      </w:r>
      <w:r>
        <w:rPr>
          <w:rFonts w:ascii="MonotypeSorts" w:hAnsi="MonotypeSorts" w:cs="MonotypeSorts"/>
          <w:sz w:val="14"/>
          <w:szCs w:val="14"/>
        </w:rPr>
        <w:t xml:space="preserve"> </w:t>
      </w:r>
      <w:r>
        <w:rPr>
          <w:rFonts w:ascii="RotisSansSerif-Light" w:hAnsi="RotisSansSerif-Light" w:cs="RotisSansSerif-Light"/>
        </w:rPr>
        <w:t>S</w:t>
      </w:r>
      <w:r>
        <w:rPr>
          <w:rFonts w:ascii="RotisSansSerif-Light" w:hAnsi="RotisSansSerif-Light" w:cs="RotisSansSerif-Light"/>
          <w:sz w:val="17"/>
          <w:szCs w:val="17"/>
        </w:rPr>
        <w:t>EGUNDO PERÍODO</w:t>
      </w:r>
    </w:p>
    <w:p w:rsidR="002F3267" w:rsidRDefault="002F3267" w:rsidP="002F3267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</w:rPr>
      </w:pPr>
      <w:r>
        <w:rPr>
          <w:rFonts w:ascii="RotisSansSerif-Light" w:hAnsi="RotisSansSerif-Light" w:cs="RotisSansSerif-Light"/>
        </w:rPr>
        <w:t>- Proyecto: producción de un fascículo sobre mitología griega o sobre leyendas</w:t>
      </w:r>
    </w:p>
    <w:p w:rsidR="002F3267" w:rsidRDefault="002F3267" w:rsidP="002F3267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</w:rPr>
      </w:pPr>
      <w:r>
        <w:rPr>
          <w:rFonts w:ascii="RotisSansSerif-Light" w:hAnsi="RotisSansSerif-Light" w:cs="RotisSansSerif-Light"/>
        </w:rPr>
        <w:t>latinoamericanas (incluyendo textos expositivos y reescritura de mitos).</w:t>
      </w:r>
    </w:p>
    <w:p w:rsidR="002F3267" w:rsidRDefault="002F3267" w:rsidP="002F3267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</w:rPr>
      </w:pPr>
      <w:r>
        <w:rPr>
          <w:rFonts w:ascii="RotisSansSerif-Light" w:hAnsi="RotisSansSerif-Light" w:cs="RotisSansSerif-Light"/>
        </w:rPr>
        <w:t>- Actividad habitual: lectura de poemas o fábulas (tres meses).</w:t>
      </w:r>
    </w:p>
    <w:p w:rsidR="002F3267" w:rsidRDefault="002F3267" w:rsidP="002F3267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</w:rPr>
      </w:pPr>
      <w:r>
        <w:rPr>
          <w:rFonts w:ascii="RotisSansSerif-Light" w:hAnsi="RotisSansSerif-Light" w:cs="RotisSansSerif-Light"/>
        </w:rPr>
        <w:t>- Secuencia didáctica: producción de informes sobre una visita relacionada</w:t>
      </w:r>
    </w:p>
    <w:p w:rsidR="002F3267" w:rsidRDefault="002F3267" w:rsidP="002F3267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</w:rPr>
      </w:pPr>
      <w:r>
        <w:rPr>
          <w:rFonts w:ascii="RotisSansSerif-Light" w:hAnsi="RotisSansSerif-Light" w:cs="RotisSansSerif-Light"/>
        </w:rPr>
        <w:t>con un tema de estudio o sobre experiencias realizadas en Ciencias Naturales</w:t>
      </w:r>
    </w:p>
    <w:p w:rsidR="002F3267" w:rsidRDefault="002F3267" w:rsidP="002F3267">
      <w:r>
        <w:rPr>
          <w:rFonts w:ascii="RotisSansSerif-Light" w:hAnsi="RotisSansSerif-Light" w:cs="RotisSansSerif-Light"/>
        </w:rPr>
        <w:t>(un mes aproximadamente).</w:t>
      </w:r>
    </w:p>
    <w:p w:rsidR="002F3267" w:rsidRDefault="002F3267">
      <w:r>
        <w:br w:type="page"/>
      </w:r>
    </w:p>
    <w:p w:rsidR="00945621" w:rsidRDefault="00945621" w:rsidP="00324EB3">
      <w:pPr>
        <w:autoSpaceDE w:val="0"/>
        <w:autoSpaceDN w:val="0"/>
        <w:adjustRightInd w:val="0"/>
        <w:spacing w:line="240" w:lineRule="auto"/>
      </w:pPr>
      <w:bookmarkStart w:id="8" w:name="_GoBack"/>
      <w:bookmarkEnd w:id="8"/>
      <w:r>
        <w:lastRenderedPageBreak/>
        <w:t>Conclusión</w:t>
      </w:r>
    </w:p>
    <w:p w:rsidR="00945621" w:rsidRDefault="00945621" w:rsidP="00324EB3">
      <w:pPr>
        <w:autoSpaceDE w:val="0"/>
        <w:autoSpaceDN w:val="0"/>
        <w:adjustRightInd w:val="0"/>
        <w:spacing w:line="240" w:lineRule="auto"/>
      </w:pPr>
    </w:p>
    <w:p w:rsidR="00945621" w:rsidRPr="00324EB3" w:rsidRDefault="00945621" w:rsidP="00324EB3">
      <w:pPr>
        <w:autoSpaceDE w:val="0"/>
        <w:autoSpaceDN w:val="0"/>
        <w:adjustRightInd w:val="0"/>
        <w:spacing w:line="240" w:lineRule="auto"/>
      </w:pPr>
      <w:r>
        <w:t>Por todo lo anteriormente expresado, llegamos al acuerdo de tomar para el sistema el 2 ciclo de la educación primaria para profundizar y desarrollar el sistema a partir de los campos de estudio q</w:t>
      </w:r>
      <w:r w:rsidR="00C916C6">
        <w:t>ue incluimos en este documento elegimos</w:t>
      </w:r>
      <w:r>
        <w:t xml:space="preserve"> Matemática</w:t>
      </w:r>
      <w:r w:rsidR="00C916C6">
        <w:t>.</w:t>
      </w:r>
    </w:p>
    <w:sectPr w:rsidR="00945621" w:rsidRPr="00324EB3" w:rsidSect="002F31AA">
      <w:headerReference w:type="default" r:id="rId18"/>
      <w:footerReference w:type="default" r:id="rId19"/>
      <w:pgSz w:w="11906" w:h="16838" w:code="9"/>
      <w:pgMar w:top="1440" w:right="992" w:bottom="1440" w:left="1276" w:header="720" w:footer="720" w:gutter="0"/>
      <w:pgNumType w:start="1"/>
      <w:cols w:space="720" w:equalWidth="0">
        <w:col w:w="883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C77" w:rsidRDefault="00DD5C77">
      <w:pPr>
        <w:spacing w:line="240" w:lineRule="auto"/>
      </w:pPr>
      <w:r>
        <w:separator/>
      </w:r>
    </w:p>
  </w:endnote>
  <w:endnote w:type="continuationSeparator" w:id="0">
    <w:p w:rsidR="00DD5C77" w:rsidRDefault="00DD5C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tisSansSerif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RotisSansSerif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Sort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tisSansSeri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tisSansSerif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tisSanSerLigIt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AD7" w:rsidRDefault="009D35E9">
    <w:pPr>
      <w:tabs>
        <w:tab w:val="center" w:pos="4320"/>
        <w:tab w:val="right" w:pos="8640"/>
      </w:tabs>
      <w:spacing w:line="240" w:lineRule="auto"/>
      <w:jc w:val="center"/>
    </w:pPr>
    <w:r>
      <w:rPr>
        <w:sz w:val="20"/>
        <w:szCs w:val="20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7A42C1">
      <w:rPr>
        <w:noProof/>
      </w:rPr>
      <w:t>17</w:t>
    </w:r>
    <w:r>
      <w:fldChar w:fldCharType="end"/>
    </w:r>
    <w:r>
      <w:rPr>
        <w:sz w:val="20"/>
        <w:szCs w:val="20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7A42C1">
      <w:rPr>
        <w:noProof/>
      </w:rPr>
      <w:t>17</w:t>
    </w:r>
    <w:r>
      <w:fldChar w:fldCharType="end"/>
    </w:r>
  </w:p>
  <w:p w:rsidR="005D5AD7" w:rsidRDefault="009D35E9">
    <w:pPr>
      <w:tabs>
        <w:tab w:val="center" w:pos="4320"/>
        <w:tab w:val="right" w:pos="8640"/>
      </w:tabs>
      <w:spacing w:after="720" w:line="240" w:lineRule="auto"/>
    </w:pPr>
    <w:r>
      <w:rPr>
        <w:sz w:val="16"/>
        <w:szCs w:val="16"/>
      </w:rPr>
      <w:t xml:space="preserve"> Mag. Ing. Gabriela Salem </w:t>
    </w:r>
    <w:r>
      <w:rPr>
        <w:sz w:val="16"/>
        <w:szCs w:val="16"/>
      </w:rPr>
      <w:tab/>
    </w:r>
    <w:r>
      <w:rPr>
        <w:sz w:val="16"/>
        <w:szCs w:val="16"/>
      </w:rPr>
      <w:tab/>
      <w:t>Template 2016</w:t>
    </w:r>
  </w:p>
  <w:p w:rsidR="005D5AD7" w:rsidRDefault="005D5A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C77" w:rsidRDefault="00DD5C77">
      <w:pPr>
        <w:spacing w:line="240" w:lineRule="auto"/>
      </w:pPr>
      <w:r>
        <w:separator/>
      </w:r>
    </w:p>
  </w:footnote>
  <w:footnote w:type="continuationSeparator" w:id="0">
    <w:p w:rsidR="00DD5C77" w:rsidRDefault="00DD5C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AD7" w:rsidRDefault="005D5AD7">
    <w:pPr>
      <w:widowControl w:val="0"/>
    </w:pPr>
  </w:p>
  <w:tbl>
    <w:tblPr>
      <w:tblStyle w:val="a0"/>
      <w:tblW w:w="10485" w:type="dxa"/>
      <w:tblInd w:w="-441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010"/>
      <w:gridCol w:w="3330"/>
      <w:gridCol w:w="3180"/>
      <w:gridCol w:w="1965"/>
    </w:tblGrid>
    <w:tr w:rsidR="005D5AD7">
      <w:trPr>
        <w:trHeight w:val="480"/>
      </w:trPr>
      <w:tc>
        <w:tcPr>
          <w:tcW w:w="2010" w:type="dxa"/>
          <w:vMerge w:val="restart"/>
          <w:vAlign w:val="center"/>
        </w:tcPr>
        <w:p w:rsidR="005D5AD7" w:rsidRDefault="009D35E9">
          <w:pPr>
            <w:spacing w:line="240" w:lineRule="auto"/>
            <w:jc w:val="center"/>
          </w:pPr>
          <w:r>
            <w:rPr>
              <w:noProof/>
            </w:rPr>
            <w:drawing>
              <wp:inline distT="0" distB="0" distL="114300" distR="114300">
                <wp:extent cx="1075055" cy="916940"/>
                <wp:effectExtent l="0" t="0" r="0" b="0"/>
                <wp:docPr id="1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0" w:type="dxa"/>
          <w:gridSpan w:val="2"/>
          <w:vAlign w:val="bottom"/>
        </w:tcPr>
        <w:p w:rsidR="005D5AD7" w:rsidRDefault="009D35E9" w:rsidP="002F31AA">
          <w:pPr>
            <w:spacing w:line="240" w:lineRule="auto"/>
            <w:jc w:val="center"/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Sistema Ad</w:t>
          </w:r>
          <w:r w:rsidR="002F31AA">
            <w:rPr>
              <w:rFonts w:ascii="Open Sans" w:eastAsia="Open Sans" w:hAnsi="Open Sans" w:cs="Open Sans"/>
              <w:b/>
              <w:sz w:val="20"/>
              <w:szCs w:val="20"/>
            </w:rPr>
            <w:t>aptativo de Formación Educativa</w:t>
          </w:r>
        </w:p>
      </w:tc>
      <w:tc>
        <w:tcPr>
          <w:tcW w:w="1965" w:type="dxa"/>
          <w:vMerge w:val="restart"/>
          <w:vAlign w:val="center"/>
        </w:tcPr>
        <w:p w:rsidR="005D5AD7" w:rsidRDefault="009D35E9">
          <w:pPr>
            <w:widowControl w:val="0"/>
            <w:spacing w:line="240" w:lineRule="auto"/>
            <w:ind w:right="68"/>
            <w:jc w:val="center"/>
          </w:pPr>
          <w:r>
            <w:rPr>
              <w:noProof/>
            </w:rPr>
            <w:drawing>
              <wp:inline distT="114300" distB="114300" distL="114300" distR="114300">
                <wp:extent cx="981075" cy="749300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5D5AD7">
      <w:trPr>
        <w:trHeight w:val="480"/>
      </w:trPr>
      <w:tc>
        <w:tcPr>
          <w:tcW w:w="2010" w:type="dxa"/>
          <w:vMerge/>
          <w:vAlign w:val="center"/>
        </w:tcPr>
        <w:p w:rsidR="005D5AD7" w:rsidRDefault="005D5AD7">
          <w:pPr>
            <w:spacing w:before="720" w:line="240" w:lineRule="auto"/>
          </w:pPr>
        </w:p>
      </w:tc>
      <w:tc>
        <w:tcPr>
          <w:tcW w:w="6510" w:type="dxa"/>
          <w:gridSpan w:val="2"/>
          <w:vAlign w:val="bottom"/>
        </w:tcPr>
        <w:p w:rsidR="005D5AD7" w:rsidRDefault="009D35E9">
          <w:pPr>
            <w:spacing w:line="240" w:lineRule="auto"/>
            <w:jc w:val="center"/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K5152 – 5508</w:t>
          </w:r>
        </w:p>
      </w:tc>
      <w:tc>
        <w:tcPr>
          <w:tcW w:w="1965" w:type="dxa"/>
          <w:vMerge/>
          <w:vAlign w:val="center"/>
        </w:tcPr>
        <w:p w:rsidR="005D5AD7" w:rsidRDefault="005D5AD7">
          <w:pPr>
            <w:spacing w:before="720" w:line="240" w:lineRule="auto"/>
          </w:pPr>
        </w:p>
      </w:tc>
    </w:tr>
    <w:tr w:rsidR="005D5AD7">
      <w:trPr>
        <w:trHeight w:val="260"/>
      </w:trPr>
      <w:tc>
        <w:tcPr>
          <w:tcW w:w="2010" w:type="dxa"/>
          <w:vMerge/>
          <w:vAlign w:val="center"/>
        </w:tcPr>
        <w:p w:rsidR="005D5AD7" w:rsidRDefault="005D5AD7">
          <w:pPr>
            <w:spacing w:before="720" w:line="240" w:lineRule="auto"/>
          </w:pPr>
        </w:p>
      </w:tc>
      <w:tc>
        <w:tcPr>
          <w:tcW w:w="3330" w:type="dxa"/>
          <w:vAlign w:val="bottom"/>
        </w:tcPr>
        <w:p w:rsidR="005D5AD7" w:rsidRDefault="009D35E9">
          <w:pPr>
            <w:spacing w:line="240" w:lineRule="auto"/>
            <w:jc w:val="center"/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Versión 1.0</w:t>
          </w:r>
        </w:p>
      </w:tc>
      <w:tc>
        <w:tcPr>
          <w:tcW w:w="3180" w:type="dxa"/>
          <w:vAlign w:val="bottom"/>
        </w:tcPr>
        <w:p w:rsidR="005D5AD7" w:rsidRDefault="002F31AA" w:rsidP="002F31AA">
          <w:pPr>
            <w:spacing w:line="240" w:lineRule="auto"/>
            <w:jc w:val="center"/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03</w:t>
          </w:r>
          <w:r w:rsidR="009D35E9">
            <w:rPr>
              <w:rFonts w:ascii="Open Sans" w:eastAsia="Open Sans" w:hAnsi="Open Sans" w:cs="Open Sans"/>
              <w:b/>
              <w:sz w:val="20"/>
              <w:szCs w:val="20"/>
            </w:rPr>
            <w:t>/</w:t>
          </w:r>
          <w:r>
            <w:rPr>
              <w:rFonts w:ascii="Open Sans" w:eastAsia="Open Sans" w:hAnsi="Open Sans" w:cs="Open Sans"/>
              <w:b/>
              <w:sz w:val="20"/>
              <w:szCs w:val="20"/>
            </w:rPr>
            <w:t>06</w:t>
          </w:r>
          <w:r w:rsidR="009D35E9">
            <w:rPr>
              <w:rFonts w:ascii="Open Sans" w:eastAsia="Open Sans" w:hAnsi="Open Sans" w:cs="Open Sans"/>
              <w:b/>
              <w:sz w:val="20"/>
              <w:szCs w:val="20"/>
            </w:rPr>
            <w:t>/2016</w:t>
          </w:r>
        </w:p>
      </w:tc>
      <w:tc>
        <w:tcPr>
          <w:tcW w:w="1965" w:type="dxa"/>
          <w:vMerge/>
          <w:vAlign w:val="center"/>
        </w:tcPr>
        <w:p w:rsidR="005D5AD7" w:rsidRDefault="005D5AD7">
          <w:pPr>
            <w:spacing w:before="720" w:line="240" w:lineRule="auto"/>
          </w:pPr>
        </w:p>
      </w:tc>
    </w:tr>
  </w:tbl>
  <w:p w:rsidR="005D5AD7" w:rsidRDefault="005D5AD7">
    <w:pPr>
      <w:tabs>
        <w:tab w:val="center" w:pos="4320"/>
        <w:tab w:val="right" w:pos="864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C7B43"/>
    <w:multiLevelType w:val="hybridMultilevel"/>
    <w:tmpl w:val="39EC82B6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31D5C"/>
    <w:multiLevelType w:val="hybridMultilevel"/>
    <w:tmpl w:val="0F2EAFCC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22E33"/>
    <w:multiLevelType w:val="multilevel"/>
    <w:tmpl w:val="3A1A52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BA8189D"/>
    <w:multiLevelType w:val="hybridMultilevel"/>
    <w:tmpl w:val="FDF08D04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A578E"/>
    <w:multiLevelType w:val="hybridMultilevel"/>
    <w:tmpl w:val="4118CA2E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545C8"/>
    <w:multiLevelType w:val="hybridMultilevel"/>
    <w:tmpl w:val="CD943F82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B7A71"/>
    <w:multiLevelType w:val="hybridMultilevel"/>
    <w:tmpl w:val="19AAE732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96C43"/>
    <w:multiLevelType w:val="hybridMultilevel"/>
    <w:tmpl w:val="14F69580"/>
    <w:lvl w:ilvl="0" w:tplc="769495A8">
      <w:start w:val="5"/>
      <w:numFmt w:val="bullet"/>
      <w:lvlText w:val="-"/>
      <w:lvlJc w:val="left"/>
      <w:pPr>
        <w:ind w:left="114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681700F0"/>
    <w:multiLevelType w:val="multilevel"/>
    <w:tmpl w:val="683643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9913667"/>
    <w:multiLevelType w:val="hybridMultilevel"/>
    <w:tmpl w:val="7CA8C36E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A007D"/>
    <w:multiLevelType w:val="hybridMultilevel"/>
    <w:tmpl w:val="A6127ABC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D5AD7"/>
    <w:rsid w:val="002319C9"/>
    <w:rsid w:val="002A1B1F"/>
    <w:rsid w:val="002C205E"/>
    <w:rsid w:val="002F31AA"/>
    <w:rsid w:val="002F3267"/>
    <w:rsid w:val="00324EB3"/>
    <w:rsid w:val="00480EE2"/>
    <w:rsid w:val="00570EB6"/>
    <w:rsid w:val="005D5AD7"/>
    <w:rsid w:val="00690B90"/>
    <w:rsid w:val="006A6BB6"/>
    <w:rsid w:val="006F7882"/>
    <w:rsid w:val="007725BB"/>
    <w:rsid w:val="007A42C1"/>
    <w:rsid w:val="00945621"/>
    <w:rsid w:val="009D35E9"/>
    <w:rsid w:val="00A247CF"/>
    <w:rsid w:val="00AD6FE9"/>
    <w:rsid w:val="00B521BF"/>
    <w:rsid w:val="00C71135"/>
    <w:rsid w:val="00C916C6"/>
    <w:rsid w:val="00DD5C77"/>
    <w:rsid w:val="00FB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BE884"/>
  <w15:docId w15:val="{795FE9A4-35DF-4850-BC03-CFD1F158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F31A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31AA"/>
  </w:style>
  <w:style w:type="paragraph" w:styleId="Piedepgina">
    <w:name w:val="footer"/>
    <w:basedOn w:val="Normal"/>
    <w:link w:val="PiedepginaCar"/>
    <w:uiPriority w:val="99"/>
    <w:unhideWhenUsed/>
    <w:rsid w:val="002F31A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1AA"/>
  </w:style>
  <w:style w:type="paragraph" w:styleId="Prrafodelista">
    <w:name w:val="List Paragraph"/>
    <w:basedOn w:val="Normal"/>
    <w:uiPriority w:val="34"/>
    <w:qFormat/>
    <w:rsid w:val="00C91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17</Pages>
  <Words>4081</Words>
  <Characters>22451</Characters>
  <Application>Microsoft Office Word</Application>
  <DocSecurity>0</DocSecurity>
  <Lines>187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MONTANIEZ, CINTHIA [AG-Contractor/5000]</dc:creator>
  <cp:lastModifiedBy>MONTANIEZ, CINTHIA [AG-Contractor/5000]</cp:lastModifiedBy>
  <cp:revision>10</cp:revision>
  <dcterms:created xsi:type="dcterms:W3CDTF">2016-06-03T19:06:00Z</dcterms:created>
  <dcterms:modified xsi:type="dcterms:W3CDTF">2016-06-24T12:39:00Z</dcterms:modified>
</cp:coreProperties>
</file>