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175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230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A17577" w:rsidRDefault="00DE4E1F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ATLASCORP SA</w:t>
            </w:r>
          </w:p>
          <w:p w:rsidR="00A17577" w:rsidRDefault="00DE4E1F">
            <w:r>
              <w:rPr>
                <w:color w:val="C49A3C"/>
                <w:sz w:val="20"/>
                <w:szCs w:val="20"/>
              </w:rPr>
              <w:t>Direction Administrative et Financière</w:t>
            </w:r>
          </w:p>
        </w:tc>
      </w:tr>
    </w:tbl>
    <w:p w:rsidR="00301DFF" w:rsidRDefault="00301DFF" w:rsidP="00301DFF">
      <w:pPr>
        <w:spacing w:before="300"/>
      </w:pPr>
      <w:bookmarkStart w:id="0" w:name="_GoBack"/>
      <w:r>
        <w:rPr>
          <w:noProof/>
        </w:rPr>
        <w:drawing>
          <wp:inline distT="0" distB="0" distL="0" distR="0" wp14:anchorId="7B616C20" wp14:editId="637E14F0">
            <wp:extent cx="2075563" cy="2390775"/>
            <wp:effectExtent l="0" t="0" r="127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fil Safa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686" cy="24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17577" w:rsidRDefault="00DE4E1F" w:rsidP="00301DFF">
      <w:pPr>
        <w:spacing w:before="300"/>
      </w:pPr>
      <w:r>
        <w:rPr>
          <w:b/>
          <w:bCs/>
          <w:color w:val="1E2230"/>
          <w:sz w:val="56"/>
          <w:szCs w:val="56"/>
        </w:rPr>
        <w:t>COMPTE RENDU</w:t>
      </w:r>
    </w:p>
    <w:p w:rsidR="00A17577" w:rsidRDefault="00DE4E1F">
      <w:pPr>
        <w:pBdr>
          <w:bottom w:val="single" w:sz="8" w:space="6" w:color="C49A3C"/>
        </w:pBdr>
        <w:spacing w:after="60"/>
      </w:pPr>
      <w:r>
        <w:rPr>
          <w:b/>
          <w:bCs/>
          <w:color w:val="2E5F9F"/>
          <w:sz w:val="30"/>
          <w:szCs w:val="30"/>
        </w:rPr>
        <w:t>Suivi Budget vs Réalisé — Exercice 2024</w:t>
      </w:r>
    </w:p>
    <w:p w:rsidR="00A17577" w:rsidRDefault="00A17577">
      <w:pPr>
        <w:spacing w:before="16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Société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proofErr w:type="spellStart"/>
            <w:r>
              <w:rPr>
                <w:color w:val="1E2230"/>
                <w:sz w:val="20"/>
                <w:szCs w:val="20"/>
              </w:rPr>
              <w:t>AtlasCorp</w:t>
            </w:r>
            <w:proofErr w:type="spellEnd"/>
            <w:r>
              <w:rPr>
                <w:color w:val="1E2230"/>
                <w:sz w:val="20"/>
                <w:szCs w:val="20"/>
              </w:rPr>
              <w:t xml:space="preserve"> SA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Exercice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color w:val="1E2230"/>
                <w:sz w:val="20"/>
                <w:szCs w:val="20"/>
              </w:rPr>
              <w:t>2024 (Janvier – Décembre)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Établi par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color w:val="1E2230"/>
                <w:sz w:val="20"/>
                <w:szCs w:val="20"/>
              </w:rPr>
              <w:t>Direction Administrative et Financière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Réalisée par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proofErr w:type="spellStart"/>
            <w:r>
              <w:rPr>
                <w:b/>
                <w:bCs/>
                <w:color w:val="2E5F9F"/>
                <w:sz w:val="20"/>
                <w:szCs w:val="20"/>
              </w:rPr>
              <w:t>Safae</w:t>
            </w:r>
            <w:proofErr w:type="spellEnd"/>
            <w:r>
              <w:rPr>
                <w:b/>
                <w:bCs/>
                <w:color w:val="2E5F9F"/>
                <w:sz w:val="20"/>
                <w:szCs w:val="20"/>
              </w:rPr>
              <w:t xml:space="preserve"> Abou-El-</w:t>
            </w:r>
            <w:proofErr w:type="spellStart"/>
            <w:proofErr w:type="gramStart"/>
            <w:r>
              <w:rPr>
                <w:b/>
                <w:bCs/>
                <w:color w:val="2E5F9F"/>
                <w:sz w:val="20"/>
                <w:szCs w:val="20"/>
              </w:rPr>
              <w:t>Ouyoun</w:t>
            </w:r>
            <w:proofErr w:type="spellEnd"/>
            <w:r>
              <w:rPr>
                <w:color w:val="1E2230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1E2230"/>
                <w:sz w:val="20"/>
                <w:szCs w:val="20"/>
              </w:rPr>
              <w:t xml:space="preserve">  Réalisatrice du Projet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Diffusion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color w:val="1E2230"/>
                <w:sz w:val="20"/>
                <w:szCs w:val="20"/>
              </w:rPr>
              <w:t>Direction Générale · Comité de Direction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Date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color w:val="1E2230"/>
                <w:sz w:val="20"/>
                <w:szCs w:val="20"/>
              </w:rPr>
              <w:t>28 Mars 2024</w:t>
            </w:r>
          </w:p>
        </w:tc>
      </w:tr>
      <w:tr w:rsidR="00A17577">
        <w:tc>
          <w:tcPr>
            <w:tcW w:w="24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b/>
                <w:bCs/>
                <w:color w:val="1E2230"/>
                <w:sz w:val="20"/>
                <w:szCs w:val="20"/>
              </w:rPr>
              <w:t>Référence</w:t>
            </w:r>
          </w:p>
        </w:tc>
        <w:tc>
          <w:tcPr>
            <w:tcW w:w="66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7577" w:rsidRDefault="00DE4E1F">
            <w:r>
              <w:rPr>
                <w:color w:val="1E2230"/>
                <w:sz w:val="20"/>
                <w:szCs w:val="20"/>
              </w:rPr>
              <w:t>CR-DAF-2024-BUD-001</w:t>
            </w:r>
          </w:p>
        </w:tc>
      </w:tr>
    </w:tbl>
    <w:p w:rsidR="00A17577" w:rsidRDefault="00A17577">
      <w:pPr>
        <w:spacing w:before="400"/>
      </w:pPr>
    </w:p>
    <w:tbl>
      <w:tblPr>
        <w:tblW w:w="9026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17577">
        <w:tc>
          <w:tcPr>
            <w:tcW w:w="9026" w:type="dxa"/>
            <w:tcBorders>
              <w:top w:val="single" w:sz="8" w:space="0" w:color="B83232"/>
              <w:left w:val="single" w:sz="8" w:space="0" w:color="B83232"/>
              <w:bottom w:val="single" w:sz="8" w:space="0" w:color="B83232"/>
              <w:right w:val="single" w:sz="8" w:space="0" w:color="B83232"/>
            </w:tcBorders>
            <w:shd w:val="clear" w:color="auto" w:fill="FD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17577" w:rsidRDefault="00DE4E1F">
            <w:pPr>
              <w:spacing w:after="60"/>
            </w:pPr>
            <w:proofErr w:type="gramStart"/>
            <w:r>
              <w:rPr>
                <w:b/>
                <w:bCs/>
                <w:color w:val="B83232"/>
              </w:rPr>
              <w:t>⚑  ALERTE</w:t>
            </w:r>
            <w:proofErr w:type="gramEnd"/>
            <w:r>
              <w:rPr>
                <w:b/>
                <w:bCs/>
                <w:color w:val="B83232"/>
              </w:rPr>
              <w:t xml:space="preserve"> BUDGÉTAIRE GLOBALE</w:t>
            </w:r>
          </w:p>
          <w:p w:rsidR="00A17577" w:rsidRDefault="00DE4E1F">
            <w:r>
              <w:rPr>
                <w:color w:val="1E2230"/>
                <w:sz w:val="20"/>
                <w:szCs w:val="20"/>
              </w:rPr>
              <w:t>Dépassement consolidé de 352.000 MAD (+2.50 %) sur un budget total de 14,065 M MAD. Trois départements sur quatre sont en situation de dépassement.</w:t>
            </w:r>
          </w:p>
        </w:tc>
      </w:tr>
    </w:tbl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t>1. RÉSUMÉ EXÉCUTIF</w:t>
      </w:r>
    </w:p>
    <w:p w:rsidR="00A17577" w:rsidRDefault="00DE4E1F">
      <w:pPr>
        <w:spacing w:before="80" w:after="100"/>
      </w:pPr>
      <w:r>
        <w:rPr>
          <w:color w:val="1E2230"/>
        </w:rPr>
        <w:t>Le présent compte rendu analyse l'exécution budgétaire d'</w:t>
      </w:r>
      <w:proofErr w:type="spellStart"/>
      <w:r>
        <w:rPr>
          <w:color w:val="1E2230"/>
        </w:rPr>
        <w:t>AtlasCorp</w:t>
      </w:r>
      <w:proofErr w:type="spellEnd"/>
      <w:r>
        <w:rPr>
          <w:color w:val="1E2230"/>
        </w:rPr>
        <w:t xml:space="preserve"> SA pour l'exercice 2024. Il couvre l'ensemble des quatre départements — Ressources Humaines, Marketing &amp; Communication, Production &amp; Opérations, et IT / Digital — sur la période janvier à décembre 2024.</w:t>
      </w:r>
    </w:p>
    <w:p w:rsidR="00A17577" w:rsidRDefault="00DE4E1F">
      <w:pPr>
        <w:spacing w:before="180" w:after="80"/>
      </w:pPr>
      <w:r>
        <w:rPr>
          <w:b/>
          <w:bCs/>
          <w:color w:val="2E5F9F"/>
        </w:rPr>
        <w:t>Synthèse globale</w:t>
      </w:r>
    </w:p>
    <w:p w:rsidR="00A17577" w:rsidRDefault="00DE4E1F">
      <w:pPr>
        <w:spacing w:before="60" w:after="100"/>
      </w:pPr>
      <w:r>
        <w:rPr>
          <w:color w:val="1E2230"/>
        </w:rPr>
        <w:t>Le budget total alloué pour l'exercice s'élève à 14,065 M MAD, pour un réalisé de 14,417 M MAD, soit un dépassement net de 352.000 MAD (+2.50 %). Ce résultat traduit une tension budgétaire significative, principalement portée par les départements Marketing et Production.</w:t>
      </w:r>
    </w:p>
    <w:p w:rsidR="00A17577" w:rsidRDefault="00DE4E1F">
      <w:pPr>
        <w:spacing w:before="180" w:after="80"/>
      </w:pPr>
      <w:r>
        <w:rPr>
          <w:b/>
          <w:bCs/>
          <w:color w:val="2E5F9F"/>
        </w:rPr>
        <w:lastRenderedPageBreak/>
        <w:t>Points clés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3 départements sur 4 présentent un dépassement budgétaire en 2024.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Le département IT / Digital est le seul à afficher une économie nette (-8.000 MAD, soit -0.43 %).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Le dépassement le plus important en valeur absolue concerne la Production (199 000 MAD).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Le dépassement le plus important en pourcentage concerne le Marketing (+5,93 %).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Le T4 concentre les écarts les plus élevés sur la majorité des départements.</w:t>
      </w:r>
    </w:p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t>2. TABLEAU DE BORD CONSOLIDÉ</w:t>
      </w:r>
    </w:p>
    <w:p w:rsidR="00A17577" w:rsidRDefault="00DE4E1F">
      <w:pPr>
        <w:spacing w:before="60" w:after="120"/>
      </w:pPr>
      <w:r>
        <w:rPr>
          <w:color w:val="1E2230"/>
        </w:rPr>
        <w:t>Le tableau suivant présente la synthèse annuelle des réalisations budgétaires par département.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350"/>
        <w:gridCol w:w="1050"/>
        <w:gridCol w:w="1126"/>
      </w:tblGrid>
      <w:tr w:rsidR="00A17577">
        <w:trPr>
          <w:tblHeader/>
        </w:trPr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Département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 (MAD)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Réalisé (MAD)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 (MAD)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 (%)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Ressources Humaines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3,485 M MAD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3,506 M MAD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+21.000 MAD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+0.60 %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BF0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6320"/>
                <w:sz w:val="20"/>
                <w:szCs w:val="20"/>
              </w:rPr>
              <w:t>Modéré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Marketing &amp; Communication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2,360 M MAD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2,500 M MAD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+140.000 MAD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+5.93 %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Élevé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Production &amp; Opérations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6,355 M MAD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6,554 M MAD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+199.000 MAD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+3.13 %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Élevé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IT / Digital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1,865 M MAD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1,857 M MAD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1F7A52"/>
                <w:sz w:val="20"/>
                <w:szCs w:val="20"/>
              </w:rPr>
              <w:t>-8.000 MAD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1F7A52"/>
                <w:sz w:val="20"/>
                <w:szCs w:val="20"/>
              </w:rPr>
              <w:t>-0.43 %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1F7A52"/>
                <w:sz w:val="20"/>
                <w:szCs w:val="20"/>
              </w:rPr>
              <w:t>Faible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FFFFFF"/>
                <w:sz w:val="20"/>
                <w:szCs w:val="20"/>
              </w:rPr>
              <w:t>TOTAL GLOBAL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14,065 M MAD</w:t>
            </w:r>
          </w:p>
        </w:tc>
        <w:tc>
          <w:tcPr>
            <w:tcW w:w="1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14,417 M MAD</w:t>
            </w:r>
          </w:p>
        </w:tc>
        <w:tc>
          <w:tcPr>
            <w:tcW w:w="13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C49A3C"/>
                <w:sz w:val="20"/>
                <w:szCs w:val="20"/>
              </w:rPr>
              <w:t>+352.000 MAD</w:t>
            </w:r>
          </w:p>
        </w:tc>
        <w:tc>
          <w:tcPr>
            <w:tcW w:w="105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C49A3C"/>
                <w:sz w:val="20"/>
                <w:szCs w:val="20"/>
              </w:rPr>
              <w:t>+2.50 %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color w:val="FFFFFF"/>
                <w:sz w:val="20"/>
                <w:szCs w:val="20"/>
              </w:rPr>
              <w:t>—</w:t>
            </w:r>
          </w:p>
        </w:tc>
      </w:tr>
    </w:tbl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t>3. ANALYSE DÉTAILLÉE PAR DÉPARTEMENT</w:t>
      </w:r>
    </w:p>
    <w:p w:rsidR="00A17577" w:rsidRDefault="00DE4E1F">
      <w:pPr>
        <w:spacing w:before="180" w:after="80"/>
      </w:pPr>
      <w:proofErr w:type="gramStart"/>
      <w:r>
        <w:rPr>
          <w:b/>
          <w:bCs/>
          <w:color w:val="2E5F9F"/>
        </w:rPr>
        <w:t>3.1  Ressources</w:t>
      </w:r>
      <w:proofErr w:type="gramEnd"/>
      <w:r>
        <w:rPr>
          <w:b/>
          <w:bCs/>
          <w:color w:val="2E5F9F"/>
        </w:rPr>
        <w:t xml:space="preserve"> Humaines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00"/>
        <w:gridCol w:w="1126"/>
      </w:tblGrid>
      <w:tr w:rsidR="00A17577">
        <w:trPr>
          <w:tblHeader/>
        </w:trPr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Réalisé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B863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</w:tr>
      <w:tr w:rsidR="00A17577"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3,485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3,506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+21.000 MAD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+0.60 %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BF0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6320"/>
                <w:sz w:val="20"/>
                <w:szCs w:val="20"/>
              </w:rPr>
              <w:t>Modéré</w:t>
            </w:r>
          </w:p>
        </w:tc>
      </w:tr>
    </w:tbl>
    <w:p w:rsidR="00A17577" w:rsidRDefault="00A17577">
      <w:pPr>
        <w:spacing w:before="80"/>
      </w:pPr>
    </w:p>
    <w:p w:rsidR="00A17577" w:rsidRDefault="00DE4E1F">
      <w:pPr>
        <w:spacing w:before="40" w:after="40"/>
      </w:pPr>
      <w:r>
        <w:rPr>
          <w:b/>
          <w:bCs/>
          <w:color w:val="B83232"/>
        </w:rPr>
        <w:t>Statut : DÉPASSEMENT de 21.000 MAD (+0.60 %).</w:t>
      </w:r>
    </w:p>
    <w:p w:rsidR="00A17577" w:rsidRDefault="00DE4E1F">
      <w:pPr>
        <w:spacing w:before="20" w:after="100"/>
      </w:pPr>
      <w:r>
        <w:rPr>
          <w:i/>
          <w:iCs/>
          <w:color w:val="555555"/>
        </w:rPr>
        <w:t>Légère hausse des recrutements en T4.</w:t>
      </w:r>
    </w:p>
    <w:p w:rsidR="00A17577" w:rsidRDefault="00DE4E1F">
      <w:pPr>
        <w:spacing w:before="180" w:after="80"/>
      </w:pPr>
      <w:proofErr w:type="gramStart"/>
      <w:r>
        <w:rPr>
          <w:b/>
          <w:bCs/>
          <w:color w:val="2E5F9F"/>
        </w:rPr>
        <w:t>3.2  Marketing</w:t>
      </w:r>
      <w:proofErr w:type="gramEnd"/>
      <w:r>
        <w:rPr>
          <w:b/>
          <w:bCs/>
          <w:color w:val="2E5F9F"/>
        </w:rPr>
        <w:t xml:space="preserve"> &amp; Communication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00"/>
        <w:gridCol w:w="1126"/>
      </w:tblGrid>
      <w:tr w:rsidR="00A17577">
        <w:trPr>
          <w:tblHeader/>
        </w:trPr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Réalisé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B832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</w:tr>
      <w:tr w:rsidR="00A17577"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2,360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2,500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+140.000 MAD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+5.93 %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Élevé</w:t>
            </w:r>
          </w:p>
        </w:tc>
      </w:tr>
    </w:tbl>
    <w:p w:rsidR="00A17577" w:rsidRDefault="00A17577">
      <w:pPr>
        <w:spacing w:before="80"/>
      </w:pPr>
    </w:p>
    <w:p w:rsidR="00A17577" w:rsidRDefault="00DE4E1F">
      <w:pPr>
        <w:spacing w:before="40" w:after="40"/>
      </w:pPr>
      <w:r>
        <w:rPr>
          <w:b/>
          <w:bCs/>
          <w:color w:val="B83232"/>
        </w:rPr>
        <w:t>Statut : DÉPASSEMENT de 140.000 MAD (+5.93 %).</w:t>
      </w:r>
    </w:p>
    <w:p w:rsidR="00A17577" w:rsidRDefault="00DE4E1F">
      <w:pPr>
        <w:spacing w:before="20" w:after="100"/>
      </w:pPr>
      <w:r>
        <w:rPr>
          <w:i/>
          <w:iCs/>
          <w:color w:val="555555"/>
        </w:rPr>
        <w:t xml:space="preserve">Dépassements liés au Ramadan, l'Aïd Al </w:t>
      </w:r>
      <w:proofErr w:type="spellStart"/>
      <w:r>
        <w:rPr>
          <w:i/>
          <w:iCs/>
          <w:color w:val="555555"/>
        </w:rPr>
        <w:t>Adha</w:t>
      </w:r>
      <w:proofErr w:type="spellEnd"/>
      <w:r>
        <w:rPr>
          <w:i/>
          <w:iCs/>
          <w:color w:val="555555"/>
        </w:rPr>
        <w:t xml:space="preserve"> et la campagne fin d'année.</w:t>
      </w:r>
    </w:p>
    <w:p w:rsidR="00A17577" w:rsidRDefault="00DE4E1F">
      <w:pPr>
        <w:spacing w:before="180" w:after="80"/>
      </w:pPr>
      <w:proofErr w:type="gramStart"/>
      <w:r>
        <w:rPr>
          <w:b/>
          <w:bCs/>
          <w:color w:val="2E5F9F"/>
        </w:rPr>
        <w:t>3.3  Production</w:t>
      </w:r>
      <w:proofErr w:type="gramEnd"/>
      <w:r>
        <w:rPr>
          <w:b/>
          <w:bCs/>
          <w:color w:val="2E5F9F"/>
        </w:rPr>
        <w:t xml:space="preserve"> &amp; Opérations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00"/>
        <w:gridCol w:w="1126"/>
      </w:tblGrid>
      <w:tr w:rsidR="00A17577">
        <w:trPr>
          <w:tblHeader/>
        </w:trPr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Réalisé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B832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</w:tr>
      <w:tr w:rsidR="00A17577"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6,355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6,554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+199.000 MAD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+3.13 %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B83232"/>
                <w:sz w:val="20"/>
                <w:szCs w:val="20"/>
              </w:rPr>
              <w:t>Élevé</w:t>
            </w:r>
          </w:p>
        </w:tc>
      </w:tr>
    </w:tbl>
    <w:p w:rsidR="00A17577" w:rsidRDefault="00A17577">
      <w:pPr>
        <w:spacing w:before="80"/>
      </w:pPr>
    </w:p>
    <w:p w:rsidR="00A17577" w:rsidRDefault="00DE4E1F">
      <w:pPr>
        <w:spacing w:before="40" w:after="40"/>
      </w:pPr>
      <w:r>
        <w:rPr>
          <w:b/>
          <w:bCs/>
          <w:color w:val="B83232"/>
        </w:rPr>
        <w:t>Statut : DÉPASSEMENT de 199.000 MAD (+3.13 %).</w:t>
      </w:r>
    </w:p>
    <w:p w:rsidR="00A17577" w:rsidRDefault="00DE4E1F">
      <w:pPr>
        <w:spacing w:before="20" w:after="100"/>
      </w:pPr>
      <w:r>
        <w:rPr>
          <w:i/>
          <w:iCs/>
          <w:color w:val="555555"/>
        </w:rPr>
        <w:t>Hausse des matières premières et des coûts énergétiques.</w:t>
      </w:r>
    </w:p>
    <w:p w:rsidR="00F97CD8" w:rsidRDefault="00F97CD8">
      <w:pPr>
        <w:spacing w:before="180" w:after="80"/>
        <w:rPr>
          <w:b/>
          <w:bCs/>
          <w:color w:val="2E5F9F"/>
        </w:rPr>
      </w:pPr>
    </w:p>
    <w:p w:rsidR="00E06CEA" w:rsidRDefault="00E06CEA">
      <w:pPr>
        <w:spacing w:before="180" w:after="80"/>
        <w:rPr>
          <w:b/>
          <w:bCs/>
          <w:color w:val="2E5F9F"/>
        </w:rPr>
      </w:pPr>
    </w:p>
    <w:p w:rsidR="00A17577" w:rsidRDefault="00DE4E1F">
      <w:pPr>
        <w:spacing w:before="180" w:after="80"/>
      </w:pPr>
      <w:r>
        <w:rPr>
          <w:b/>
          <w:bCs/>
          <w:color w:val="2E5F9F"/>
        </w:rPr>
        <w:lastRenderedPageBreak/>
        <w:t>3.4  IT / Digital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00"/>
        <w:gridCol w:w="1126"/>
      </w:tblGrid>
      <w:tr w:rsidR="00A17577">
        <w:trPr>
          <w:tblHeader/>
        </w:trPr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Réalisé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F7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</w:tr>
      <w:tr w:rsidR="00A17577"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1,865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E2230"/>
                <w:sz w:val="20"/>
                <w:szCs w:val="20"/>
              </w:rPr>
              <w:t>1,857 M MAD</w:t>
            </w:r>
          </w:p>
        </w:tc>
        <w:tc>
          <w:tcPr>
            <w:tcW w:w="22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1F7A52"/>
                <w:sz w:val="20"/>
                <w:szCs w:val="20"/>
              </w:rPr>
              <w:t>-8.000 MAD</w:t>
            </w:r>
          </w:p>
        </w:tc>
        <w:tc>
          <w:tcPr>
            <w:tcW w:w="13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1F7A52"/>
                <w:sz w:val="20"/>
                <w:szCs w:val="20"/>
              </w:rPr>
              <w:t>-0.43 %</w:t>
            </w:r>
          </w:p>
        </w:tc>
        <w:tc>
          <w:tcPr>
            <w:tcW w:w="1126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E6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1F7A52"/>
                <w:sz w:val="20"/>
                <w:szCs w:val="20"/>
              </w:rPr>
              <w:t>Faible</w:t>
            </w:r>
          </w:p>
        </w:tc>
      </w:tr>
    </w:tbl>
    <w:p w:rsidR="00A17577" w:rsidRDefault="00A17577">
      <w:pPr>
        <w:spacing w:before="80"/>
      </w:pPr>
    </w:p>
    <w:p w:rsidR="00A17577" w:rsidRDefault="00DE4E1F">
      <w:pPr>
        <w:spacing w:before="40" w:after="40"/>
      </w:pPr>
      <w:r>
        <w:rPr>
          <w:b/>
          <w:bCs/>
          <w:color w:val="1F7A52"/>
        </w:rPr>
        <w:t>Statut : ÉCONOMIE de 8.000 MAD (-0.43 %).</w:t>
      </w:r>
    </w:p>
    <w:p w:rsidR="00A17577" w:rsidRDefault="00DE4E1F">
      <w:pPr>
        <w:spacing w:before="20" w:after="100"/>
      </w:pPr>
      <w:r>
        <w:rPr>
          <w:i/>
          <w:iCs/>
          <w:color w:val="555555"/>
        </w:rPr>
        <w:t xml:space="preserve">Bonne maîtrise budgétaire, économies réalisées sur les licences </w:t>
      </w:r>
      <w:proofErr w:type="spellStart"/>
      <w:r>
        <w:rPr>
          <w:i/>
          <w:iCs/>
          <w:color w:val="555555"/>
        </w:rPr>
        <w:t>cloud</w:t>
      </w:r>
      <w:proofErr w:type="spellEnd"/>
      <w:r>
        <w:rPr>
          <w:i/>
          <w:iCs/>
          <w:color w:val="555555"/>
        </w:rPr>
        <w:t>.</w:t>
      </w:r>
    </w:p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t>4. ANALYSE TRIMESTRIELLE DES ÉCARTS</w:t>
      </w:r>
    </w:p>
    <w:p w:rsidR="00A17577" w:rsidRDefault="00DE4E1F">
      <w:pPr>
        <w:spacing w:before="60" w:after="120"/>
      </w:pPr>
      <w:r>
        <w:rPr>
          <w:color w:val="1E2230"/>
        </w:rPr>
        <w:t>Le tableau ci-après détaille les écarts (Réalisé − Budget) par trimestre et par département.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31"/>
        <w:gridCol w:w="1631"/>
        <w:gridCol w:w="1631"/>
        <w:gridCol w:w="1633"/>
      </w:tblGrid>
      <w:tr w:rsidR="00A17577">
        <w:trPr>
          <w:tblHeader/>
        </w:trPr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Département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T1 Jan–Mar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T2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–Jun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T3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–Sep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2E5F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T4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Oct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–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Déc</w:t>
            </w:r>
            <w:proofErr w:type="spellEnd"/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Ressources Humaines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+6.000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+7.000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F7A52"/>
                <w:sz w:val="20"/>
                <w:szCs w:val="20"/>
              </w:rPr>
              <w:t>-1.000 MAD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+9.000 MAD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Marketing &amp; Communication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+15.000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+41.000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+9.000 MAD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+75.000 MAD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Production &amp; Opérations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+27.000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+39.000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+76.000 MAD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+57.000 MAD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1E2230"/>
                <w:sz w:val="19"/>
                <w:szCs w:val="19"/>
              </w:rPr>
              <w:t>IT / Digital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F7A52"/>
                <w:sz w:val="20"/>
                <w:szCs w:val="20"/>
              </w:rPr>
              <w:t>-2.000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+2.000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color w:val="1F7A52"/>
                <w:sz w:val="20"/>
                <w:szCs w:val="20"/>
              </w:rPr>
              <w:t>-11.000 MAD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B83232"/>
                <w:sz w:val="20"/>
                <w:szCs w:val="20"/>
              </w:rPr>
              <w:t>+3.000 MAD</w:t>
            </w:r>
          </w:p>
        </w:tc>
      </w:tr>
      <w:tr w:rsidR="00A17577">
        <w:tc>
          <w:tcPr>
            <w:tcW w:w="2500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C49A3C"/>
                <w:sz w:val="20"/>
                <w:szCs w:val="20"/>
              </w:rPr>
              <w:t>+46.000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C49A3C"/>
                <w:sz w:val="20"/>
                <w:szCs w:val="20"/>
              </w:rPr>
              <w:t>+89.000 MAD</w:t>
            </w:r>
          </w:p>
        </w:tc>
        <w:tc>
          <w:tcPr>
            <w:tcW w:w="1631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C49A3C"/>
                <w:sz w:val="20"/>
                <w:szCs w:val="20"/>
              </w:rPr>
              <w:t>+73.000 MAD</w:t>
            </w:r>
          </w:p>
        </w:tc>
        <w:tc>
          <w:tcPr>
            <w:tcW w:w="1633" w:type="dxa"/>
            <w:tcBorders>
              <w:top w:val="single" w:sz="4" w:space="0" w:color="E4E1DA"/>
              <w:left w:val="single" w:sz="4" w:space="0" w:color="E4E1DA"/>
              <w:bottom w:val="single" w:sz="4" w:space="0" w:color="E4E1DA"/>
              <w:right w:val="single" w:sz="4" w:space="0" w:color="E4E1DA"/>
            </w:tcBorders>
            <w:shd w:val="clear" w:color="auto" w:fill="1E22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7577" w:rsidRDefault="00DE4E1F">
            <w:pPr>
              <w:jc w:val="right"/>
            </w:pPr>
            <w:r>
              <w:rPr>
                <w:b/>
                <w:bCs/>
                <w:color w:val="C49A3C"/>
                <w:sz w:val="20"/>
                <w:szCs w:val="20"/>
              </w:rPr>
              <w:t>+144.000 MAD</w:t>
            </w:r>
          </w:p>
        </w:tc>
      </w:tr>
    </w:tbl>
    <w:p w:rsidR="00A17577" w:rsidRDefault="00A17577">
      <w:pPr>
        <w:spacing w:before="120"/>
      </w:pPr>
    </w:p>
    <w:p w:rsidR="00A17577" w:rsidRDefault="00DE4E1F">
      <w:pPr>
        <w:spacing w:before="40" w:after="120"/>
      </w:pPr>
      <w:r>
        <w:rPr>
          <w:i/>
          <w:iCs/>
          <w:color w:val="555555"/>
        </w:rPr>
        <w:t>Observations : Le T4 est le trimestre le plus déficitaire, concentrant 40 % du dépassement annuel total. Le T3 enregistre l'écart le plus élevé pour la Production (+76 000 MAD) en raison d'une forte activité estivale.</w:t>
      </w:r>
    </w:p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t>5. RISQUES IDENTIFIÉS ET RECOMMANDATIONS</w:t>
      </w:r>
    </w:p>
    <w:p w:rsidR="00A17577" w:rsidRDefault="00DE4E1F">
      <w:pPr>
        <w:spacing w:before="180" w:after="80"/>
      </w:pPr>
      <w:proofErr w:type="gramStart"/>
      <w:r>
        <w:rPr>
          <w:b/>
          <w:bCs/>
          <w:color w:val="2E5F9F"/>
        </w:rPr>
        <w:t>5.1  Risques</w:t>
      </w:r>
      <w:proofErr w:type="gramEnd"/>
      <w:r>
        <w:rPr>
          <w:b/>
          <w:bCs/>
          <w:color w:val="2E5F9F"/>
        </w:rPr>
        <w:t xml:space="preserve"> principaux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Marketing : Récurrence des dépassements lors des événements religieux (Ramadan, Aïd). Absence de provision budgétaire spécifique.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Production : Volatilité des cours des matières premières et de l'énergie non couverte par des mécanismes de couverture.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RH : Accélération des recrutements en fin d'année sans révision budgétaire formelle.</w:t>
      </w:r>
    </w:p>
    <w:p w:rsidR="00A17577" w:rsidRDefault="00A17577">
      <w:pPr>
        <w:spacing w:before="80"/>
      </w:pPr>
    </w:p>
    <w:p w:rsidR="00A17577" w:rsidRDefault="00DE4E1F">
      <w:pPr>
        <w:spacing w:before="180" w:after="80"/>
      </w:pPr>
      <w:proofErr w:type="gramStart"/>
      <w:r>
        <w:rPr>
          <w:b/>
          <w:bCs/>
          <w:color w:val="2E5F9F"/>
        </w:rPr>
        <w:t>5.2  Recommandations</w:t>
      </w:r>
      <w:proofErr w:type="gramEnd"/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 xml:space="preserve">Réviser le budget Marketing pour intégrer une provision calendaire pour les pics saisonniers (Ramadan, Aïd Al </w:t>
      </w:r>
      <w:proofErr w:type="spellStart"/>
      <w:r>
        <w:rPr>
          <w:color w:val="1E2230"/>
          <w:sz w:val="20"/>
          <w:szCs w:val="20"/>
        </w:rPr>
        <w:t>Adha</w:t>
      </w:r>
      <w:proofErr w:type="spellEnd"/>
      <w:r>
        <w:rPr>
          <w:color w:val="1E2230"/>
          <w:sz w:val="20"/>
          <w:szCs w:val="20"/>
        </w:rPr>
        <w:t>, fin d'année).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Mettre en place un suivi mensuel des coûts énergétiques et matières premières avec seuils d'alerte automatiques.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Instaurer une procédure de demande d'avenant budgétaire pour tout dépassement prévisionnel supérieur à 50 000 MAD.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Capitaliser sur le modèle IT / Digital comme référence de bonne gestion budgétaire.</w:t>
      </w:r>
    </w:p>
    <w:p w:rsidR="00A17577" w:rsidRDefault="00DE4E1F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2230"/>
          <w:sz w:val="20"/>
          <w:szCs w:val="20"/>
        </w:rPr>
        <w:t>Organiser une revue budgétaire trimestrielle en comité de direction.</w:t>
      </w:r>
    </w:p>
    <w:p w:rsidR="00F97CD8" w:rsidRDefault="00F97CD8">
      <w:pPr>
        <w:pBdr>
          <w:bottom w:val="single" w:sz="6" w:space="4" w:color="C49A3C"/>
        </w:pBdr>
        <w:spacing w:before="280" w:after="120"/>
        <w:rPr>
          <w:b/>
          <w:bCs/>
          <w:color w:val="1E2230"/>
          <w:sz w:val="26"/>
          <w:szCs w:val="26"/>
        </w:rPr>
      </w:pPr>
    </w:p>
    <w:p w:rsidR="00F97CD8" w:rsidRDefault="00F97CD8">
      <w:pPr>
        <w:pBdr>
          <w:bottom w:val="single" w:sz="6" w:space="4" w:color="C49A3C"/>
        </w:pBdr>
        <w:spacing w:before="280" w:after="120"/>
        <w:rPr>
          <w:b/>
          <w:bCs/>
          <w:color w:val="1E2230"/>
          <w:sz w:val="26"/>
          <w:szCs w:val="26"/>
        </w:rPr>
      </w:pPr>
    </w:p>
    <w:p w:rsidR="00F97CD8" w:rsidRDefault="00F97CD8">
      <w:pPr>
        <w:pBdr>
          <w:bottom w:val="single" w:sz="6" w:space="4" w:color="C49A3C"/>
        </w:pBdr>
        <w:spacing w:before="280" w:after="120"/>
        <w:rPr>
          <w:b/>
          <w:bCs/>
          <w:color w:val="1E2230"/>
          <w:sz w:val="26"/>
          <w:szCs w:val="26"/>
        </w:rPr>
      </w:pPr>
    </w:p>
    <w:p w:rsidR="00A17577" w:rsidRDefault="00DE4E1F">
      <w:pPr>
        <w:pBdr>
          <w:bottom w:val="single" w:sz="6" w:space="4" w:color="C49A3C"/>
        </w:pBdr>
        <w:spacing w:before="280" w:after="120"/>
      </w:pPr>
      <w:r>
        <w:rPr>
          <w:b/>
          <w:bCs/>
          <w:color w:val="1E2230"/>
          <w:sz w:val="26"/>
          <w:szCs w:val="26"/>
        </w:rPr>
        <w:lastRenderedPageBreak/>
        <w:t>6. CONCLUSION</w:t>
      </w:r>
    </w:p>
    <w:p w:rsidR="00A17577" w:rsidRDefault="00DE4E1F">
      <w:pPr>
        <w:spacing w:before="80" w:after="100"/>
      </w:pPr>
      <w:r>
        <w:rPr>
          <w:color w:val="1E2230"/>
        </w:rPr>
        <w:t>L'exercice 2024 se clôture sur un dépassement budgétaire global de 352.000 MAD, soit +2.50 % au-dessus du budget alloué. Si ce niveau reste contenu, il révèle des tensions structurelles dans les départements Marketing et Production qui devront être traitées dans la construction budgétaire 2025.</w:t>
      </w:r>
    </w:p>
    <w:p w:rsidR="00A17577" w:rsidRDefault="00DE4E1F">
      <w:pPr>
        <w:spacing w:after="120"/>
      </w:pPr>
      <w:r>
        <w:rPr>
          <w:color w:val="1E2230"/>
        </w:rPr>
        <w:t xml:space="preserve">Le département IT constitue un exemple de discipline budgétaire à généraliser. La mise en place d'outils de suivi en temps réel et d'un processus formel de révision budgétaire permettra à </w:t>
      </w:r>
      <w:proofErr w:type="spellStart"/>
      <w:r>
        <w:rPr>
          <w:color w:val="1E2230"/>
        </w:rPr>
        <w:t>AtlasCorp</w:t>
      </w:r>
      <w:proofErr w:type="spellEnd"/>
      <w:r>
        <w:rPr>
          <w:color w:val="1E2230"/>
        </w:rPr>
        <w:t xml:space="preserve"> SA d'améliorer significativement sa maîtrise des dépenses pour l'exercice suivant.</w:t>
      </w:r>
    </w:p>
    <w:p w:rsidR="00A17577" w:rsidRDefault="00A17577">
      <w:pPr>
        <w:spacing w:before="200"/>
      </w:pPr>
    </w:p>
    <w:tbl>
      <w:tblPr>
        <w:tblW w:w="902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410"/>
        <w:gridCol w:w="2808"/>
        <w:gridCol w:w="410"/>
        <w:gridCol w:w="2590"/>
      </w:tblGrid>
      <w:tr w:rsidR="00A17577">
        <w:tc>
          <w:tcPr>
            <w:tcW w:w="2808" w:type="dxa"/>
          </w:tcPr>
          <w:p w:rsidR="00A17577" w:rsidRDefault="00DE4E1F">
            <w:r>
              <w:rPr>
                <w:b/>
                <w:bCs/>
                <w:color w:val="2E5F9F"/>
                <w:sz w:val="20"/>
                <w:szCs w:val="20"/>
              </w:rPr>
              <w:t>Réalisatrice du Projet</w:t>
            </w:r>
          </w:p>
          <w:p w:rsidR="00A17577" w:rsidRDefault="00DE4E1F">
            <w:proofErr w:type="spellStart"/>
            <w:r>
              <w:rPr>
                <w:b/>
                <w:bCs/>
                <w:color w:val="1E2230"/>
              </w:rPr>
              <w:t>Safae</w:t>
            </w:r>
            <w:proofErr w:type="spellEnd"/>
            <w:r>
              <w:rPr>
                <w:b/>
                <w:bCs/>
                <w:color w:val="1E2230"/>
              </w:rPr>
              <w:t xml:space="preserve"> Abou-El-</w:t>
            </w:r>
            <w:proofErr w:type="spellStart"/>
            <w:r>
              <w:rPr>
                <w:b/>
                <w:bCs/>
                <w:color w:val="1E2230"/>
              </w:rPr>
              <w:t>Ouyoun</w:t>
            </w:r>
            <w:proofErr w:type="spellEnd"/>
          </w:p>
          <w:p w:rsidR="00A17577" w:rsidRDefault="00A17577">
            <w:pPr>
              <w:spacing w:before="60"/>
            </w:pPr>
          </w:p>
          <w:p w:rsidR="00A17577" w:rsidRDefault="00A17577">
            <w:pPr>
              <w:spacing w:before="40"/>
            </w:pPr>
          </w:p>
        </w:tc>
        <w:tc>
          <w:tcPr>
            <w:tcW w:w="410" w:type="dxa"/>
          </w:tcPr>
          <w:p w:rsidR="00A17577" w:rsidRDefault="00A17577"/>
        </w:tc>
        <w:tc>
          <w:tcPr>
            <w:tcW w:w="2808" w:type="dxa"/>
          </w:tcPr>
          <w:p w:rsidR="00A17577" w:rsidRDefault="00A17577">
            <w:pPr>
              <w:spacing w:before="40"/>
            </w:pPr>
          </w:p>
        </w:tc>
        <w:tc>
          <w:tcPr>
            <w:tcW w:w="410" w:type="dxa"/>
          </w:tcPr>
          <w:p w:rsidR="00A17577" w:rsidRDefault="00A17577"/>
        </w:tc>
        <w:tc>
          <w:tcPr>
            <w:tcW w:w="2590" w:type="dxa"/>
          </w:tcPr>
          <w:p w:rsidR="00A17577" w:rsidRDefault="00A17577">
            <w:pPr>
              <w:spacing w:before="40"/>
            </w:pPr>
          </w:p>
        </w:tc>
      </w:tr>
    </w:tbl>
    <w:p w:rsidR="00A17577" w:rsidRDefault="00A17577" w:rsidP="008E29A7">
      <w:pPr>
        <w:spacing w:before="60"/>
      </w:pPr>
    </w:p>
    <w:sectPr w:rsidR="00A1757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6CE2" w:rsidRDefault="00536CE2">
      <w:r>
        <w:separator/>
      </w:r>
    </w:p>
  </w:endnote>
  <w:endnote w:type="continuationSeparator" w:id="0">
    <w:p w:rsidR="00536CE2" w:rsidRDefault="0053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577" w:rsidRDefault="00DE4E1F">
    <w:pPr>
      <w:pBdr>
        <w:top w:val="single" w:sz="4" w:space="4" w:color="E4E1DA"/>
      </w:pBdr>
      <w:tabs>
        <w:tab w:val="right" w:pos="9026"/>
      </w:tabs>
      <w:spacing w:before="100"/>
    </w:pPr>
    <w:r>
      <w:rPr>
        <w:i/>
        <w:iCs/>
        <w:color w:val="AAAAAA"/>
        <w:sz w:val="16"/>
        <w:szCs w:val="16"/>
      </w:rPr>
      <w:t>Direction Administrative et Financière · Casablanca, Maroc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E06CEA">
      <w:rPr>
        <w:noProof/>
        <w:color w:val="AAAAAA"/>
        <w:sz w:val="16"/>
        <w:szCs w:val="16"/>
      </w:rPr>
      <w:t>2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6CE2" w:rsidRDefault="00536CE2">
      <w:r>
        <w:separator/>
      </w:r>
    </w:p>
  </w:footnote>
  <w:footnote w:type="continuationSeparator" w:id="0">
    <w:p w:rsidR="00536CE2" w:rsidRDefault="00536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577" w:rsidRDefault="00DE4E1F">
    <w:pPr>
      <w:pBdr>
        <w:bottom w:val="single" w:sz="6" w:space="4" w:color="C49A3C"/>
      </w:pBdr>
      <w:tabs>
        <w:tab w:val="right" w:pos="9026"/>
      </w:tabs>
      <w:spacing w:after="100"/>
    </w:pPr>
    <w:r>
      <w:rPr>
        <w:b/>
        <w:bCs/>
        <w:color w:val="1E2230"/>
        <w:sz w:val="18"/>
        <w:szCs w:val="18"/>
      </w:rPr>
      <w:t>ATLASCORP SA</w:t>
    </w:r>
    <w:r>
      <w:rPr>
        <w:sz w:val="18"/>
        <w:szCs w:val="18"/>
      </w:rPr>
      <w:tab/>
    </w:r>
    <w:r>
      <w:rPr>
        <w:i/>
        <w:iCs/>
        <w:color w:val="888888"/>
        <w:sz w:val="16"/>
        <w:szCs w:val="16"/>
      </w:rPr>
      <w:t>Compte Rendu Budgétaire — Exercice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36427"/>
    <w:multiLevelType w:val="hybridMultilevel"/>
    <w:tmpl w:val="09322D76"/>
    <w:lvl w:ilvl="0" w:tplc="6444113C">
      <w:start w:val="1"/>
      <w:numFmt w:val="bullet"/>
      <w:lvlText w:val="●"/>
      <w:lvlJc w:val="left"/>
      <w:pPr>
        <w:ind w:left="720" w:hanging="360"/>
      </w:pPr>
    </w:lvl>
    <w:lvl w:ilvl="1" w:tplc="715A10D8">
      <w:start w:val="1"/>
      <w:numFmt w:val="bullet"/>
      <w:lvlText w:val="○"/>
      <w:lvlJc w:val="left"/>
      <w:pPr>
        <w:ind w:left="1440" w:hanging="360"/>
      </w:pPr>
    </w:lvl>
    <w:lvl w:ilvl="2" w:tplc="AEDEE7AE">
      <w:start w:val="1"/>
      <w:numFmt w:val="bullet"/>
      <w:lvlText w:val="■"/>
      <w:lvlJc w:val="left"/>
      <w:pPr>
        <w:ind w:left="2160" w:hanging="360"/>
      </w:pPr>
    </w:lvl>
    <w:lvl w:ilvl="3" w:tplc="83D64678">
      <w:start w:val="1"/>
      <w:numFmt w:val="bullet"/>
      <w:lvlText w:val="●"/>
      <w:lvlJc w:val="left"/>
      <w:pPr>
        <w:ind w:left="2880" w:hanging="360"/>
      </w:pPr>
    </w:lvl>
    <w:lvl w:ilvl="4" w:tplc="EC7AC340">
      <w:start w:val="1"/>
      <w:numFmt w:val="bullet"/>
      <w:lvlText w:val="○"/>
      <w:lvlJc w:val="left"/>
      <w:pPr>
        <w:ind w:left="3600" w:hanging="360"/>
      </w:pPr>
    </w:lvl>
    <w:lvl w:ilvl="5" w:tplc="1D640C9E">
      <w:start w:val="1"/>
      <w:numFmt w:val="bullet"/>
      <w:lvlText w:val="■"/>
      <w:lvlJc w:val="left"/>
      <w:pPr>
        <w:ind w:left="4320" w:hanging="360"/>
      </w:pPr>
    </w:lvl>
    <w:lvl w:ilvl="6" w:tplc="74823560">
      <w:start w:val="1"/>
      <w:numFmt w:val="bullet"/>
      <w:lvlText w:val="●"/>
      <w:lvlJc w:val="left"/>
      <w:pPr>
        <w:ind w:left="5040" w:hanging="360"/>
      </w:pPr>
    </w:lvl>
    <w:lvl w:ilvl="7" w:tplc="2C5E6E74">
      <w:start w:val="1"/>
      <w:numFmt w:val="bullet"/>
      <w:lvlText w:val="●"/>
      <w:lvlJc w:val="left"/>
      <w:pPr>
        <w:ind w:left="5760" w:hanging="360"/>
      </w:pPr>
    </w:lvl>
    <w:lvl w:ilvl="8" w:tplc="C0A04F2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1EC6E50"/>
    <w:multiLevelType w:val="hybridMultilevel"/>
    <w:tmpl w:val="9748422A"/>
    <w:lvl w:ilvl="0" w:tplc="ACEAF7DE">
      <w:start w:val="1"/>
      <w:numFmt w:val="bullet"/>
      <w:lvlText w:val="•"/>
      <w:lvlJc w:val="left"/>
      <w:pPr>
        <w:ind w:left="560" w:hanging="280"/>
      </w:pPr>
    </w:lvl>
    <w:lvl w:ilvl="1" w:tplc="8746023C">
      <w:numFmt w:val="decimal"/>
      <w:lvlText w:val=""/>
      <w:lvlJc w:val="left"/>
    </w:lvl>
    <w:lvl w:ilvl="2" w:tplc="23E2EBA6">
      <w:numFmt w:val="decimal"/>
      <w:lvlText w:val=""/>
      <w:lvlJc w:val="left"/>
    </w:lvl>
    <w:lvl w:ilvl="3" w:tplc="DF4AC08C">
      <w:numFmt w:val="decimal"/>
      <w:lvlText w:val=""/>
      <w:lvlJc w:val="left"/>
    </w:lvl>
    <w:lvl w:ilvl="4" w:tplc="32763542">
      <w:numFmt w:val="decimal"/>
      <w:lvlText w:val=""/>
      <w:lvlJc w:val="left"/>
    </w:lvl>
    <w:lvl w:ilvl="5" w:tplc="A84E59A6">
      <w:numFmt w:val="decimal"/>
      <w:lvlText w:val=""/>
      <w:lvlJc w:val="left"/>
    </w:lvl>
    <w:lvl w:ilvl="6" w:tplc="90CA3038">
      <w:numFmt w:val="decimal"/>
      <w:lvlText w:val=""/>
      <w:lvlJc w:val="left"/>
    </w:lvl>
    <w:lvl w:ilvl="7" w:tplc="5406F496">
      <w:numFmt w:val="decimal"/>
      <w:lvlText w:val=""/>
      <w:lvlJc w:val="left"/>
    </w:lvl>
    <w:lvl w:ilvl="8" w:tplc="CAEA24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77"/>
    <w:rsid w:val="00301DFF"/>
    <w:rsid w:val="00536CE2"/>
    <w:rsid w:val="008E29A7"/>
    <w:rsid w:val="00A17577"/>
    <w:rsid w:val="00B94B00"/>
    <w:rsid w:val="00D30A09"/>
    <w:rsid w:val="00DE4E1F"/>
    <w:rsid w:val="00E06CEA"/>
    <w:rsid w:val="00F9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40C145D-420D-46E4-9B14-1BAB90D1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240" w:after="160"/>
      <w:outlineLvl w:val="0"/>
    </w:pPr>
    <w:rPr>
      <w:b/>
      <w:bCs/>
      <w:color w:val="1E2230"/>
      <w:sz w:val="36"/>
      <w:szCs w:val="36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2E5F9F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E29A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29A7"/>
  </w:style>
  <w:style w:type="paragraph" w:styleId="Pieddepage">
    <w:name w:val="footer"/>
    <w:basedOn w:val="Normal"/>
    <w:link w:val="PieddepageCar"/>
    <w:uiPriority w:val="99"/>
    <w:unhideWhenUsed/>
    <w:rsid w:val="008E29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2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819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5</cp:revision>
  <dcterms:created xsi:type="dcterms:W3CDTF">2026-03-29T09:12:00Z</dcterms:created>
  <dcterms:modified xsi:type="dcterms:W3CDTF">2026-03-30T22:16:00Z</dcterms:modified>
</cp:coreProperties>
</file>