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 + crewing-validation &amp; tenancy decisions)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facts confirmed 2026-06-24/25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claim; same-PostgreSQL database_name registry; Crewing shore-half validation).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292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spacing w:after="120"/>
      </w:pPr>
      <w:r>
        <w:rPr>
          <w:b/>
          <w:bCs/>
          <w:i w:val="false"/>
          <w:iCs w:val="false"/>
        </w:rPr>
        <w:t xml:space="preserve">Sources / credits: </w:t>
      </w:r>
      <w:r>
        <w:rPr>
          <w:b w:val="false"/>
          <w:bCs w:val="false"/>
          <w:i w:val="false"/>
          <w:iCs w:val="false"/>
        </w:rPr>
        <w:t xml:space="preserve">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database_name</w:t>
      </w:r>
      <w:r>
        <w:rPr>
          <w:b w:val="false"/>
          <w:bCs w:val="false"/>
          <w:i w:val="false"/>
          <w:iCs w:val="false"/>
        </w:rPr>
        <w:t xml:space="preserve"> (not db_url) same-PostgreSQL model was raised by Nilesh in review; the shore-half validation + the tenant/init verification come from Datta’s Crewing implementation docs and code (see §5.3).</w:t>
      </w:r>
    </w:p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SAILERP Bearer to obtain the trustworthy domain for tenant routing. (The role already arrives correctly in deployment — out of Phase 2 scope.)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 No Crewing equivalent — our own original design (§5.3).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 and forwarded; the hardcoded role is a local-dev shim, not a deployed gap; what is missing is server-side token verification (for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routes on the JWT domain path alone (no tenant/init, no x-tenant-id header needed — §5.1);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= one shared tenant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on a ship, Crewing + Technical share ONE tenant identity (one domain, one local SAILERP login). The package resolves tenant context once; both modules inherit it. Technical does NOT resolve tenancy independently of the package.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sync engines (Crewing vs Technical)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Crewing’s sync (built later) is a SEPARATE engine/channel. Technical’s Phase-4 sync-tenancy is Technical-scoped only — X-Sync-Domain carries Technical data, not Crewing’s. Crewing sync is greenfield; may later follow Technical’s pattern, but separately.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Separate master tenant registries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Crewing and Technical use SEPARATE master tenants registries (not one shared). Implication: onboarding a tenant means registering the domain in BOTH registries — a known, accepted two-place operation; loose coupling chosen for module independence.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tenant/init needed on the ship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VERIFIED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(vs Crewing code) — tenant/init only does resolveTenant(domain)→{tuid, companyName} for frontend caching; it does NOT bind/open the tenant DB. Per-request DB selection is in tenantMiddleware, which resolves the tenant from the verified JWT domain claim when no x-tenant-id header is present. The ship’s local SAILERP issues the JWT with the domain claim on every request ⇒ correct tenant-DB routing on the JWT path alone — no tenant/init, no cached x-tenant-id. The x-tenant-id header is an optional shortcut; verifyTenantBinding/tenant_mismatch fires only on the header-present path (cross-checking header vs JWT), and the header-absent path exits before it.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spacing w:after="120"/>
      </w:pPr>
      <w:r>
        <w:rPr>
          <w:i w:val="true"/>
          <w:iCs w:val="true"/>
        </w:rPr>
        <w:t xml:space="preserve">Phase 2 scope clarified — RBAC/role is already correct in deployment (the local hardcode is a dev-only shim); Phase 2 only adds token verification for the tenant domain, and does not modify role handling.</w:t>
      </w:r>
    </w:p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pPr>
        <w:pStyle w:val="Heading2"/>
      </w:pPr>
      <w:r>
        <w:t xml:space="preserve">5.3 Crewing validation status (proven vs our own design)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Datta’s Crewing implementation (cloud/shore only) validates the </w:t>
      </w:r>
      <w:r>
        <w:rPr>
          <w:b/>
          <w:bCs/>
          <w:i w:val="false"/>
          <w:iCs w:val="false"/>
        </w:rPr>
        <w:t xml:space="preserve">shore half</w:t>
      </w:r>
      <w:r>
        <w:rPr>
          <w:b w:val="false"/>
          <w:bCs w:val="false"/>
          <w:i w:val="false"/>
          <w:iCs w:val="false"/>
        </w:rPr>
        <w:t xml:space="preserve"> of this plan against a real, working system. The following are </w:t>
      </w:r>
      <w:r>
        <w:rPr>
          <w:b/>
          <w:bCs/>
          <w:i w:val="false"/>
          <w:iCs w:val="false"/>
        </w:rPr>
        <w:t xml:space="preserve">crewing-validated</w:t>
      </w:r>
      <w:r>
        <w:rPr>
          <w:b w:val="false"/>
          <w:bCs w:val="false"/>
          <w:i w:val="false"/>
          <w:iCs w:val="false"/>
        </w:rPr>
        <w:t xml:space="preserve"> (proven in production-grade code, not just our design):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JWT payload { id, domain, userType }; tenant = the verified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runInTenantContext + AsyncLocalStorage per-request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TenantConnectionManager with per-tenant pool cache + lazy per-tenant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database_name-from-env connection build (NO db_url stored).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Permanent single-tenant fallback when MASTER_DATABASE_URL is unset.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tenant/init = resolve-only convenience; per-request routing via tenantMiddleware on the JWT-domain path.</w:t>
      </w:r>
    </w:p>
    <w:p>
      <w:pPr>
        <w:spacing w:after="120"/>
      </w:pPr>
      <w:r>
        <w:rPr>
          <w:b/>
          <w:bCs/>
          <w:i w:val="false"/>
          <w:iCs w:val="false"/>
          <w:color w:val="A0410D"/>
        </w:rPr>
        <w:t xml:space="preserve">NOT validated by Crewing — our own original design: </w:t>
      </w:r>
      <w:r>
        <w:rPr>
          <w:b w:val="false"/>
          <w:bCs w:val="false"/>
          <w:i w:val="false"/>
          <w:iCs w:val="false"/>
        </w:rPr>
        <w:t xml:space="preserve">the ship→shore SYNC layer (Phase 4) has </w:t>
      </w:r>
      <w:r>
        <w:rPr>
          <w:b/>
          <w:bCs/>
          <w:i w:val="false"/>
          <w:iCs w:val="false"/>
        </w:rPr>
        <w:t xml:space="preserve">NO Crewing equivalent</w:t>
      </w:r>
      <w:r>
        <w:rPr>
          <w:b w:val="false"/>
          <w:bCs w:val="false"/>
          <w:i w:val="false"/>
          <w:iCs w:val="false"/>
        </w:rPr>
        <w:t xml:space="preserve"> — Crewing is cloud/shore-only and has no sync engine. Phase 4 (X-Sync-Domain + fail-closed shore validation + provisioning seed) therefore remains entirely our own design and the highest-risk, unvalidated part of the plan. This is consistent with the existing cross-tenant-write merge gate (§7.2): that two-tenant proof is the substitute for the validation Crewing cannot provide here.</w:t>
      </w:r>
    </w:p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292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292.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292.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 for the tenant domain; resolve tenant from the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(the tenant key).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Role handling is UNCHANGED — </w:t>
      </w:r>
      <w:r>
        <w:rPr>
          <w:b w:val="false"/>
          <w:bCs w:val="false"/>
          <w:i w:val="false"/>
          <w:iCs w:val="false"/>
        </w:rPr>
        <w:t xml:space="preserve">Phase 2 does NOT change role handling — RBAC already works in deployment via the existing SAILERP-integrated path; the local hardcode is a dev shim, left untouched. Mirror Crewing authMiddleware for token verification only (jwt.verify, AUTH_BYPASS dev-only).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Middleware order (matches Crewing index.ts): </w:t>
      </w:r>
      <w:r>
        <w:rPr>
          <w:b w:val="false"/>
          <w:bCs w:val="false"/>
          <w:i w:val="false"/>
          <w:iCs w:val="false"/>
        </w:rPr>
        <w:t xml:space="preserve">tenantMiddleware runs FIRST (resolves tenant + opens runInTenantContext), then authMiddleware. New server/middleware/tenantMiddleware.ts: resolve tenant from verified domain claim → resolveTenant → pre-resolve + CACHE the tenant pool → runInTenantContext(next).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Token-reuse optimization: </w:t>
      </w:r>
      <w:r>
        <w:rPr>
          <w:b w:val="false"/>
          <w:bCs w:val="false"/>
          <w:i w:val="false"/>
          <w:iCs w:val="false"/>
        </w:rPr>
        <w:t xml:space="preserve">if tenantMiddleware already verified the JWT (the domain-fallback path), authMiddleware reuses req.tokenData and SKIPS a duplicate jwt.verify.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Error taxonomy (adopt Crewing’s): </w:t>
      </w:r>
      <w:r>
        <w:rPr>
          <w:b w:val="false"/>
          <w:bCs w:val="false"/>
          <w:i w:val="false"/>
          <w:iCs w:val="false"/>
        </w:rPr>
        <w:t xml:space="preserve">403 invalid_tenant / tenant_inactive; 503 tenant-DB-unavailable; 401 token_expired / invalid_token; 403 tenant_mismatch.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verifyTenantBinding cross-check: </w:t>
      </w:r>
      <w:r>
        <w:rPr>
          <w:b w:val="false"/>
          <w:bCs w:val="false"/>
          <w:i w:val="false"/>
          <w:iCs w:val="false"/>
        </w:rPr>
        <w:t xml:space="preserve">guards the OPTIONAL x-tenant-id header path only — cross-checks the header tuid against the JWT domain (403 tenant_mismatch on disagreement). The header-absent JWT-domain path exits before it. Include only if Technical also supports an x-tenant-id header; the ship path does not need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 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correct tenant DB (domain routing). RBAC is unchanged — out of Phase 2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Header-absent request (JWT domain only) routes correctly and passes auth (no tenant_mismatch, no Missing-header 400) — matches the verified Crewing behaviour. Expired/invalid/missing token handled per the agreed strict-vs-soft policy (Open #1).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case; NO Crewing equivalent (§5.3)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 Technical-scoped only — X-Sync-Domain carries Technical sync data, not Crewing’s (separate engine, §5.1).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292.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292.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Backfill tenant_instances for the 3 existing production ships using their literal current instance IDs - SHIP-Pioneer Venture, SHIP-Frontier Venture, SHIP-Gas Mia (name-based, NOT vesselcode; Option A - existing ships keep their running IDs, new ships use SHIP-&lt;vesselcode&gt;). Confirm each exact string from the ship's sync_settings.instance_id before backfilling - a single character mismatch fails 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Phase 4b update — the WK backfill now sets, per existing ship, BOTH: (a) the tenant_instances map row (literal instance id -&gt; WK domain) AND (b) a generated per-tenant sync_api_key written in TWO places: tenant_instances.sync_api_key (shore, the validation source) and the ship's sync_settings.sync_api_key (so the ship sends it as X-Sync-Api-Key). The ship declares NO domain; shore routes from the instance id alone. New ships get both automatically at provisioning.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FUTURE OPERATIONAL NOTES (Phase 6 tooling built; cut-over NOT executed). Rollout sequence: (1) promote-to-tenant.ts adopts the WK DB (3-check gate); (2) backfill-wk-instances.ts writes the 3 map rows + per-tenant keys (shore-side); (3) set SYNC_LEGACY_KEY_TOLERANCE=true and flip MASTER_DATABASE_URL env-by-env (dev -&gt; staging ~48h -&gt; prod ~7d); ships keep syncing on the legacy key; (4) apply each ship's per-tenant key via PUT /sync/settings (ship auto-prefers it via loadSettings); (5) once all 3 migrated, set SYNC_LEGACY_KEY_TOLERANCE=false -&gt; full per-tenant auth, no outage. Smoke order least-&gt;most critical: Components -&gt; Reports -&gt; Spares -&gt; Stores -&gt; Defects -&gt; Work Orders+RH -&gt; Noon -&gt; Access Control. DECOMMISSION (deferred until prod soaks): drop the single-tenant boot branch, fence mockAuthMiddleware behind AUTH_BYPASS dev-only, remove eager pool/db exports - but KEEP the single-pool fallback for system-context background jobs. Parity gate: scripts/verify-mt-parity.ts (run in a full env where native deps like sharp are installed).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292.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 and the part with NO Crewing precedent (§5.3).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RISK, no Crewing equivalent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 for the tenant domain; middleware order/error-taxonomy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name; tenant/init = resolve-only).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Credits: Nilesh — database_name same-server registry; Datta — Crewing implementation docs/code for shore-half validation + tenant/init verification.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2026-06-24T10:00:57.271Z</dcterms:created>
  <dcterms:modified xsi:type="dcterms:W3CDTF">2026-06-24T10:00:57.275Z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