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two facts confirmed 2026-06-24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203f2f80d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 (diverged 12/11).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368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368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already-forwarded SAILERP Bearer; use the real role for RBAC (today role is hardcoded "Sail Admin").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real, authorization is mock, nothing is verified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(tuid, domain, companyName, db_url, isActive).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Vessel→domain recording: store on vessels, in sync registry, or both (provision-time).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N DBs on one server vs N servers (ops).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368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368.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(tuid, domain UNIQUE, companyName, db_url, isActive, isDeleted, audit cols). New MASTER_DATABASE_URL.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resolveTenant(domain)→tuid+db_url, getTenantDb (lazy per-tenant migration via Phase-0 pool-arg runners),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368.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token; use the real role for RBAC; resolve tenant from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+ real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Use the REAL role for RBAC — </w:t>
      </w:r>
      <w:r>
        <w:rPr>
          <w:b w:val="false"/>
          <w:bCs w:val="false"/>
          <w:i w:val="false"/>
          <w:iCs w:val="false"/>
        </w:rPr>
        <w:t xml:space="preserve">req.user.role becomes the verified role, REPLACING the hardcoded "Sail Admin". requireRole now gates on the real role. Mirror Crewing authMiddleware (jwt.verify, AUTH_BYPASS dev-only, verifyTenantBinding).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New server/middleware/tenantMiddleware.ts: resolve tenant from verified domain claim → resolveTenant → pre-resolve + CACHE the tenant pool → runInTenantContext(next). Accept x-tenant-id and cross-check against the JWT domain (403 on mismatch).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right tenant DB and the real role gates RBAC (a non-admin is correctly denied an admin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Expired/invalid/missing token handled per the agreed strict-vs-soft policy (Open #1). x-tenant-id mismatch → 403.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368.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368;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from sync_settings, set at provisioning); AND (b) shore validates that domain against a provision-time instanceId/vesselId → domain registry 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Record the vessel→domain link at provisioning </w:t>
      </w:r>
      <w:r>
        <w:rPr>
          <w:b w:val="false"/>
          <w:bCs w:val="false"/>
          <w:i w:val="false"/>
          <w:iCs w:val="false"/>
        </w:rPr>
        <w:t xml:space="preserve">(provisioningService writes the mapping; master tenants holds domain→tuid→db_url).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registry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registry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Registry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368.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368.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pointing db_url = current DATABASE_URL.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368.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 + per-tenant X-Sync-Api-Key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against its own provision-time registry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token; real role for RBAC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2026-06-23T08:15:01.329Z</dcterms:created>
  <dcterms:modified xsi:type="dcterms:W3CDTF">2026-06-23T08:15:01.332Z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