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Client. Eight of the eleven items on this schedule, and nothing else is being asked of you.</w:t>
      </w:r>
    </w:p>
    <w:p>
      <w:pPr>
        <w:spacing w:before="40" w:after="120"/>
      </w:pPr>
      <w:r>
        <w:rPr>
          <w:b w:val="0"/>
          <w:i w:val="0"/>
          <w:color w:val="5A5A5A"/>
          <w:sz w:val="18"/>
        </w:rPr>
        <w:t>Reference ENG-CS-2026-08-06-01, client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the client,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EXT-1</w:t>
            </w:r>
          </w:p>
        </w:tc>
        <w:tc>
          <w:tcPr>
            <w:tcW w:type="dxa" w:w="3175"/>
          </w:tcPr>
          <w:p>
            <w:pPr>
              <w:spacing w:after="40" w:before="40"/>
            </w:pPr>
            <w:r>
              <w:t>Live payment credentials and a client-funds account</w:t>
            </w:r>
          </w:p>
        </w:tc>
        <w:tc>
          <w:tcPr>
            <w:tcW w:type="dxa" w:w="4025"/>
          </w:tcPr>
          <w:p>
            <w:pPr>
              <w:spacing w:after="40" w:before="40"/>
            </w:pPr>
            <w:r>
              <w:t>Finance, answering together with you.</w:t>
            </w:r>
          </w:p>
        </w:tc>
        <w:tc>
          <w:tcPr>
            <w:tcW w:type="dxa" w:w="1020"/>
          </w:tcPr>
          <w:p>
            <w:pPr>
              <w:spacing w:after="40" w:before="40"/>
            </w:pPr>
            <w:r>
              <w:t>Part A</w:t>
            </w:r>
          </w:p>
        </w:tc>
      </w:tr>
      <w:tr>
        <w:tc>
          <w:tcPr>
            <w:tcW w:type="dxa" w:w="1077"/>
          </w:tcPr>
          <w:p>
            <w:pPr>
              <w:spacing w:after="40" w:before="40"/>
            </w:pPr>
            <w:r>
              <w:t>EXT-2</w:t>
            </w:r>
          </w:p>
        </w:tc>
        <w:tc>
          <w:tcPr>
            <w:tcW w:type="dxa" w:w="3175"/>
          </w:tcPr>
          <w:p>
            <w:pPr>
              <w:spacing w:after="40" w:before="40"/>
            </w:pPr>
            <w:r>
              <w:t>Object storage bucket, credentials and region</w:t>
            </w:r>
          </w:p>
        </w:tc>
        <w:tc>
          <w:tcPr>
            <w:tcW w:type="dxa" w:w="4025"/>
          </w:tcPr>
          <w:p>
            <w:pPr>
              <w:spacing w:after="40" w:before="40"/>
            </w:pPr>
            <w:r>
              <w:t>Corne Labs, or you. Only one of you answers it, not both.</w:t>
            </w:r>
          </w:p>
        </w:tc>
        <w:tc>
          <w:tcPr>
            <w:tcW w:type="dxa" w:w="1020"/>
          </w:tcPr>
          <w:p>
            <w:pPr>
              <w:spacing w:after="40" w:before="40"/>
            </w:pPr>
            <w:r>
              <w:t>Part A</w:t>
            </w:r>
          </w:p>
        </w:tc>
      </w:tr>
      <w:tr>
        <w:tc>
          <w:tcPr>
            <w:tcW w:type="dxa" w:w="1077"/>
          </w:tcPr>
          <w:p>
            <w:pPr>
              <w:spacing w:after="40" w:before="40"/>
            </w:pPr>
            <w:r>
              <w:t>EXT-3</w:t>
            </w:r>
          </w:p>
        </w:tc>
        <w:tc>
          <w:tcPr>
            <w:tcW w:type="dxa" w:w="3175"/>
          </w:tcPr>
          <w:p>
            <w:pPr>
              <w:spacing w:after="40" w:before="40"/>
            </w:pPr>
            <w:r>
              <w:t>Transactional email domain and authentication</w:t>
            </w:r>
          </w:p>
        </w:tc>
        <w:tc>
          <w:tcPr>
            <w:tcW w:type="dxa" w:w="4025"/>
          </w:tcPr>
          <w:p>
            <w:pPr>
              <w:spacing w:after="40" w:before="40"/>
            </w:pPr>
            <w:r>
              <w:t>Nobody else. This one is yours alone.</w:t>
            </w:r>
          </w:p>
        </w:tc>
        <w:tc>
          <w:tcPr>
            <w:tcW w:type="dxa" w:w="1020"/>
          </w:tcPr>
          <w:p>
            <w:pPr>
              <w:spacing w:after="40" w:before="40"/>
            </w:pPr>
            <w:r>
              <w:t>Part A</w:t>
            </w:r>
          </w:p>
        </w:tc>
      </w:tr>
      <w:tr>
        <w:tc>
          <w:tcPr>
            <w:tcW w:type="dxa" w:w="1077"/>
          </w:tcPr>
          <w:p>
            <w:pPr>
              <w:spacing w:after="40" w:before="40"/>
            </w:pPr>
            <w:r>
              <w:t>EXT-4</w:t>
            </w:r>
          </w:p>
        </w:tc>
        <w:tc>
          <w:tcPr>
            <w:tcW w:type="dxa" w:w="3175"/>
          </w:tcPr>
          <w:p>
            <w:pPr>
              <w:spacing w:after="40" w:before="40"/>
            </w:pPr>
            <w:r>
              <w:t>Counsel-approved instruments and terms</w:t>
            </w:r>
          </w:p>
        </w:tc>
        <w:tc>
          <w:tcPr>
            <w:tcW w:type="dxa" w:w="4025"/>
          </w:tcPr>
          <w:p>
            <w:pPr>
              <w:spacing w:after="40" w:before="40"/>
            </w:pPr>
            <w:r>
              <w:t>Counsel, answering together with you.</w:t>
            </w:r>
          </w:p>
        </w:tc>
        <w:tc>
          <w:tcPr>
            <w:tcW w:type="dxa" w:w="1020"/>
          </w:tcPr>
          <w:p>
            <w:pPr>
              <w:spacing w:after="40" w:before="40"/>
            </w:pPr>
            <w:r>
              <w:t>Part A</w:t>
            </w:r>
          </w:p>
        </w:tc>
      </w:tr>
      <w:tr>
        <w:tc>
          <w:tcPr>
            <w:tcW w:type="dxa" w:w="1077"/>
          </w:tcPr>
          <w:p>
            <w:pPr>
              <w:spacing w:after="40" w:before="40"/>
            </w:pPr>
            <w:r>
              <w:t>EXT-5</w:t>
            </w:r>
          </w:p>
        </w:tc>
        <w:tc>
          <w:tcPr>
            <w:tcW w:type="dxa" w:w="3175"/>
          </w:tcPr>
          <w:p>
            <w:pPr>
              <w:spacing w:after="40" w:before="40"/>
            </w:pPr>
            <w:r>
              <w:t>Privacy notice, retention periods and an adopted policy</w:t>
            </w:r>
          </w:p>
        </w:tc>
        <w:tc>
          <w:tcPr>
            <w:tcW w:type="dxa" w:w="4025"/>
          </w:tcPr>
          <w:p>
            <w:pPr>
              <w:spacing w:after="40" w:before="40"/>
            </w:pPr>
            <w:r>
              <w:t>The board and the data protection officer, answering together with you.</w:t>
            </w:r>
          </w:p>
        </w:tc>
        <w:tc>
          <w:tcPr>
            <w:tcW w:type="dxa" w:w="1020"/>
          </w:tcPr>
          <w:p>
            <w:pPr>
              <w:spacing w:after="40" w:before="40"/>
            </w:pPr>
            <w:r>
              <w:t>Part A</w:t>
            </w:r>
          </w:p>
        </w:tc>
      </w:tr>
      <w:tr>
        <w:tc>
          <w:tcPr>
            <w:tcW w:type="dxa" w:w="1077"/>
          </w:tcPr>
          <w:p>
            <w:pPr>
              <w:spacing w:after="40" w:before="40"/>
            </w:pPr>
            <w:r>
              <w:t>ADR-0003</w:t>
            </w:r>
          </w:p>
        </w:tc>
        <w:tc>
          <w:tcPr>
            <w:tcW w:type="dxa" w:w="3175"/>
          </w:tcPr>
          <w:p>
            <w:pPr>
              <w:spacing w:after="40" w:before="40"/>
            </w:pPr>
            <w:r>
              <w:t>Fail startup rather than silently mock payments</w:t>
            </w:r>
          </w:p>
        </w:tc>
        <w:tc>
          <w:tcPr>
            <w:tcW w:type="dxa" w:w="4025"/>
          </w:tcPr>
          <w:p>
            <w:pPr>
              <w:spacing w:after="40" w:before="40"/>
            </w:pPr>
            <w:r>
              <w:t>Product, answering together with you.</w:t>
            </w:r>
          </w:p>
        </w:tc>
        <w:tc>
          <w:tcPr>
            <w:tcW w:type="dxa" w:w="1020"/>
          </w:tcPr>
          <w:p>
            <w:pPr>
              <w:spacing w:after="40" w:before="40"/>
            </w:pPr>
            <w:r>
              <w:t>Part C</w:t>
            </w:r>
          </w:p>
        </w:tc>
      </w:tr>
      <w:tr>
        <w:tc>
          <w:tcPr>
            <w:tcW w:type="dxa" w:w="1077"/>
          </w:tcPr>
          <w:p>
            <w:pPr>
              <w:spacing w:after="40" w:before="40"/>
            </w:pPr>
            <w:r>
              <w:t>ADR-0004</w:t>
            </w:r>
          </w:p>
        </w:tc>
        <w:tc>
          <w:tcPr>
            <w:tcW w:type="dxa" w:w="3175"/>
          </w:tcPr>
          <w:p>
            <w:pPr>
              <w:spacing w:after="40" w:before="40"/>
            </w:pPr>
            <w:r>
              <w:t>Private documents behind authorization</w:t>
            </w:r>
          </w:p>
        </w:tc>
        <w:tc>
          <w:tcPr>
            <w:tcW w:type="dxa" w:w="4025"/>
          </w:tcPr>
          <w:p>
            <w:pPr>
              <w:spacing w:after="40" w:before="40"/>
            </w:pPr>
            <w:r>
              <w:t>Product and Security, answering together with you.</w:t>
            </w:r>
          </w:p>
        </w:tc>
        <w:tc>
          <w:tcPr>
            <w:tcW w:type="dxa" w:w="1020"/>
          </w:tcPr>
          <w:p>
            <w:pPr>
              <w:spacing w:after="40" w:before="40"/>
            </w:pPr>
            <w:r>
              <w:t>Part C</w:t>
            </w:r>
          </w:p>
        </w:tc>
      </w:tr>
      <w:tr>
        <w:tc>
          <w:tcPr>
            <w:tcW w:type="dxa" w:w="1077"/>
          </w:tcPr>
          <w:p>
            <w:pPr>
              <w:spacing w:after="40" w:before="40"/>
            </w:pPr>
            <w:r>
              <w:t>D3</w:t>
            </w:r>
          </w:p>
        </w:tc>
        <w:tc>
          <w:tcPr>
            <w:tcW w:type="dxa" w:w="3175"/>
          </w:tcPr>
          <w:p>
            <w:pPr>
              <w:spacing w:after="40" w:before="40"/>
            </w:pPr>
            <w:r>
              <w:t>KYC: manual review, or a provider</w:t>
            </w:r>
          </w:p>
        </w:tc>
        <w:tc>
          <w:tcPr>
            <w:tcW w:type="dxa" w:w="4025"/>
          </w:tcPr>
          <w:p>
            <w:pPr>
              <w:spacing w:after="40" w:before="40"/>
            </w:pPr>
            <w:r>
              <w:t>Product, answering together with you.</w:t>
            </w:r>
          </w:p>
        </w:tc>
        <w:tc>
          <w:tcPr>
            <w:tcW w:type="dxa" w:w="1020"/>
          </w:tcPr>
          <w:p>
            <w:pPr>
              <w:spacing w:after="40" w:before="40"/>
            </w:pPr>
            <w:r>
              <w:t>Part D</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EXT-2 is the one item written as an either. It belongs to whichever of the client and Corne Labs holds the storage account. One of you answers it and the other does not need to.</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EXT-1</w:t>
      </w:r>
    </w:p>
    <w:p>
      <w:pPr>
        <w:spacing w:after="120"/>
      </w:pPr>
      <w:r>
        <w:rPr>
          <w:b/>
          <w:color w:val="1A1A1A"/>
          <w:sz w:val="23"/>
        </w:rPr>
        <w:t>Live payment credentials and a ring-fenced client-funds account</w:t>
      </w:r>
    </w:p>
    <w:p>
      <w:pPr>
        <w:spacing w:after="200"/>
        <w:pBdr>
          <w:bottom w:val="single" w:sz="6" w:space="6" w:color="999999"/>
        </w:pBdr>
      </w:pPr>
      <w:r>
        <w:rPr>
          <w:i/>
          <w:color w:val="5A5A5A"/>
          <w:sz w:val="19"/>
        </w:rPr>
        <w:t>Owner: Client, Finance     |     Closes E2-S1, with E2-S3 and E2-S5 behind it. Needed by E9-S4. Moves gates G2 and G6.</w:t>
      </w:r>
    </w:p>
    <w:p>
      <w:pPr>
        <w:spacing w:before="0" w:after="120"/>
      </w:pPr>
      <w:r>
        <w:rPr>
          <w:b/>
          <w:color w:val="1A1A1A"/>
          <w:sz w:val="20"/>
        </w:rPr>
        <w:t xml:space="preserve">Why this is blocking: </w:t>
      </w:r>
      <w:r>
        <w:rPr>
          <w:b w:val="0"/>
          <w:color w:val="1A1A1A"/>
          <w:sz w:val="20"/>
        </w:rPr>
        <w:t>the platform cannot move money it has no account to move it from, and ADR-0002 settled that SafeBuyRealties holds client funds rather than passing them straight through. That makes the account a liability account held apart from operating money, not a merchant account swept into revenue.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Paystack live secret key and live public key.</w:t>
            </w:r>
          </w:p>
          <w:p>
            <w:pPr>
              <w:spacing w:after="40" w:before="0"/>
            </w:pPr>
            <w:r>
              <w:rPr>
                <w:b w:val="0"/>
                <w:i/>
                <w:color w:val="5A5A5A"/>
                <w:sz w:val="17"/>
              </w:rPr>
              <w:t>Do not write the keys here. Write who received them, on what date, and through which channel. Example: issued to A. Olaluwe on 12 August 2026 by password manager share.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signatories on the account.</w:t>
            </w:r>
          </w:p>
          <w:p>
            <w:pPr>
              <w:spacing w:after="40" w:before="0"/>
            </w:pPr>
            <w:r>
              <w:rPr>
                <w:b w:val="0"/>
                <w:i/>
                <w:color w:val="5A5A5A"/>
                <w:sz w:val="17"/>
              </w:rPr>
              <w:t>Format: full name and role for each one. Not "Finance".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authorisation rule for releasing funds from it.</w:t>
            </w:r>
          </w:p>
          <w:p>
            <w:pPr>
              <w:spacing w:after="40" w:before="0"/>
            </w:pPr>
            <w:r>
              <w:rPr>
                <w:b w:val="0"/>
                <w:i/>
                <w:color w:val="5A5A5A"/>
                <w:sz w:val="17"/>
              </w:rPr>
              <w:t>Format: the rule in words. Example: any two of the three signatories, for any amount.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the balance can be reconciled daily, and how.</w:t>
            </w:r>
          </w:p>
          <w:p>
            <w:pPr>
              <w:spacing w:after="40" w:before="0"/>
            </w:pPr>
            <w:r>
              <w:rPr>
                <w:b w:val="0"/>
                <w:i/>
                <w:color w:val="5A5A5A"/>
                <w:sz w:val="17"/>
              </w:rPr>
              <w:t>Format: yes or no, who does it, and what they read it from, being a portal, a statement or an API. Section 11.1 of the finance specification obliges the platform to reconcile it and only the account's operator can do that.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section 14.2 approval to activate payments in production.</w:t>
            </w:r>
          </w:p>
          <w:p>
            <w:pPr>
              <w:spacing w:after="40" w:before="0"/>
            </w:pPr>
            <w:r>
              <w:rPr>
                <w:b w:val="0"/>
                <w:i/>
                <w:color w:val="5A5A5A"/>
                <w:sz w:val="17"/>
              </w:rPr>
              <w:t>Format: the words "I approve production activation", a full name, a role and a date. Approval to build is not approval to operate, and gate G6 closes on this signature rather than on any code.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live Paystack credentials were issued to [name] on [date] by [channel]. The</w:t>
            </w:r>
          </w:p>
        </w:tc>
      </w:tr>
      <w:tr>
        <w:tc>
          <w:tcPr>
            <w:tcW w:type="dxa" w:w="9298"/>
            <w:shd w:val="clear" w:fill="F7F7F7"/>
          </w:tcPr>
          <w:p>
            <w:pPr>
              <w:spacing w:after="40" w:before="40"/>
            </w:pPr>
            <w:r/>
            <w:r>
              <w:rPr>
                <w:b w:val="0"/>
                <w:i/>
                <w:color w:val="1A1A1A"/>
                <w:sz w:val="19"/>
              </w:rPr>
              <w:t>client-funds account is [bank], account name [name], number [10 digits], held under a</w:t>
            </w:r>
          </w:p>
        </w:tc>
      </w:tr>
      <w:tr>
        <w:tc>
          <w:tcPr>
            <w:tcW w:type="dxa" w:w="9298"/>
            <w:shd w:val="clear" w:fill="F7F7F7"/>
          </w:tcPr>
          <w:p>
            <w:pPr>
              <w:spacing w:after="40" w:before="40"/>
            </w:pPr>
            <w:r/>
            <w:r>
              <w:rPr>
                <w:b w:val="0"/>
                <w:i/>
                <w:color w:val="1A1A1A"/>
                <w:sz w:val="19"/>
              </w:rPr>
              <w:t>mandate dated [date] that ring-fences it from operating funds. Signatories are [names</w:t>
            </w:r>
          </w:p>
        </w:tc>
      </w:tr>
      <w:tr>
        <w:tc>
          <w:tcPr>
            <w:tcW w:type="dxa" w:w="9298"/>
            <w:shd w:val="clear" w:fill="F7F7F7"/>
          </w:tcPr>
          <w:p>
            <w:pPr>
              <w:spacing w:after="40" w:before="40"/>
            </w:pPr>
            <w:r/>
            <w:r>
              <w:rPr>
                <w:b w:val="0"/>
                <w:i/>
                <w:color w:val="1A1A1A"/>
                <w:sz w:val="19"/>
              </w:rPr>
              <w:t>and roles]. A release requires [rule]. The balance is reconciled [how, by whom].</w:t>
            </w:r>
          </w:p>
        </w:tc>
      </w:tr>
      <w:tr>
        <w:tc>
          <w:tcPr>
            <w:tcW w:type="dxa" w:w="9298"/>
            <w:shd w:val="clear" w:fill="F7F7F7"/>
          </w:tcPr>
          <w:p>
            <w:pPr>
              <w:spacing w:after="40" w:before="40"/>
            </w:pPr>
            <w:r/>
            <w:r>
              <w:rPr>
                <w:b w:val="0"/>
                <w:i/>
                <w:color w:val="1A1A1A"/>
                <w:sz w:val="19"/>
              </w:rPr>
              <w:t>I approve production activation under section 14.2: [name], [role], [date].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PAYMENT_CREDENTIALS.md, which records where a credential lives and never its value. The EXT-1 row, the E2-S1 entry and the gate G6 note in the outstanding backlog. ADR-0002, for the activation approval.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EXT-1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EXT-2</w:t>
      </w:r>
    </w:p>
    <w:p>
      <w:pPr>
        <w:spacing w:after="120"/>
      </w:pPr>
      <w:r>
        <w:rPr>
          <w:b/>
          <w:color w:val="1A1A1A"/>
          <w:sz w:val="23"/>
        </w:rPr>
        <w:t>Object storage bucket, credentials and region</w:t>
      </w:r>
    </w:p>
    <w:p>
      <w:pPr>
        <w:spacing w:after="200"/>
        <w:pBdr>
          <w:bottom w:val="single" w:sz="6" w:space="6" w:color="999999"/>
        </w:pBdr>
      </w:pPr>
      <w:r>
        <w:rPr>
          <w:i/>
          <w:color w:val="5A5A5A"/>
          <w:sz w:val="19"/>
        </w:rPr>
        <w:t>Owner: Client or Corne Labs     |     Closes E3-S2, with E3-S3 behind it. Moves gate G3.</w:t>
      </w:r>
    </w:p>
    <w:p>
      <w:pPr>
        <w:spacing w:before="0" w:after="120"/>
      </w:pPr>
      <w:r>
        <w:rPr>
          <w:b/>
          <w:color w:val="1A1A1A"/>
          <w:sz w:val="20"/>
        </w:rPr>
        <w:t xml:space="preserve">Why this is blocking: </w:t>
      </w:r>
      <w:r>
        <w:rPr>
          <w:b w:val="0"/>
          <w:color w:val="1A1A1A"/>
          <w:sz w:val="20"/>
        </w:rPr>
        <w:t>uploaded documents currently sit on a disk that a serverless deploy does not keep. Until there is a bucket, every KYC document and title document is one deploy away from being gone.</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bucket name.</w:t>
            </w:r>
          </w:p>
          <w:p>
            <w:pPr>
              <w:spacing w:after="40" w:before="0"/>
            </w:pPr>
            <w:r>
              <w:rPr>
                <w:b w:val="0"/>
                <w:i/>
                <w:color w:val="5A5A5A"/>
                <w:sz w:val="17"/>
              </w:rPr>
              <w:t>Format: exactly as it is created, case-sensitive.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S3-compatible endpoint.</w:t>
            </w:r>
          </w:p>
          <w:p>
            <w:pPr>
              <w:spacing w:after="40" w:before="0"/>
            </w:pPr>
            <w:r>
              <w:rPr>
                <w:b w:val="0"/>
                <w:i/>
                <w:color w:val="5A5A5A"/>
                <w:sz w:val="17"/>
              </w:rPr>
              <w:t>Format: the full URL. Example: https://s3.eu-west-1.amazonaws.com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region.</w:t>
            </w:r>
          </w:p>
          <w:p>
            <w:pPr>
              <w:spacing w:after="40" w:before="0"/>
            </w:pPr>
            <w:r>
              <w:rPr>
                <w:b w:val="0"/>
                <w:i/>
                <w:color w:val="5A5A5A"/>
                <w:sz w:val="17"/>
              </w:rPr>
              <w:t>Format: the region code. EXT-11 answered this on 6 August and the deferral is withdrawn. The internal policy governs and the closed list wins, so this is now a choice rather than a wait: a Nigerian region, which needs no instrument, or a non-Nigerian region, which cannot carry production data until an NDPC-approved Cross-Border Data Transfer Instrument or standard contractual clauses are executed. The ruling's own words: "Until executed and documented, no new production transfer should rely on general consent or 'reasonable steps'."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If the region is non-Nigerian, the executed transfer instrument.</w:t>
            </w:r>
          </w:p>
          <w:p>
            <w:pPr>
              <w:spacing w:after="40" w:before="0"/>
            </w:pPr>
            <w:r>
              <w:rPr>
                <w:b w:val="0"/>
                <w:i/>
                <w:color w:val="5A5A5A"/>
                <w:sz w:val="17"/>
              </w:rPr>
              <w:t>Format: the instrument's date, its parties, and which subprocessors it covers, or the date it is expected. No such executed instrument exists today, which means a non-Nigerian region answered without this row is an answer that cannot be acted 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access key and secret for that bucket.</w:t>
            </w:r>
          </w:p>
          <w:p>
            <w:pPr>
              <w:spacing w:after="40" w:before="0"/>
            </w:pPr>
            <w:r>
              <w:rPr>
                <w:b w:val="0"/>
                <w:i/>
                <w:color w:val="5A5A5A"/>
                <w:sz w:val="17"/>
              </w:rPr>
              <w:t>Do not write them here. Write who received them, on what date, through which channel, and confirm they are scoped to this bucket alone and not to the whole account.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Confirmation that public reads are denied at the bucket policy.</w:t>
            </w:r>
          </w:p>
          <w:p>
            <w:pPr>
              <w:spacing w:after="40" w:before="0"/>
            </w:pPr>
            <w:r>
              <w:rPr>
                <w:b w:val="0"/>
                <w:i/>
                <w:color w:val="5A5A5A"/>
                <w:sz w:val="17"/>
              </w:rPr>
              <w:t>Format: yes or no, and the date it was checked. ADR-0004 makes this a production requirement rather than a preference.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Whether object versioning is enabled.</w:t>
            </w:r>
          </w:p>
          <w:p>
            <w:pPr>
              <w:spacing w:after="40" w:before="0"/>
            </w:pPr>
            <w:r>
              <w:rPr>
                <w:b w:val="0"/>
                <w:i/>
                <w:color w:val="5A5A5A"/>
                <w:sz w:val="17"/>
              </w:rPr>
              <w:t>Format: on or off. This is not housekeeping. E8-S1 requires erasure to crypto-shred rather than leave orphaned objects, and versioning changes what deletion means.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The retention and lifecycle rules applied at the bucket.</w:t>
            </w:r>
          </w:p>
          <w:p>
            <w:pPr>
              <w:spacing w:after="40" w:before="0"/>
            </w:pPr>
            <w:r>
              <w:rPr>
                <w:b w:val="0"/>
                <w:i/>
                <w:color w:val="5A5A5A"/>
                <w:sz w:val="17"/>
              </w:rPr>
              <w:t>Format: describe each rule, or write "none". These must not silently contradict the retention periods EXT-5 supplies.</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bucket is [name] at endpoint [url], region [code]. That region is [Nigerian / not</w:t>
            </w:r>
          </w:p>
        </w:tc>
      </w:tr>
      <w:tr>
        <w:tc>
          <w:tcPr>
            <w:tcW w:type="dxa" w:w="9298"/>
            <w:shd w:val="clear" w:fill="F7F7F7"/>
          </w:tcPr>
          <w:p>
            <w:pPr>
              <w:spacing w:after="40" w:before="40"/>
            </w:pPr>
            <w:r/>
            <w:r>
              <w:rPr>
                <w:b w:val="0"/>
                <w:i/>
                <w:color w:val="1A1A1A"/>
                <w:sz w:val="19"/>
              </w:rPr>
              <w:t>Nigerian]. If not Nigerian, the cross-border transfer instrument is dated [date] between</w:t>
            </w:r>
          </w:p>
        </w:tc>
      </w:tr>
      <w:tr>
        <w:tc>
          <w:tcPr>
            <w:tcW w:type="dxa" w:w="9298"/>
            <w:shd w:val="clear" w:fill="F7F7F7"/>
          </w:tcPr>
          <w:p>
            <w:pPr>
              <w:spacing w:after="40" w:before="40"/>
            </w:pPr>
            <w:r/>
            <w:r>
              <w:rPr>
                <w:b w:val="0"/>
                <w:i/>
                <w:color w:val="1A1A1A"/>
                <w:sz w:val="19"/>
              </w:rPr>
              <w:t>[parties] and covers [subprocessors], or is expected [date]. Credentials were issued to</w:t>
            </w:r>
          </w:p>
        </w:tc>
      </w:tr>
      <w:tr>
        <w:tc>
          <w:tcPr>
            <w:tcW w:type="dxa" w:w="9298"/>
            <w:shd w:val="clear" w:fill="F7F7F7"/>
          </w:tcPr>
          <w:p>
            <w:pPr>
              <w:spacing w:after="40" w:before="40"/>
            </w:pPr>
            <w:r/>
            <w:r>
              <w:rPr>
                <w:b w:val="0"/>
                <w:i/>
                <w:color w:val="1A1A1A"/>
                <w:sz w:val="19"/>
              </w:rPr>
              <w:t>[name] on [date] by [channel], scoped to this bucket only. Public reads are denied at the</w:t>
            </w:r>
          </w:p>
        </w:tc>
      </w:tr>
      <w:tr>
        <w:tc>
          <w:tcPr>
            <w:tcW w:type="dxa" w:w="9298"/>
            <w:shd w:val="clear" w:fill="F7F7F7"/>
          </w:tcPr>
          <w:p>
            <w:pPr>
              <w:spacing w:after="40" w:before="40"/>
            </w:pPr>
            <w:r/>
            <w:r>
              <w:rPr>
                <w:b w:val="0"/>
                <w:i/>
                <w:color w:val="1A1A1A"/>
                <w:sz w:val="19"/>
              </w:rPr>
              <w:t>bucket policy: [yes/no], checked [date]. Object versioning is [on/off]. Lifecycle rules</w:t>
            </w:r>
          </w:p>
        </w:tc>
      </w:tr>
      <w:tr>
        <w:tc>
          <w:tcPr>
            <w:tcW w:type="dxa" w:w="9298"/>
            <w:shd w:val="clear" w:fill="F7F7F7"/>
          </w:tcPr>
          <w:p>
            <w:pPr>
              <w:spacing w:after="40" w:before="40"/>
            </w:pPr>
            <w:r/>
            <w:r>
              <w:rPr>
                <w:b w:val="0"/>
                <w:i/>
                <w:color w:val="1A1A1A"/>
                <w:sz w:val="19"/>
              </w:rPr>
              <w:t>applied: [rules, or none].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EXT-2 row, the D4 row and the E3-S2 entry in the outstanding backlog. The region sub-decision in ADR-0004. The local development guide, if environment variables change.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EXT-2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EXT-3</w:t>
      </w:r>
    </w:p>
    <w:p>
      <w:pPr>
        <w:spacing w:after="120"/>
      </w:pPr>
      <w:r>
        <w:rPr>
          <w:b/>
          <w:color w:val="1A1A1A"/>
          <w:sz w:val="23"/>
        </w:rPr>
        <w:t>Transactional email domain and authentication</w:t>
      </w:r>
    </w:p>
    <w:p>
      <w:pPr>
        <w:spacing w:after="200"/>
        <w:pBdr>
          <w:bottom w:val="single" w:sz="6" w:space="6" w:color="999999"/>
        </w:pBdr>
      </w:pPr>
      <w:r>
        <w:rPr>
          <w:i/>
          <w:color w:val="5A5A5A"/>
          <w:sz w:val="19"/>
        </w:rPr>
        <w:t>Owner: Client     |     Closes E6-S1.</w:t>
      </w:r>
    </w:p>
    <w:p>
      <w:pPr>
        <w:spacing w:before="0" w:after="120"/>
      </w:pPr>
      <w:r>
        <w:rPr>
          <w:b/>
          <w:color w:val="1A1A1A"/>
          <w:sz w:val="20"/>
        </w:rPr>
        <w:t xml:space="preserve">Why this is blocking: </w:t>
      </w:r>
      <w:r>
        <w:rPr>
          <w:b w:val="0"/>
          <w:color w:val="1A1A1A"/>
          <w:sz w:val="20"/>
        </w:rPr>
        <w:t>the platform can compose mail but has no authenticated domain to send it from. Unauthenticated transactional mail about money and title documents goes to spam, which is worse than not sending it, because the sender believes it arrived.</w:t>
      </w:r>
    </w:p>
    <w:tbl>
      <w:tblPr>
        <w:tblStyle w:val="TableGrid"/>
        <w:tblW w:type="auto" w:w="0"/>
        <w:tblLook w:firstColumn="1" w:firstRow="1" w:lastColumn="0" w:lastRow="0" w:noHBand="0" w:noVBand="1" w:val="04A0"/>
      </w:tblPr>
      <w:tblGrid>
        <w:gridCol w:w="9298"/>
      </w:tblGrid>
      <w:tr>
        <w:tc>
          <w:tcPr>
            <w:tcW w:type="dxa" w:w="9298"/>
            <w:shd w:val="clear" w:fill="FDF3F3"/>
          </w:tcPr>
          <w:p>
            <w:pPr>
              <w:spacing w:after="40" w:before="40"/>
            </w:pPr>
            <w:r/>
            <w:r>
              <w:rPr>
                <w:b/>
                <w:i w:val="0"/>
                <w:color w:val="8B1A1A"/>
                <w:sz w:val="19"/>
              </w:rPr>
              <w:t>Do not write any secret value in this document.</w:t>
            </w:r>
          </w:p>
          <w:p>
            <w:pPr>
              <w:spacing w:after="40" w:before="0"/>
            </w:pPr>
            <w:r>
              <w:rPr>
                <w:b w:val="0"/>
                <w:i/>
                <w:color w:val="5A5A5A"/>
                <w:sz w:val="17"/>
              </w:rPr>
              <w:t>Keys, passwords and access secrets go through a channel agreed separately, never in a document that gets emailed, printed or filed. Where a row below asks about a credential, it asks who received it, when, and through which channel. Our own records note where a credential lives and never what it is.</w:t>
            </w:r>
          </w:p>
        </w:tc>
      </w:tr>
    </w:tbl>
    <w:p>
      <w:pPr>
        <w:spacing w:after="80"/>
      </w:pP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sending domain or subdomain.</w:t>
            </w:r>
          </w:p>
          <w:p>
            <w:pPr>
              <w:spacing w:after="40" w:before="0"/>
            </w:pPr>
            <w:r>
              <w:rPr>
                <w:b w:val="0"/>
                <w:i/>
                <w:color w:val="5A5A5A"/>
                <w:sz w:val="17"/>
              </w:rPr>
              <w:t>Format: the exact domain. Example: mail.example.com</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Who controls DNS for that domain.</w:t>
            </w:r>
          </w:p>
          <w:p>
            <w:pPr>
              <w:spacing w:after="40" w:before="0"/>
            </w:pPr>
            <w:r>
              <w:rPr>
                <w:b w:val="0"/>
                <w:i/>
                <w:color w:val="5A5A5A"/>
                <w:sz w:val="17"/>
              </w:rPr>
              <w:t>Format: name of the person and the organisation. The SPF, DKIM and DMARC records have to be published by that party and cannot be published by us.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SPF record as published.</w:t>
            </w:r>
          </w:p>
          <w:p>
            <w:pPr>
              <w:spacing w:after="40" w:before="0"/>
            </w:pPr>
            <w:r>
              <w:rPr>
                <w:b w:val="0"/>
                <w:i/>
                <w:color w:val="5A5A5A"/>
                <w:sz w:val="17"/>
              </w:rPr>
              <w:t>Format: the record value, and the date it was published.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DKIM selector, and confirmation the public key is published.</w:t>
            </w:r>
          </w:p>
          <w:p>
            <w:pPr>
              <w:spacing w:after="40" w:before="0"/>
            </w:pPr>
            <w:r>
              <w:rPr>
                <w:b w:val="0"/>
                <w:i/>
                <w:color w:val="5A5A5A"/>
                <w:sz w:val="17"/>
              </w:rPr>
              <w:t>Format: the selector name, and yes or no on the key being live in DNS.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The DMARC policy and reporting address.</w:t>
            </w:r>
          </w:p>
          <w:p>
            <w:pPr>
              <w:spacing w:after="40" w:before="0"/>
            </w:pPr>
            <w:r>
              <w:rPr>
                <w:b w:val="0"/>
                <w:i/>
                <w:color w:val="5A5A5A"/>
                <w:sz w:val="17"/>
              </w:rPr>
              <w:t>Format: none, quarantine or reject, plus the address aggregate reports go to.</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SMTP host, port and username.</w:t>
            </w:r>
          </w:p>
          <w:p>
            <w:pPr>
              <w:spacing w:after="40" w:before="0"/>
            </w:pPr>
            <w:r>
              <w:rPr>
                <w:b w:val="0"/>
                <w:i/>
                <w:color w:val="5A5A5A"/>
                <w:sz w:val="17"/>
              </w:rPr>
              <w:t>Format: host, port number, username. Do not write the password here. State who received it, when, and through which channel.</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addresses users will see, and the bounce address.</w:t>
            </w:r>
          </w:p>
          <w:p>
            <w:pPr>
              <w:spacing w:after="40" w:before="0"/>
            </w:pPr>
            <w:r>
              <w:rPr>
                <w:b w:val="0"/>
                <w:i/>
                <w:color w:val="5A5A5A"/>
                <w:sz w:val="17"/>
              </w:rPr>
              <w:t>Format: the From address, the Reply-To address, and the bounce address.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Confirmation that the sending domain sits under safebuyrealtiesltd.com.</w:t>
            </w:r>
          </w:p>
          <w:p>
            <w:pPr>
              <w:spacing w:after="40" w:before="0"/>
            </w:pPr>
            <w:r>
              <w:rPr>
                <w:b w:val="0"/>
                <w:i/>
                <w:color w:val="5A5A5A"/>
                <w:sz w:val="17"/>
              </w:rPr>
              <w:t>Format: yes, or the domain you are using instead and why. EXT-12 answered the canonical domain on 6 August and this row stopped being a wait. The answer is www.safebuyrealtiesltd.com, held in a company-controlled account with the registrar, DNS, certificates, renewal billing and recovery credentials under MD/CEO and authorised administrator oversight. The same answer instructs that safebuyrealties.com must not be printed on instruments unless Management separately confirms ownership. A sending domain under anything else now needs a reason, which is the reverse of where this row stood that morning.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Who holds the registrar account for that domain, by name.</w:t>
            </w:r>
          </w:p>
          <w:p>
            <w:pPr>
              <w:spacing w:after="40" w:before="0"/>
            </w:pPr>
            <w:r>
              <w:rPr>
                <w:b w:val="0"/>
                <w:i/>
                <w:color w:val="5A5A5A"/>
                <w:sz w:val="17"/>
              </w:rPr>
              <w:t>Format: full name, role, and the organisation the account is registered to. The EXT-12 answer makes company control of the registrar account a requirement rather than a detail, and mail authentication is published from exactly that account.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Mail sends from [domain], which is / is not under safebuyrealtiesltd.com. The registrar</w:t>
            </w:r>
          </w:p>
        </w:tc>
      </w:tr>
      <w:tr>
        <w:tc>
          <w:tcPr>
            <w:tcW w:type="dxa" w:w="9298"/>
            <w:shd w:val="clear" w:fill="F7F7F7"/>
          </w:tcPr>
          <w:p>
            <w:pPr>
              <w:spacing w:after="40" w:before="40"/>
            </w:pPr>
            <w:r/>
            <w:r>
              <w:rPr>
                <w:b w:val="0"/>
                <w:i/>
                <w:color w:val="1A1A1A"/>
                <w:sz w:val="19"/>
              </w:rPr>
              <w:t>account is held by [name] of [organisation]. DNS for it is controlled by [name,</w:t>
            </w:r>
          </w:p>
        </w:tc>
      </w:tr>
      <w:tr>
        <w:tc>
          <w:tcPr>
            <w:tcW w:type="dxa" w:w="9298"/>
            <w:shd w:val="clear" w:fill="F7F7F7"/>
          </w:tcPr>
          <w:p>
            <w:pPr>
              <w:spacing w:after="40" w:before="40"/>
            </w:pPr>
            <w:r/>
            <w:r>
              <w:rPr>
                <w:b w:val="0"/>
                <w:i/>
                <w:color w:val="1A1A1A"/>
                <w:sz w:val="19"/>
              </w:rPr>
              <w:t>organisation]. SPF, DKIM and DMARC were published on [date], DMARC policy</w:t>
            </w:r>
          </w:p>
        </w:tc>
      </w:tr>
      <w:tr>
        <w:tc>
          <w:tcPr>
            <w:tcW w:type="dxa" w:w="9298"/>
            <w:shd w:val="clear" w:fill="F7F7F7"/>
          </w:tcPr>
          <w:p>
            <w:pPr>
              <w:spacing w:after="40" w:before="40"/>
            </w:pPr>
            <w:r/>
            <w:r>
              <w:rPr>
                <w:b w:val="0"/>
                <w:i/>
                <w:color w:val="1A1A1A"/>
                <w:sz w:val="19"/>
              </w:rPr>
              <w:t>[none/quarantine/reject], reports to [address]. SMTP credentials were issued to [name] on</w:t>
            </w:r>
          </w:p>
        </w:tc>
      </w:tr>
      <w:tr>
        <w:tc>
          <w:tcPr>
            <w:tcW w:type="dxa" w:w="9298"/>
            <w:shd w:val="clear" w:fill="F7F7F7"/>
          </w:tcPr>
          <w:p>
            <w:pPr>
              <w:spacing w:after="40" w:before="40"/>
            </w:pPr>
            <w:r/>
            <w:r>
              <w:rPr>
                <w:b w:val="0"/>
                <w:i/>
                <w:color w:val="1A1A1A"/>
                <w:sz w:val="19"/>
              </w:rPr>
              <w:t>[date]. Users see From [address] and Reply-To [address]. Bounces go to [address].</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EXT-3 row and the E6-S1 entry in the outstanding backlog. The local development guide.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EXT-4</w:t>
      </w:r>
    </w:p>
    <w:p>
      <w:pPr>
        <w:spacing w:after="120"/>
      </w:pPr>
      <w:r>
        <w:rPr>
          <w:b/>
          <w:color w:val="1A1A1A"/>
          <w:sz w:val="23"/>
        </w:rPr>
        <w:t>Counsel-approved instruments and terms</w:t>
      </w:r>
    </w:p>
    <w:p>
      <w:pPr>
        <w:spacing w:after="200"/>
        <w:pBdr>
          <w:bottom w:val="single" w:sz="6" w:space="6" w:color="999999"/>
        </w:pBdr>
      </w:pPr>
      <w:r>
        <w:rPr>
          <w:i/>
          <w:color w:val="5A5A5A"/>
          <w:sz w:val="19"/>
        </w:rPr>
        <w:t>Owner: Client, counsel     |     Closes E8-S2, and the outstanding half of EXT-10. Moves gate G4, on two counsel signatures rather than one.</w:t>
      </w:r>
    </w:p>
    <w:p>
      <w:pPr>
        <w:spacing w:before="0" w:after="120"/>
      </w:pPr>
      <w:r>
        <w:rPr>
          <w:b/>
          <w:color w:val="1A1A1A"/>
          <w:sz w:val="20"/>
        </w:rPr>
        <w:t xml:space="preserve">Why this is blocking, and it is three documents rather than two. </w:t>
      </w:r>
      <w:r>
        <w:rPr>
          <w:b w:val="0"/>
          <w:color w:val="1A1A1A"/>
          <w:sz w:val="20"/>
        </w:rPr>
        <w:t>The terms of service in the repository stop at section 10 and end mid-topic on intellectual property. Nine clause families are absent, including every escrow term and any limitation of liability, from the contract of a platform that holds client money. The seller Power of Attorney is dated 2017 in its body, has a witness block with no attestation clause above it, and carries no stamping, registration or Governor's consent clause. The third document is the instrument the platform generates itself, and counsel has never seen it.</w:t>
      </w:r>
    </w:p>
    <w:p>
      <w:pPr>
        <w:spacing w:before="0" w:after="160"/>
      </w:pPr>
      <w:r>
        <w:rPr>
          <w:b w:val="0"/>
          <w:i w:val="0"/>
          <w:color w:val="1A1A1A"/>
          <w:sz w:val="20"/>
        </w:rPr>
        <w:t>The clause-by-clause requirement is carried in full in the outstanding backlog, because that table is the instruction to counsel. Two existing clauses also need correcting: section 10 vests site content in the Founder, an individual rather than the company, and section 5(a) promises a minimum 5% from each side, which EXT-9's answer has to be reconciled against.</w:t>
      </w:r>
    </w:p>
    <w:p>
      <w:pPr>
        <w:spacing w:before="0" w:after="120"/>
      </w:pPr>
      <w:r>
        <w:rPr>
          <w:b/>
          <w:color w:val="1A1A1A"/>
          <w:sz w:val="20"/>
        </w:rPr>
        <w:t xml:space="preserve">This item grew on 6 August, and clause 5 of the Power of Attorney is why. </w:t>
      </w:r>
      <w:r>
        <w:rPr>
          <w:b w:val="0"/>
          <w:color w:val="1A1A1A"/>
          <w:sz w:val="20"/>
        </w:rPr>
        <w:t>That clause authorises deducting 10% at source, which is what EXT-9 and EXT-10 were asked about. Both were answered that day and both answers land on this one clause. EXT-10 rules that no VAT may be withheld from seller proceeds, which clause 5 is silent on and must now say. EXT-9 rules 5 per cent from each side, which is not what clause 5 says: the signed instrument authorises 10 per cent, and it authorises it from the seller alone. A buyer-side charge has no home in a seller-signed instrument at all, so it needs a buyer-facing one. That is this item, and it is the largest single thing the 6 August answers added to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Counsel's name or firm, and the date they were instructed.</w:t>
            </w:r>
          </w:p>
          <w:p>
            <w:pPr>
              <w:spacing w:after="40" w:before="0"/>
            </w:pPr>
            <w:r>
              <w:rPr>
                <w:b w:val="0"/>
                <w:i/>
                <w:color w:val="5A5A5A"/>
                <w:sz w:val="17"/>
              </w:rPr>
              <w:t>Format: name, firm, date of instruction.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date the reviewed documents are expected back.</w:t>
            </w:r>
          </w:p>
          <w:p>
            <w:pPr>
              <w:spacing w:after="40" w:before="0"/>
            </w:pPr>
            <w:r>
              <w:rPr>
                <w:b w:val="0"/>
                <w:i/>
                <w:color w:val="5A5A5A"/>
                <w:sz w:val="17"/>
              </w:rPr>
              <w:t>Format: a date. Not "in a few weeks".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Confirmation counsel has been given all three documents.</w:t>
            </w:r>
          </w:p>
          <w:p>
            <w:pPr>
              <w:spacing w:after="40" w:before="0"/>
            </w:pPr>
            <w:r>
              <w:rPr>
                <w:b w:val="0"/>
                <w:i/>
                <w:color w:val="5A5A5A"/>
                <w:sz w:val="17"/>
              </w:rPr>
              <w:t>Format: yes or no for each of: the terms of service, the seller Power of Attorney, and the instrument the platform generates. Naming all three matters, because the backlog's clause table covers only the first.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Counsel's position on electronic execution of a land instrument.</w:t>
            </w:r>
          </w:p>
          <w:p>
            <w:pPr>
              <w:spacing w:after="40" w:before="0"/>
            </w:pPr>
            <w:r>
              <w:rPr>
                <w:b w:val="0"/>
                <w:i/>
                <w:color w:val="5A5A5A"/>
                <w:sz w:val="17"/>
              </w:rPr>
              <w:t>Format: permitted, not permitted, or permitted subject to conditions, with the conditions stated. This decides whether the feature is lawful at all under the Evidence Act 2011 and the Electronic Transactions Act 2023. If land is carved out, the platform must produce a print-and-execute pack instead, which is a build change rather than a wording change.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Confirmation of the entity, address and domain to be used throughout.</w:t>
            </w:r>
          </w:p>
          <w:p>
            <w:pPr>
              <w:spacing w:after="40" w:before="0"/>
            </w:pPr>
            <w:r>
              <w:rPr>
                <w:b w:val="0"/>
                <w:i/>
                <w:color w:val="5A5A5A"/>
                <w:sz w:val="17"/>
              </w:rPr>
              <w:t>Format: yes, or a correction. EXT-12 supplied these on 6 August and this row stopped being a question. Safebuyrealties International Ltd, RC Number 8483982, Suite 404, 4th Floor, 14 Allen Avenue, Centage Plaza, Ikeja, Lagos, and www.safebuyrealtiesltd.com. They are repeated here because counsel is the party that has to put them into three documents, and because the only remaining risk is that the values above are wrong rather than that they are missing.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6</w:t>
            </w:r>
          </w:p>
        </w:tc>
        <w:tc>
          <w:tcPr>
            <w:tcW w:type="dxa" w:w="5272"/>
          </w:tcPr>
          <w:p>
            <w:pPr>
              <w:spacing w:after="40" w:before="40"/>
            </w:pPr>
            <w:r/>
            <w:r>
              <w:rPr>
                <w:b w:val="0"/>
                <w:i w:val="0"/>
                <w:color w:val="1A1A1A"/>
                <w:sz w:val="19"/>
              </w:rPr>
              <w:t>Counsel's signature on the VAT position already drafted for it.</w:t>
            </w:r>
          </w:p>
          <w:p>
            <w:pPr>
              <w:spacing w:after="40" w:before="0"/>
            </w:pPr>
            <w:r>
              <w:rPr>
                <w:b w:val="0"/>
                <w:i/>
                <w:color w:val="5A5A5A"/>
                <w:sz w:val="17"/>
              </w:rPr>
              <w:t>Format: signed, with a name, a role and a date, or the wording counsel signs instead. EXT-10's answer carries a paragraph headed "Recommended counsel position for formal signature" and sets its own condition: no production VAT automation activates until counsel signs it and the CEO, COO and CFO approve the configuration. This is the single thing keeping EXT-10 open.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"Commission plus applicable VAT" in the buyer and seller engagement documents.</w:t>
            </w:r>
          </w:p>
          <w:p>
            <w:pPr>
              <w:spacing w:after="40" w:before="0"/>
            </w:pPr>
            <w:r>
              <w:rPr>
                <w:b w:val="0"/>
                <w:i/>
                <w:color w:val="5A5A5A"/>
                <w:sz w:val="17"/>
              </w:rPr>
              <w:t>Format: confirmation that the phrase, or counsel's equivalent, appears in each. This is counsel's own condition from the EXT-10 answer, and it is a wording change to instruments rather than a VAT decision, which is why it is asked here and not there.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buyer-facing instrument that carries the buyer's commission.</w:t>
            </w:r>
          </w:p>
          <w:p>
            <w:pPr>
              <w:spacing w:after="40" w:before="0"/>
            </w:pPr>
            <w:r>
              <w:rPr>
                <w:b w:val="0"/>
                <w:i/>
                <w:color w:val="5A5A5A"/>
                <w:sz w:val="17"/>
              </w:rPr>
              <w:t>Format: which document it is, and whether it exists yet. EXT-9 makes commission chargeable to the buyer as well as the seller. The Power of Attorney is signed by the seller alone, so it cannot bind a buyer to anything. Either the terms of service carry the buyer's side or a separate buyer engagement letter does, and somebody has to say which.</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The Power of Attorney clause 5 rewrite, on both counts.</w:t>
            </w:r>
          </w:p>
          <w:p>
            <w:pPr>
              <w:spacing w:after="40" w:before="0"/>
            </w:pPr>
            <w:r>
              <w:rPr>
                <w:b w:val="0"/>
                <w:i/>
                <w:color w:val="5A5A5A"/>
                <w:sz w:val="17"/>
              </w:rPr>
              <w:t>Format: the replacement wording, or confirmation that counsel is drafting it and when. Clause 5 currently authorises 10 per cent at source from the seller and says nothing about VAT. EXT-9 says 5 per cent per side. EXT-10 says no VAT comes out of seller proceeds. Both have to appear in the clause that actually authorises the deduction, and the number in it has to match whatever the EXT-9 follow-up in Part B settles.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10</w:t>
            </w:r>
          </w:p>
        </w:tc>
        <w:tc>
          <w:tcPr>
            <w:tcW w:type="dxa" w:w="5272"/>
          </w:tcPr>
          <w:p>
            <w:pPr>
              <w:spacing w:after="40" w:before="40"/>
            </w:pPr>
            <w:r/>
            <w:r>
              <w:rPr>
                <w:b w:val="0"/>
                <w:i w:val="0"/>
                <w:color w:val="1A1A1A"/>
                <w:sz w:val="19"/>
              </w:rPr>
              <w:t>The QR verification destination on the generated instrument.</w:t>
            </w:r>
          </w:p>
          <w:p>
            <w:pPr>
              <w:spacing w:after="40" w:before="0"/>
            </w:pPr>
            <w:r>
              <w:rPr>
                <w:b w:val="0"/>
                <w:i/>
                <w:color w:val="5A5A5A"/>
                <w:sz w:val="17"/>
              </w:rPr>
              <w:t>Format: the URL to print. The platform currently defaults to a verify address on safebuyrealties.com, which is the domain EXT-12 says not to print. Management's decision keeps the hold on new Power of Attorney generation "until the templates and QR destination are corrected and tested", so this is the row that lifts the hold.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11</w:t>
            </w:r>
          </w:p>
        </w:tc>
        <w:tc>
          <w:tcPr>
            <w:tcW w:type="dxa" w:w="5272"/>
          </w:tcPr>
          <w:p>
            <w:pPr>
              <w:spacing w:after="40" w:before="40"/>
            </w:pPr>
            <w:r/>
            <w:r>
              <w:rPr>
                <w:b w:val="0"/>
                <w:i w:val="0"/>
                <w:color w:val="1A1A1A"/>
                <w:sz w:val="19"/>
              </w:rPr>
              <w:t>Whether counsel proceeds now or waits for EXT-9.</w:t>
            </w:r>
          </w:p>
          <w:p>
            <w:pPr>
              <w:spacing w:after="40" w:before="0"/>
            </w:pPr>
            <w:r>
              <w:rPr>
                <w:b w:val="0"/>
                <w:i/>
                <w:color w:val="5A5A5A"/>
                <w:sz w:val="17"/>
              </w:rPr>
              <w:t>Format: proceed now, or wait. This item used to wait on EXT-9, EXT-10 and EXT-12. EXT-12 has answered in full and EXT-10 has answered on substance, so only EXT-9 is still capable of changing the text counsel would be approving, and only in one place: the commission number in clause 5 and in terms of service section 5(a). Everything else on this list can go to counsel now, and if the whole package waits for that one number the wait buys nothing, because the number sits in two clauses that can be filled last.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Counsel is [name, firm], instructed on [date], expected back [date]. They hold all three</w:t>
            </w:r>
          </w:p>
        </w:tc>
      </w:tr>
      <w:tr>
        <w:tc>
          <w:tcPr>
            <w:tcW w:type="dxa" w:w="9298"/>
            <w:shd w:val="clear" w:fill="F7F7F7"/>
          </w:tcPr>
          <w:p>
            <w:pPr>
              <w:spacing w:after="40" w:before="40"/>
            </w:pPr>
            <w:r/>
            <w:r>
              <w:rPr>
                <w:b w:val="0"/>
                <w:i/>
                <w:color w:val="1A1A1A"/>
                <w:sz w:val="19"/>
              </w:rPr>
              <w:t>documents: [yes/no]. On electronic execution of a land instrument their position is</w:t>
            </w:r>
          </w:p>
        </w:tc>
      </w:tr>
      <w:tr>
        <w:tc>
          <w:tcPr>
            <w:tcW w:type="dxa" w:w="9298"/>
            <w:shd w:val="clear" w:fill="F7F7F7"/>
          </w:tcPr>
          <w:p>
            <w:pPr>
              <w:spacing w:after="40" w:before="40"/>
            </w:pPr>
            <w:r/>
            <w:r>
              <w:rPr>
                <w:b w:val="0"/>
                <w:i/>
                <w:color w:val="1A1A1A"/>
                <w:sz w:val="19"/>
              </w:rPr>
              <w:t>[permitted / not permitted / permitted subject to ...]. The entity, address and domain in</w:t>
            </w:r>
          </w:p>
        </w:tc>
      </w:tr>
      <w:tr>
        <w:tc>
          <w:tcPr>
            <w:tcW w:type="dxa" w:w="9298"/>
            <w:shd w:val="clear" w:fill="F7F7F7"/>
          </w:tcPr>
          <w:p>
            <w:pPr>
              <w:spacing w:after="40" w:before="40"/>
            </w:pPr>
            <w:r/>
            <w:r>
              <w:rPr>
                <w:b w:val="0"/>
                <w:i/>
                <w:color w:val="1A1A1A"/>
                <w:sz w:val="19"/>
              </w:rPr>
              <w:t>row 5 are correct / should read [correction]. The EXT-10 VAT position is signed by [name,</w:t>
            </w:r>
          </w:p>
        </w:tc>
      </w:tr>
      <w:tr>
        <w:tc>
          <w:tcPr>
            <w:tcW w:type="dxa" w:w="9298"/>
            <w:shd w:val="clear" w:fill="F7F7F7"/>
          </w:tcPr>
          <w:p>
            <w:pPr>
              <w:spacing w:after="40" w:before="40"/>
            </w:pPr>
            <w:r/>
            <w:r>
              <w:rPr>
                <w:b w:val="0"/>
                <w:i/>
                <w:color w:val="1A1A1A"/>
                <w:sz w:val="19"/>
              </w:rPr>
              <w:t>role] on [date], or counsel signs [wording] instead. "Commission plus applicable VAT"</w:t>
            </w:r>
          </w:p>
        </w:tc>
      </w:tr>
      <w:tr>
        <w:tc>
          <w:tcPr>
            <w:tcW w:type="dxa" w:w="9298"/>
            <w:shd w:val="clear" w:fill="F7F7F7"/>
          </w:tcPr>
          <w:p>
            <w:pPr>
              <w:spacing w:after="40" w:before="40"/>
            </w:pPr>
            <w:r/>
            <w:r>
              <w:rPr>
                <w:b w:val="0"/>
                <w:i/>
                <w:color w:val="1A1A1A"/>
                <w:sz w:val="19"/>
              </w:rPr>
              <w:t>appears in [documents]. The buyer's commission is carried by [document]. Clause 5 is</w:t>
            </w:r>
          </w:p>
        </w:tc>
      </w:tr>
      <w:tr>
        <w:tc>
          <w:tcPr>
            <w:tcW w:type="dxa" w:w="9298"/>
            <w:shd w:val="clear" w:fill="F7F7F7"/>
          </w:tcPr>
          <w:p>
            <w:pPr>
              <w:spacing w:after="40" w:before="40"/>
            </w:pPr>
            <w:r/>
            <w:r>
              <w:rPr>
                <w:b w:val="0"/>
                <w:i/>
                <w:color w:val="1A1A1A"/>
                <w:sz w:val="19"/>
              </w:rPr>
              <w:t>replaced by [wording]. The QR destination to print is [url]. They [proceed now / wait for</w:t>
            </w:r>
          </w:p>
        </w:tc>
      </w:tr>
      <w:tr>
        <w:tc>
          <w:tcPr>
            <w:tcW w:type="dxa" w:w="9298"/>
            <w:shd w:val="clear" w:fill="F7F7F7"/>
          </w:tcPr>
          <w:p>
            <w:pPr>
              <w:spacing w:after="40" w:before="40"/>
            </w:pPr>
            <w:r/>
            <w:r>
              <w:rPr>
                <w:b w:val="0"/>
                <w:i/>
                <w:color w:val="1A1A1A"/>
                <w:sz w:val="19"/>
              </w:rPr>
              <w:t>EXT-9].</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The EXT-4 row, the EXT-10 row, the E8-S2 entry and the gate G4 note in the outstanding backlog. The clause text and a version stamp in the Power of Attorney service, and the verify address in its configuration.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6.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200" w:after="80"/>
      </w:pPr>
      <w:r>
        <w:rPr>
          <w:b/>
          <w:color w:val="1A1A1A"/>
          <w:sz w:val="23"/>
        </w:rPr>
        <w:t>Three more, added on 6 August after EXT-11 and EXT-8 came back</w:t>
      </w:r>
    </w:p>
    <w:p>
      <w:pPr>
        <w:spacing w:before="0" w:after="120"/>
      </w:pPr>
      <w:r>
        <w:rPr>
          <w:b w:val="0"/>
          <w:i w:val="0"/>
          <w:color w:val="5A5A5A"/>
          <w:sz w:val="19"/>
        </w:rPr>
        <w:t>They are numbered on from the six above, so a row number still means one thing across the whole of EXT-5.</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amended published Privacy Policy.</w:t>
            </w:r>
          </w:p>
          <w:p>
            <w:pPr>
              <w:spacing w:after="40" w:before="0"/>
            </w:pPr>
            <w:r>
              <w:rPr>
                <w:b w:val="0"/>
                <w:i/>
                <w:color w:val="5A5A5A"/>
                <w:sz w:val="17"/>
              </w:rPr>
              <w:t>Format: the amended file, or the date it is expected and who is drafting it. EXT-11's ruling: "Where the published Privacy Policy conflicts, it must be amended to match the stricter internal policy and governing law." Today the published policy says "reasonable steps" for cross-border transfer and the internal policy gives a closed list. That is the conflict, and the published document is the one that changes.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copy of the General Application and Implementation Directive, 2025.</w:t>
            </w:r>
          </w:p>
          <w:p>
            <w:pPr>
              <w:spacing w:after="40" w:before="0"/>
            </w:pPr>
            <w:r>
              <w:rPr>
                <w:b w:val="0"/>
                <w:i/>
                <w:color w:val="5A5A5A"/>
                <w:sz w:val="17"/>
              </w:rPr>
              <w:t>Format: the file, a link, or the date it will be supplied. EXT-11 names GAID as governing alongside the NDPA and the internal policy. Nobody on this project has opened it, and it already reaches into scope: the internal policy requires a Standard Notice to Address Grievance as a GAID obligation, and nothing in the codebase implements one. E8-S1 is currently scoped against a directive we have not read.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Estate Agent and Allied Service Provider added to the category lists in both published documents.</w:t>
            </w:r>
          </w:p>
          <w:p>
            <w:pPr>
              <w:spacing w:after="40" w:before="0"/>
            </w:pPr>
            <w:r>
              <w:rPr>
                <w:b w:val="0"/>
                <w:i/>
                <w:color w:val="5A5A5A"/>
                <w:sz w:val="17"/>
              </w:rPr>
              <w:t>Format: the amended wording, or confirmation that counsel is making the change under EXT-4. EXT-8's answer puts Estate Agent in scope for the platform, the terms of service and the privacy policy, and makes Allied Service Provider a controlled fourteenth category covering plumbers, electricians, interior designers and building material sellers. The terms and the privacy policy each name nine professions in prose and neither names Estate Agent.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80"/>
      </w:pPr>
      <w:r>
        <w:rPr>
          <w:b w:val="0"/>
          <w:i w:val="0"/>
          <w:color w:val="5A5A5A"/>
          <w:sz w:val="18"/>
        </w:rPr>
        <w:t>The policy effective date is now on record and is not asked for. EXT-11 gives it as the official platform go-live date, which means nothing in either policy is in force today and all of it is in force the moment the platform is.</w:t>
      </w:r>
    </w:p>
    <w:p>
      <w:pPr>
        <w:spacing w:before="0" w:after="160"/>
      </w:pPr>
      <w:r>
        <w:rPr>
          <w:b w:val="0"/>
          <w:i w:val="0"/>
          <w:color w:val="5A5A5A"/>
          <w:sz w:val="18"/>
        </w:rPr>
        <w:t>The cross-border mechanism itself is settled and is not asked for again here. It is an NDPC-approved Cross-Border Data Transfer Instrument or standard contractual clauses, and the executed instrument is chased at EXT-2 row 4, where the region choice that needs it lives.</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Erasure means [deletion / crypto-shredding]</w:t>
            </w:r>
          </w:p>
        </w:tc>
      </w:tr>
      <w:tr>
        <w:tc>
          <w:tcPr>
            <w:tcW w:type="dxa" w:w="9298"/>
            <w:shd w:val="clear" w:fill="F7F7F7"/>
          </w:tcPr>
          <w:p>
            <w:pPr>
              <w:spacing w:after="40" w:before="40"/>
            </w:pPr>
            <w:r/>
            <w:r>
              <w:rPr>
                <w:b w:val="0"/>
                <w:i/>
                <w:color w:val="1A1A1A"/>
                <w:sz w:val="19"/>
              </w:rPr>
              <w:t>where a record must be retained by law. Retention periods are in the table above. The</w:t>
            </w:r>
          </w:p>
        </w:tc>
      </w:tr>
      <w:tr>
        <w:tc>
          <w:tcPr>
            <w:tcW w:type="dxa" w:w="9298"/>
            <w:shd w:val="clear" w:fill="F7F7F7"/>
          </w:tcPr>
          <w:p>
            <w:pPr>
              <w:spacing w:after="40" w:before="40"/>
            </w:pPr>
            <w:r/>
            <w:r>
              <w:rPr>
                <w:b w:val="0"/>
                <w:i/>
                <w:color w:val="1A1A1A"/>
                <w:sz w:val="19"/>
              </w:rPr>
              <w:t>published Privacy Policy is being amended by [name], expected [date]. GAID 2025 is</w:t>
            </w:r>
          </w:p>
        </w:tc>
      </w:tr>
      <w:tr>
        <w:tc>
          <w:tcPr>
            <w:tcW w:type="dxa" w:w="9298"/>
            <w:shd w:val="clear" w:fill="F7F7F7"/>
          </w:tcPr>
          <w:p>
            <w:pPr>
              <w:spacing w:after="40" w:before="40"/>
            </w:pPr>
            <w:r/>
            <w:r>
              <w:rPr>
                <w:b w:val="0"/>
                <w:i/>
                <w:color w:val="1A1A1A"/>
                <w:sz w:val="19"/>
              </w:rPr>
              <w:t>attached / will be supplied on [date]. Estate Agent and Allied Service Provider are added</w:t>
            </w:r>
          </w:p>
        </w:tc>
      </w:tr>
      <w:tr>
        <w:tc>
          <w:tcPr>
            <w:tcW w:type="dxa" w:w="9298"/>
            <w:shd w:val="clear" w:fill="F7F7F7"/>
          </w:tcPr>
          <w:p>
            <w:pPr>
              <w:spacing w:after="40" w:before="40"/>
            </w:pPr>
            <w:r/>
            <w:r>
              <w:rPr>
                <w:b w:val="0"/>
                <w:i/>
                <w:color w:val="1A1A1A"/>
                <w:sz w:val="19"/>
              </w:rPr>
              <w:t>to the category lists by [name].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including an amended privacy policy. The EXT-5 row and the E8-S1 entry in the outstanding backlog. A record of processing activities and a data protection impact assessment added to the documentation. The delivery board and the build checklist. GAID 2025 is filed with the inputs when it arrives.</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ADR-0003</w:t>
      </w:r>
    </w:p>
    <w:p>
      <w:pPr>
        <w:spacing w:after="120"/>
      </w:pPr>
      <w:r>
        <w:rPr>
          <w:b/>
          <w:color w:val="1A1A1A"/>
          <w:sz w:val="23"/>
        </w:rPr>
        <w:t>Fail startup rather than silently mock payments in production</w:t>
      </w:r>
    </w:p>
    <w:p>
      <w:pPr>
        <w:spacing w:after="200"/>
        <w:pBdr>
          <w:bottom w:val="single" w:sz="6" w:space="6" w:color="999999"/>
        </w:pBdr>
      </w:pPr>
      <w:r>
        <w:rPr>
          <w:i/>
          <w:color w:val="5A5A5A"/>
          <w:sz w:val="19"/>
        </w:rPr>
        <w:t>Owner: Product, client     |     Relates to E2-S4. Status in the repository: Proposed.</w:t>
      </w:r>
    </w:p>
    <w:p>
      <w:pPr>
        <w:spacing w:before="0" w:after="120"/>
      </w:pPr>
      <w:r>
        <w:rPr>
          <w:b/>
          <w:color w:val="1A1A1A"/>
          <w:sz w:val="20"/>
        </w:rPr>
        <w:t xml:space="preserve">This is a ratification, not a decision. </w:t>
      </w:r>
      <w:r>
        <w:rPr>
          <w:b w:val="0"/>
          <w:color w:val="1A1A1A"/>
          <w:sz w:val="20"/>
        </w:rPr>
        <w:t>E2-S4 shipped some time ago and the behaviour described in this record is live: a production deploy with no payment credential refuses to start, rather than recording every seller as paid against a mock transfer reference. The decision record still says Proposed.</w:t>
      </w:r>
    </w:p>
    <w:p>
      <w:pPr>
        <w:spacing w:before="0" w:after="120"/>
      </w:pPr>
      <w:r>
        <w:rPr>
          <w:b/>
          <w:color w:val="1A1A1A"/>
          <w:sz w:val="20"/>
        </w:rPr>
        <w:t xml:space="preserve">What it costs to leave it as it is: </w:t>
      </w:r>
      <w:r>
        <w:rPr>
          <w:b w:val="0"/>
          <w:color w:val="1A1A1A"/>
          <w:sz w:val="20"/>
        </w:rPr>
        <w:t>the repository's own register says Proposed about behaviour running in production, so a reader cannot tell what was decided from what was merely suggested, and a future change has no recorded baseline to depart from.</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ADR-0003 as written?</w:t>
            </w:r>
          </w:p>
          <w:p>
            <w:pPr>
              <w:spacing w:after="40" w:before="0"/>
            </w:pPr>
            <w:r>
              <w:rPr>
                <w:b w:val="0"/>
                <w:i/>
                <w:color w:val="5A5A5A"/>
                <w:sz w:val="17"/>
              </w:rPr>
              <w:t>Format: accepted, or not accepted. If not accepted, use row 2.</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not accepted, what should happen instead?</w:t>
            </w:r>
          </w:p>
          <w:p>
            <w:pPr>
              <w:spacing w:after="40" w:before="0"/>
            </w:pPr>
            <w:r>
              <w:rPr>
                <w:b w:val="0"/>
                <w:i/>
                <w:color w:val="5A5A5A"/>
                <w:sz w:val="17"/>
              </w:rPr>
              <w:t>Format: describe the behaviour you want when a production deploy has no payment credential. Write "not applicable" if you accepted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 you understand the trade-off the record names.</w:t>
            </w:r>
          </w:p>
          <w:p>
            <w:pPr>
              <w:spacing w:after="40" w:before="0"/>
            </w:pPr>
            <w:r>
              <w:rPr>
                <w:b w:val="0"/>
                <w:i/>
                <w:color w:val="5A5A5A"/>
                <w:sz w:val="17"/>
              </w:rPr>
              <w:t>Format: yes or no. The trade-off is that a missing or rotated-away payment environment variable takes the API down. That is deliberate and correct for a money path, and it is the sort of thing to agree to in advance rather than discover during an incident.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E2-S4 shipped, if you prefer the record to match reality.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status line of ADR-0003, from Proposed to Accepted, with your name and date.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moved on 6 August and is now takeable. It used to wait on EXT-11, and EXT-11 came back that day and closed. Takeable is not taken. Somebody still has to choose Nigerian or non-Nigerian, and the choice is asked for at EXT-2 rows 3 and 4 rather than a second time here. What changed is that answering it no longer depends on anybody else.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Part D</w:t>
      </w:r>
    </w:p>
    <w:p>
      <w:pPr>
        <w:spacing w:after="280"/>
        <w:pBdr>
          <w:bottom w:val="single" w:sz="6" w:space="6" w:color="999999"/>
        </w:pBdr>
      </w:pPr>
      <w:r>
        <w:rPr>
          <w:i/>
          <w:color w:val="5A5A5A"/>
          <w:sz w:val="21"/>
        </w:rPr>
        <w:t>One open decision with no record behind it. It is not blocking anything.</w:t>
      </w:r>
    </w:p>
    <w:p>
      <w:pPr>
        <w:spacing w:before="0" w:after="20"/>
      </w:pPr>
      <w:r>
        <w:rPr>
          <w:b/>
          <w:color w:val="1A1A1A"/>
          <w:sz w:val="36"/>
        </w:rPr>
        <w:t>D3</w:t>
      </w:r>
    </w:p>
    <w:p>
      <w:pPr>
        <w:spacing w:after="120"/>
      </w:pPr>
      <w:r>
        <w:rPr>
          <w:b/>
          <w:color w:val="1A1A1A"/>
          <w:sz w:val="23"/>
        </w:rPr>
        <w:t>KYC: manual review, or a provider</w:t>
      </w:r>
    </w:p>
    <w:p>
      <w:pPr>
        <w:spacing w:after="200"/>
        <w:pBdr>
          <w:bottom w:val="single" w:sz="6" w:space="6" w:color="999999"/>
        </w:pBdr>
      </w:pPr>
      <w:r>
        <w:rPr>
          <w:i/>
          <w:color w:val="5A5A5A"/>
          <w:sz w:val="19"/>
        </w:rPr>
        <w:t>Owner: Client, product     |     Relates to E4-S2.</w:t>
      </w:r>
    </w:p>
    <w:p>
      <w:pPr>
        <w:spacing w:before="0" w:after="120"/>
      </w:pPr>
      <w:r>
        <w:rPr>
          <w:b w:val="0"/>
          <w:color w:val="1A1A1A"/>
          <w:sz w:val="20"/>
        </w:rPr>
        <w:t xml:space="preserve">Included because it is the only open item in the decision register with no architecture decision record behind it, </w:t>
      </w:r>
      <w:r>
        <w:rPr>
          <w:b w:val="0"/>
          <w:color w:val="1A1A1A"/>
          <w:sz w:val="20"/>
        </w:rPr>
        <w:t>and a schedule that claims to cover the register would otherwise have a hole in it.</w:t>
      </w:r>
    </w:p>
    <w:p>
      <w:pPr>
        <w:spacing w:before="0" w:after="120"/>
      </w:pPr>
      <w:r>
        <w:rPr>
          <w:b/>
          <w:color w:val="1A1A1A"/>
          <w:sz w:val="20"/>
        </w:rPr>
        <w:t xml:space="preserve">It is not blocking anything. </w:t>
      </w:r>
      <w:r>
        <w:rPr>
          <w:b w:val="0"/>
          <w:color w:val="1A1A1A"/>
          <w:sz w:val="20"/>
        </w:rPr>
        <w:t>E4-S2 shipped on manual review, and the gate reads one field through one registry, so a provider would change who writes the KYC status rather than who reads it. Answering "manual for now" costs nothing and closes the row.</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Manual review, or a provider, for the MVP?</w:t>
            </w:r>
          </w:p>
          <w:p>
            <w:pPr>
              <w:spacing w:after="40" w:before="0"/>
            </w:pPr>
            <w:r>
              <w:rPr>
                <w:b w:val="0"/>
                <w:i/>
                <w:color w:val="5A5A5A"/>
                <w:sz w:val="17"/>
              </w:rPr>
              <w:t>Format: manual, or provider.</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a provider, which one?</w:t>
            </w:r>
          </w:p>
          <w:p>
            <w:pPr>
              <w:spacing w:after="40" w:before="0"/>
            </w:pPr>
            <w:r>
              <w:rPr>
                <w:b w:val="0"/>
                <w:i/>
                <w:color w:val="5A5A5A"/>
                <w:sz w:val="17"/>
              </w:rPr>
              <w:t>Format: name the provider, or write "not applicable".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Who decided, and on what date?</w:t>
            </w:r>
          </w:p>
          <w:p>
            <w:pPr>
              <w:spacing w:after="40" w:before="0"/>
            </w:pPr>
            <w:r>
              <w:rPr>
                <w:b w:val="0"/>
                <w:i/>
                <w:color w:val="5A5A5A"/>
                <w:sz w:val="17"/>
              </w:rPr>
              <w:t>Format: full name, role, date.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D3 row and the E4-S2 entry in the outstanding backlog. A new decision record, if a provider is chosen.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D3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EXT-1</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EXT-2</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D3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client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