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Counsel. One of the eleven items on this schedule, and nothing else is being asked of you.</w:t>
      </w:r>
    </w:p>
    <w:p>
      <w:pPr>
        <w:spacing w:before="40" w:after="120"/>
      </w:pPr>
      <w:r>
        <w:rPr>
          <w:b w:val="0"/>
          <w:i w:val="0"/>
          <w:color w:val="5A5A5A"/>
          <w:sz w:val="18"/>
        </w:rPr>
        <w:t>Reference ENG-CS-2026-08-06-01, counsel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counsel,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EXT-4</w:t>
            </w:r>
          </w:p>
        </w:tc>
        <w:tc>
          <w:tcPr>
            <w:tcW w:type="dxa" w:w="3175"/>
          </w:tcPr>
          <w:p>
            <w:pPr>
              <w:spacing w:after="40" w:before="40"/>
            </w:pPr>
            <w:r>
              <w:t>Counsel-approved instruments and terms</w:t>
            </w:r>
          </w:p>
        </w:tc>
        <w:tc>
          <w:tcPr>
            <w:tcW w:type="dxa" w:w="4025"/>
          </w:tcPr>
          <w:p>
            <w:pPr>
              <w:spacing w:after="40" w:before="40"/>
            </w:pPr>
            <w:r>
              <w:t>The client,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counsel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