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Data protection officer. One of the eleven items on this schedule, and nothing else is being asked of you.</w:t>
      </w:r>
    </w:p>
    <w:p>
      <w:pPr>
        <w:spacing w:before="40" w:after="120"/>
      </w:pPr>
      <w:r>
        <w:rPr>
          <w:b w:val="0"/>
          <w:i w:val="0"/>
          <w:color w:val="5A5A5A"/>
          <w:sz w:val="18"/>
        </w:rPr>
        <w:t>Reference ENG-CS-2026-08-06-01, data protection officer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data protection officer,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EXT-5</w:t>
            </w:r>
          </w:p>
        </w:tc>
        <w:tc>
          <w:tcPr>
            <w:tcW w:type="dxa" w:w="3175"/>
          </w:tcPr>
          <w:p>
            <w:pPr>
              <w:spacing w:after="40" w:before="40"/>
            </w:pPr>
            <w:r>
              <w:t>Privacy notice, retention periods and an adopted policy</w:t>
            </w:r>
          </w:p>
        </w:tc>
        <w:tc>
          <w:tcPr>
            <w:tcW w:type="dxa" w:w="4025"/>
          </w:tcPr>
          <w:p>
            <w:pPr>
              <w:spacing w:after="40" w:before="40"/>
            </w:pPr>
            <w:r>
              <w:t>The client and the board, answering together with you.</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data protection officer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