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Eleven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Revised</w:t>
            </w:r>
          </w:p>
        </w:tc>
        <w:tc>
          <w:tcPr>
            <w:tcW w:type="dxa" w:w="6690"/>
          </w:tcPr>
          <w:p>
            <w:pPr>
              <w:spacing w:after="40" w:before="40"/>
            </w:pPr>
            <w:r/>
            <w:r>
              <w:rPr>
                <w:b w:val="0"/>
                <w:i w:val="0"/>
                <w:color w:val="1A1A1A"/>
                <w:sz w:val="21"/>
              </w:rPr>
              <w:t>6 August 2026, before dispatch, after the answers to ENG-DR-2026-08-06-01 came back the same day. Two of those five answers closed. Three did not, and the three that did not are now items on this schedule. Nine items became eleven. Revised a third time the same afternoon, still before dispatch: three of the four smaller gaps listed under EXT-8 were answered, and the fourth follows from one of the three, so item EXT-8 asks for three sentences and one instruction rather than for those and five more things. The count of items is unchanged at eleven and EXT-8 is still open, on exactly the three contradictions it was open on that morning. The answers are recorded inside the item rather than deleted from it. Revised a fourth time the same afternoon, still before dispatch: row 3 of EXT-8 asked for the ALD format with one line on what XX stands for and now asks for one line each on YY and XX, because LOCYYXX is seven unbroken characters and the split into segments is engineering's reading rather than the document's. Nothing was resolved toward either reading and the count of items is unchanged at eleven.</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 B is the one place that reads like a new question and is not. </w:t>
      </w:r>
      <w:r>
        <w:rPr>
          <w:b w:val="0"/>
          <w:color w:val="1A1A1A"/>
          <w:sz w:val="21"/>
        </w:rPr>
        <w:t>Two of those five decision requests came back on 6 August with answers that contradict themselves, in the same document, on the same pages. Part B asks which of the two readings is meant. That is the same question already asked, returned unresolved, not a further one.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eleven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 and the outstanding half of EXT-10</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EXT-8</w:t>
            </w:r>
          </w:p>
        </w:tc>
        <w:tc>
          <w:tcPr>
            <w:tcW w:type="dxa" w:w="3175"/>
          </w:tcPr>
          <w:p>
            <w:pPr>
              <w:spacing w:after="40" w:before="40"/>
            </w:pPr>
            <w:r/>
            <w:r>
              <w:rPr>
                <w:b w:val="0"/>
                <w:i w:val="0"/>
                <w:color w:val="1A1A1A"/>
                <w:sz w:val="18"/>
              </w:rPr>
              <w:t>Three contradictions inside the identifier answer</w:t>
            </w:r>
          </w:p>
        </w:tc>
        <w:tc>
          <w:tcPr>
            <w:tcW w:type="dxa" w:w="4025"/>
          </w:tcPr>
          <w:p>
            <w:pPr>
              <w:spacing w:after="40" w:before="40"/>
            </w:pPr>
            <w:r/>
            <w:r>
              <w:rPr>
                <w:b w:val="0"/>
                <w:i w:val="0"/>
                <w:color w:val="1A1A1A"/>
                <w:sz w:val="18"/>
              </w:rPr>
              <w:t>The identifier half of E9-S2</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EXT-9</w:t>
            </w:r>
          </w:p>
        </w:tc>
        <w:tc>
          <w:tcPr>
            <w:tcW w:type="dxa" w:w="3175"/>
          </w:tcPr>
          <w:p>
            <w:pPr>
              <w:spacing w:after="40" w:before="40"/>
            </w:pPr>
            <w:r/>
            <w:r>
              <w:rPr>
                <w:b w:val="0"/>
                <w:i w:val="0"/>
                <w:color w:val="1A1A1A"/>
                <w:sz w:val="18"/>
              </w:rPr>
              <w:t>The commission rate. The structure is settled, the number is not</w:t>
            </w:r>
          </w:p>
        </w:tc>
        <w:tc>
          <w:tcPr>
            <w:tcW w:type="dxa" w:w="4025"/>
          </w:tcPr>
          <w:p>
            <w:pPr>
              <w:spacing w:after="40" w:before="40"/>
            </w:pPr>
            <w:r/>
            <w:r>
              <w:rPr>
                <w:b w:val="0"/>
                <w:i w:val="0"/>
                <w:color w:val="1A1A1A"/>
                <w:sz w:val="18"/>
              </w:rPr>
              <w:t>E9-S3's commission half, and two points of EXT-4</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and EXT-9 joined this schedule on 6 August, after they were answered. That is not a contradiction. Both were answered the same day inside ENG-DR-2026-08-06-01, and both answers left a point unsettled that the answer itself created. An item that has been answered and is still open is exactly what this schedule is for. EXT-10 is answered and half-open too, and it is chased at EXT-4 rather than given a row of its own, because what it now waits on is counsel's signature. EXT-11 and EXT-12 are closed.</w:t>
      </w:r>
    </w:p>
    <w:p>
      <w:r>
        <w:br w:type="page"/>
      </w:r>
    </w:p>
    <w:p>
      <w:pPr>
        <w:spacing w:before="0" w:after="80"/>
      </w:pPr>
      <w:r>
        <w:rPr>
          <w:b/>
          <w:color w:val="1A1A1A"/>
          <w:sz w:val="44"/>
        </w:rPr>
        <w:t>This copy</w:t>
      </w:r>
    </w:p>
    <w:p>
      <w:pPr>
        <w:spacing w:after="280"/>
        <w:pBdr>
          <w:bottom w:val="single" w:sz="6" w:space="6" w:color="999999"/>
        </w:pBdr>
      </w:pPr>
      <w:r>
        <w:rPr>
          <w:i/>
          <w:color w:val="5A5A5A"/>
          <w:sz w:val="21"/>
        </w:rPr>
        <w:t>Security. One of the eleven items on this schedule, and nothing else is being asked of you.</w:t>
      </w:r>
    </w:p>
    <w:p>
      <w:pPr>
        <w:spacing w:before="40" w:after="120"/>
      </w:pPr>
      <w:r>
        <w:rPr>
          <w:b w:val="0"/>
          <w:i w:val="0"/>
          <w:color w:val="5A5A5A"/>
          <w:sz w:val="18"/>
        </w:rPr>
        <w:t>Reference ENG-CS-2026-08-06-01, security copy. This is a split of that document rather than a new one, so the reference does not change and neither does the freeze on it. Once a copy has gone out it is never revised in place, and a change becomes ENG-CS-2026-08-06-02, authored fresh.</w:t>
      </w:r>
    </w:p>
    <w:p>
      <w:pPr>
        <w:spacing w:before="0" w:after="120"/>
      </w:pPr>
      <w:r>
        <w:rPr>
          <w:b w:val="0"/>
          <w:i w:val="0"/>
          <w:color w:val="1A1A1A"/>
          <w:sz w:val="21"/>
        </w:rPr>
        <w:t>The schedule has been split by owner so that nobody has to read past what they are named on. Pages 1 to 3 are the same in every copy. Everything after this page is the part of the full schedule that names Security, in the same order and the same wording as the full document. Nothing has been rewritten for this copy.</w:t>
      </w:r>
    </w:p>
    <w:p>
      <w:pPr>
        <w:spacing w:before="0" w:after="120"/>
      </w:pPr>
      <w:r>
        <w:rPr>
          <w:b w:val="0"/>
          <w:i w:val="0"/>
          <w:color w:val="1A1A1A"/>
          <w:sz w:val="21"/>
        </w:rPr>
        <w:t>The table of eleven items on page 3 lists the whole schedule, because page 3 is the same in every copy. Anything on it that is not in the table below sits in somebody else's copy and needs nothing from you.</w:t>
      </w:r>
    </w:p>
    <w:p>
      <w:pPr>
        <w:spacing w:before="0" w:after="80"/>
      </w:pPr>
      <w:r>
        <w:rPr>
          <w:b/>
          <w:color w:val="1A1A1A"/>
          <w:sz w:val="23"/>
        </w:rPr>
        <w:t>What is in this copy</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t>Item</w:t>
            </w:r>
          </w:p>
        </w:tc>
        <w:tc>
          <w:tcPr>
            <w:tcW w:type="dxa" w:w="3175"/>
            <w:shd w:val="clear" w:fill="EDEDED"/>
          </w:tcPr>
          <w:p>
            <w:pPr>
              <w:spacing w:after="40" w:before="40"/>
            </w:pPr>
            <w:r>
              <w:t>Subject</w:t>
            </w:r>
          </w:p>
        </w:tc>
        <w:tc>
          <w:tcPr>
            <w:tcW w:type="dxa" w:w="4025"/>
            <w:shd w:val="clear" w:fill="EDEDED"/>
          </w:tcPr>
          <w:p>
            <w:pPr>
              <w:spacing w:after="40" w:before="40"/>
            </w:pPr>
            <w:r>
              <w:t>Who else is named on it</w:t>
            </w:r>
          </w:p>
        </w:tc>
        <w:tc>
          <w:tcPr>
            <w:tcW w:type="dxa" w:w="1020"/>
            <w:shd w:val="clear" w:fill="EDEDED"/>
          </w:tcPr>
          <w:p>
            <w:pPr>
              <w:spacing w:after="40" w:before="40"/>
            </w:pPr>
            <w:r>
              <w:t>Where it is</w:t>
            </w:r>
          </w:p>
        </w:tc>
      </w:tr>
      <w:tr>
        <w:tc>
          <w:tcPr>
            <w:tcW w:type="dxa" w:w="1077"/>
          </w:tcPr>
          <w:p>
            <w:pPr>
              <w:spacing w:after="40" w:before="40"/>
            </w:pPr>
            <w:r>
              <w:t>ADR-0004</w:t>
            </w:r>
          </w:p>
        </w:tc>
        <w:tc>
          <w:tcPr>
            <w:tcW w:type="dxa" w:w="3175"/>
          </w:tcPr>
          <w:p>
            <w:pPr>
              <w:spacing w:after="40" w:before="40"/>
            </w:pPr>
            <w:r>
              <w:t>Private documents behind authorization</w:t>
            </w:r>
          </w:p>
        </w:tc>
        <w:tc>
          <w:tcPr>
            <w:tcW w:type="dxa" w:w="4025"/>
          </w:tcPr>
          <w:p>
            <w:pPr>
              <w:spacing w:after="40" w:before="40"/>
            </w:pPr>
            <w:r>
              <w:t>Product and the client, answering together with you.</w:t>
            </w:r>
          </w:p>
        </w:tc>
        <w:tc>
          <w:tcPr>
            <w:tcW w:type="dxa" w:w="1020"/>
          </w:tcPr>
          <w:p>
            <w:pPr>
              <w:spacing w:after="40" w:before="40"/>
            </w:pPr>
            <w:r>
              <w:t>Part C</w:t>
            </w:r>
          </w:p>
        </w:tc>
      </w:tr>
    </w:tbl>
    <w:p>
      <w:pPr>
        <w:spacing w:before="40" w:after="120"/>
      </w:pPr>
      <w:r>
        <w:rPr>
          <w:b w:val="0"/>
          <w:i w:val="0"/>
          <w:color w:val="5A5A5A"/>
          <w:sz w:val="18"/>
        </w:rPr>
        <w:t>Where a second party is named on an item, that item takes one agreed answer and not one answer from each copy. The response block is printed in both copies so that either of you can be the one who writes in it, and the collation sheet at the back is where it gets recorded.</w:t>
      </w:r>
    </w:p>
    <w:p>
      <w:r>
        <w:br w:type="page"/>
      </w:r>
    </w:p>
    <w:p>
      <w:pPr>
        <w:spacing w:before="0" w:after="80"/>
      </w:pPr>
      <w:r>
        <w:rPr>
          <w:b/>
          <w:color w:val="1A1A1A"/>
          <w:sz w:val="44"/>
        </w:rPr>
        <w:t>Part B</w:t>
      </w:r>
    </w:p>
    <w:p>
      <w:pPr>
        <w:spacing w:after="280"/>
        <w:pBdr>
          <w:bottom w:val="single" w:sz="6" w:space="6" w:color="999999"/>
        </w:pBdr>
      </w:pPr>
      <w:r>
        <w:rPr>
          <w:i/>
          <w:color w:val="5A5A5A"/>
          <w:sz w:val="21"/>
        </w:rPr>
        <w:t>Answered on 6 August. Nothing in this part is asked of you. It is here because items elsewhere in your copy point at it.</w:t>
      </w:r>
    </w:p>
    <w:p>
      <w:pPr>
        <w:spacing w:before="0" w:after="120"/>
      </w:pPr>
      <w:r>
        <w:rPr>
          <w:b w:val="0"/>
          <w:i w:val="0"/>
          <w:color w:val="1A1A1A"/>
          <w:sz w:val="21"/>
        </w:rPr>
        <w:t>EXT-8 to EXT-12 went out on 6 August inside ENG-DR-2026-08-06-01 and all five came back the same day, every response box filled and every one naming a decider. Two of the five closed. Three did not.</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20"/>
            <w:shd w:val="clear" w:fill="EDEDED"/>
          </w:tcPr>
          <w:p>
            <w:pPr>
              <w:spacing w:after="40" w:before="40"/>
            </w:pPr>
            <w:r/>
            <w:r>
              <w:rPr>
                <w:b/>
                <w:i w:val="0"/>
                <w:color w:val="1A1A1A"/>
                <w:sz w:val="18"/>
              </w:rPr>
              <w:t>Item</w:t>
            </w:r>
          </w:p>
        </w:tc>
        <w:tc>
          <w:tcPr>
            <w:tcW w:type="dxa" w:w="1928"/>
            <w:shd w:val="clear" w:fill="EDEDED"/>
          </w:tcPr>
          <w:p>
            <w:pPr>
              <w:spacing w:after="40" w:before="40"/>
            </w:pPr>
            <w:r/>
            <w:r>
              <w:rPr>
                <w:b/>
                <w:i w:val="0"/>
                <w:color w:val="1A1A1A"/>
                <w:sz w:val="18"/>
              </w:rPr>
              <w:t>State after 6 August</w:t>
            </w:r>
          </w:p>
        </w:tc>
        <w:tc>
          <w:tcPr>
            <w:tcW w:type="dxa" w:w="4762"/>
            <w:shd w:val="clear" w:fill="EDEDED"/>
          </w:tcPr>
          <w:p>
            <w:pPr>
              <w:spacing w:after="40" w:before="40"/>
            </w:pPr>
            <w:r/>
            <w:r>
              <w:rPr>
                <w:b/>
                <w:i w:val="0"/>
                <w:color w:val="1A1A1A"/>
                <w:sz w:val="18"/>
              </w:rPr>
              <w:t>What is still needed</w:t>
            </w:r>
          </w:p>
        </w:tc>
        <w:tc>
          <w:tcPr>
            <w:tcW w:type="dxa" w:w="1587"/>
            <w:shd w:val="clear" w:fill="EDEDED"/>
          </w:tcPr>
          <w:p>
            <w:pPr>
              <w:spacing w:after="40" w:before="40"/>
            </w:pPr>
            <w:r/>
            <w:r>
              <w:rPr>
                <w:b/>
                <w:i w:val="0"/>
                <w:color w:val="1A1A1A"/>
                <w:sz w:val="18"/>
              </w:rPr>
              <w:t>Blocks</w:t>
            </w:r>
          </w:p>
        </w:tc>
      </w:tr>
      <w:tr>
        <w:tc>
          <w:tcPr>
            <w:tcW w:type="dxa" w:w="1020"/>
          </w:tcPr>
          <w:p>
            <w:pPr>
              <w:spacing w:after="40" w:before="40"/>
            </w:pPr>
            <w:r/>
            <w:r>
              <w:rPr>
                <w:b w:val="0"/>
                <w:i w:val="0"/>
                <w:color w:val="1A1A1A"/>
                <w:sz w:val="18"/>
              </w:rPr>
              <w:t>EXT-8</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Three contradictions inside the answer. Four smaller gaps stood beside them and were answered on 6 August, so this ask is shorter than it was that morning. Item EXT-8 below</w:t>
            </w:r>
          </w:p>
        </w:tc>
        <w:tc>
          <w:tcPr>
            <w:tcW w:type="dxa" w:w="1587"/>
          </w:tcPr>
          <w:p>
            <w:pPr>
              <w:spacing w:after="40" w:before="40"/>
            </w:pPr>
            <w:r/>
            <w:r>
              <w:rPr>
                <w:b w:val="0"/>
                <w:i w:val="0"/>
                <w:color w:val="1A1A1A"/>
                <w:sz w:val="18"/>
              </w:rPr>
              <w:t>E9-S2</w:t>
            </w:r>
          </w:p>
        </w:tc>
      </w:tr>
      <w:tr>
        <w:tc>
          <w:tcPr>
            <w:tcW w:type="dxa" w:w="1020"/>
          </w:tcPr>
          <w:p>
            <w:pPr>
              <w:spacing w:after="40" w:before="40"/>
            </w:pPr>
            <w:r/>
            <w:r>
              <w:rPr>
                <w:b w:val="0"/>
                <w:i w:val="0"/>
                <w:color w:val="1A1A1A"/>
                <w:sz w:val="18"/>
              </w:rPr>
              <w:t>EXT-9</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The rate. The structure is settled and the number is not. Item EXT-9 below</w:t>
            </w:r>
          </w:p>
        </w:tc>
        <w:tc>
          <w:tcPr>
            <w:tcW w:type="dxa" w:w="1587"/>
          </w:tcPr>
          <w:p>
            <w:pPr>
              <w:spacing w:after="40" w:before="40"/>
            </w:pPr>
            <w:r/>
            <w:r>
              <w:rPr>
                <w:b w:val="0"/>
                <w:i w:val="0"/>
                <w:color w:val="1A1A1A"/>
                <w:sz w:val="18"/>
              </w:rPr>
              <w:t>E9-S3, and EXT-4</w:t>
            </w:r>
          </w:p>
        </w:tc>
      </w:tr>
      <w:tr>
        <w:tc>
          <w:tcPr>
            <w:tcW w:type="dxa" w:w="1020"/>
          </w:tcPr>
          <w:p>
            <w:pPr>
              <w:spacing w:after="40" w:before="40"/>
            </w:pPr>
            <w:r/>
            <w:r>
              <w:rPr>
                <w:b w:val="0"/>
                <w:i w:val="0"/>
                <w:color w:val="1A1A1A"/>
                <w:sz w:val="18"/>
              </w:rPr>
              <w:t>EXT-10</w:t>
            </w:r>
          </w:p>
        </w:tc>
        <w:tc>
          <w:tcPr>
            <w:tcW w:type="dxa" w:w="1928"/>
          </w:tcPr>
          <w:p>
            <w:pPr>
              <w:spacing w:after="40" w:before="40"/>
            </w:pPr>
            <w:r/>
            <w:r>
              <w:rPr>
                <w:b w:val="0"/>
                <w:i w:val="0"/>
                <w:color w:val="1A1A1A"/>
                <w:sz w:val="18"/>
              </w:rPr>
              <w:t>Answered by Finance, not closed</w:t>
            </w:r>
          </w:p>
        </w:tc>
        <w:tc>
          <w:tcPr>
            <w:tcW w:type="dxa" w:w="4762"/>
          </w:tcPr>
          <w:p>
            <w:pPr>
              <w:spacing w:after="40" w:before="40"/>
            </w:pPr>
            <w:r/>
            <w:r>
              <w:rPr>
                <w:b w:val="0"/>
                <w:i w:val="0"/>
                <w:color w:val="1A1A1A"/>
                <w:sz w:val="18"/>
              </w:rPr>
              <w:t>Counsel's signature on the position drafted for it, and the CEO, COO and CFO approval of the configuration. Asked at EXT-4 rows 6 and 7, because it is counsel's work</w:t>
            </w:r>
          </w:p>
        </w:tc>
        <w:tc>
          <w:tcPr>
            <w:tcW w:type="dxa" w:w="1587"/>
          </w:tcPr>
          <w:p>
            <w:pPr>
              <w:spacing w:after="40" w:before="40"/>
            </w:pPr>
            <w:r/>
            <w:r>
              <w:rPr>
                <w:b w:val="0"/>
                <w:i w:val="0"/>
                <w:color w:val="1A1A1A"/>
                <w:sz w:val="18"/>
              </w:rPr>
              <w:t>E9-S3, gate G4</w:t>
            </w:r>
          </w:p>
        </w:tc>
      </w:tr>
      <w:tr>
        <w:tc>
          <w:tcPr>
            <w:tcW w:type="dxa" w:w="1020"/>
          </w:tcPr>
          <w:p>
            <w:pPr>
              <w:spacing w:after="40" w:before="40"/>
            </w:pPr>
            <w:r/>
            <w:r>
              <w:rPr>
                <w:b w:val="0"/>
                <w:i w:val="0"/>
                <w:color w:val="1A1A1A"/>
                <w:sz w:val="18"/>
              </w:rPr>
              <w:t>EXT-11</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an executed transfer instrument at EXT-2 row 4, an amended privacy policy and a copy of GAID 2025 at EXT-5 rows 7 and 8</w:t>
            </w:r>
          </w:p>
        </w:tc>
        <w:tc>
          <w:tcPr>
            <w:tcW w:type="dxa" w:w="1587"/>
          </w:tcPr>
          <w:p>
            <w:pPr>
              <w:spacing w:after="40" w:before="40"/>
            </w:pPr>
            <w:r/>
            <w:r>
              <w:rPr>
                <w:b w:val="0"/>
                <w:i w:val="0"/>
                <w:color w:val="1A1A1A"/>
                <w:sz w:val="18"/>
              </w:rPr>
              <w:t>Released the region half of D4</w:t>
            </w:r>
          </w:p>
        </w:tc>
      </w:tr>
      <w:tr>
        <w:tc>
          <w:tcPr>
            <w:tcW w:type="dxa" w:w="1020"/>
          </w:tcPr>
          <w:p>
            <w:pPr>
              <w:spacing w:after="40" w:before="40"/>
            </w:pPr>
            <w:r/>
            <w:r>
              <w:rPr>
                <w:b w:val="0"/>
                <w:i w:val="0"/>
                <w:color w:val="1A1A1A"/>
                <w:sz w:val="18"/>
              </w:rPr>
              <w:t>EXT-12</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ID Standard Version 2, due 13 August 2026, and the instrument corrections at EXT-4 rows 5 and 10</w:t>
            </w:r>
          </w:p>
        </w:tc>
        <w:tc>
          <w:tcPr>
            <w:tcW w:type="dxa" w:w="1587"/>
          </w:tcPr>
          <w:p>
            <w:pPr>
              <w:spacing w:after="40" w:before="40"/>
            </w:pPr>
            <w:r/>
            <w:r>
              <w:rPr>
                <w:b w:val="0"/>
                <w:i w:val="0"/>
                <w:color w:val="1A1A1A"/>
                <w:sz w:val="18"/>
              </w:rPr>
              <w:t>Released EXT-3 row 8</w:t>
            </w:r>
          </w:p>
        </w:tc>
      </w:tr>
    </w:tbl>
    <w:p>
      <w:pPr>
        <w:spacing w:after="40"/>
      </w:pPr>
    </w:p>
    <w:p>
      <w:r>
        <w:br w:type="page"/>
      </w:r>
    </w:p>
    <w:p>
      <w:pPr>
        <w:spacing w:before="0" w:after="80"/>
      </w:pPr>
      <w:r>
        <w:rPr>
          <w:b/>
          <w:color w:val="1A1A1A"/>
          <w:sz w:val="44"/>
        </w:rPr>
        <w:t>Part C</w:t>
      </w:r>
    </w:p>
    <w:p>
      <w:pPr>
        <w:spacing w:after="280"/>
        <w:pBdr>
          <w:bottom w:val="single" w:sz="6" w:space="6" w:color="999999"/>
        </w:pBdr>
      </w:pPr>
      <w:r>
        <w:rPr>
          <w:i/>
          <w:color w:val="5A5A5A"/>
          <w:sz w:val="21"/>
        </w:rPr>
        <w:t>Decision records. Two of these ratify behaviour that is already live in production.</w:t>
      </w:r>
    </w:p>
    <w:p>
      <w:pPr>
        <w:spacing w:before="0" w:after="80"/>
      </w:pPr>
      <w:r>
        <w:rPr>
          <w:b/>
          <w:color w:val="1A1A1A"/>
          <w:sz w:val="23"/>
        </w:rPr>
        <w:t>ADR-0001, MVP scope envelope, decision D1</w:t>
      </w:r>
    </w:p>
    <w:p>
      <w:pPr>
        <w:spacing w:before="0" w:after="120"/>
      </w:pPr>
      <w:r>
        <w:rPr>
          <w:b/>
          <w:color w:val="1A1A1A"/>
          <w:sz w:val="21"/>
        </w:rPr>
        <w:t xml:space="preserve">Accepted 2 August 2026. Nothing is required from you. </w:t>
      </w:r>
      <w:r>
        <w:rPr>
          <w:b w:val="0"/>
          <w:color w:val="1A1A1A"/>
          <w:sz w:val="21"/>
        </w:rPr>
        <w:t>On-platform property purchase is in the MVP, and wave 4 is what that answer released. It is listed so this schedule is a complete list rather than a list of problems.</w:t>
      </w:r>
    </w:p>
    <w:p>
      <w:pPr>
        <w:spacing w:before="240" w:after="80"/>
      </w:pPr>
      <w:r>
        <w:rPr>
          <w:b/>
          <w:color w:val="1A1A1A"/>
          <w:sz w:val="23"/>
        </w:rPr>
        <w:t>ADR-0002, escrow fund holding model, decision D2</w:t>
      </w:r>
    </w:p>
    <w:p>
      <w:pPr>
        <w:spacing w:before="0" w:after="120"/>
      </w:pPr>
      <w:r>
        <w:rPr>
          <w:b/>
          <w:color w:val="1A1A1A"/>
          <w:sz w:val="21"/>
        </w:rPr>
        <w:t xml:space="preserve">Accepted 5 August 2026. The decision itself needs nothing further. </w:t>
      </w:r>
      <w:r>
        <w:rPr>
          <w:b w:val="0"/>
          <w:color w:val="1A1A1A"/>
          <w:sz w:val="21"/>
        </w:rPr>
        <w:t>One thing attached to it is still outstanding: the section 14.2 approval to activate payments in production, which is a separate permission from the approval to build. It is asked for once, in row 7 of EXT-1, rather than twice.</w:t>
      </w:r>
    </w:p>
    <w:p>
      <w:r>
        <w:br w:type="page"/>
      </w:r>
    </w:p>
    <w:p>
      <w:pPr>
        <w:spacing w:before="0" w:after="20"/>
      </w:pPr>
      <w:r>
        <w:rPr>
          <w:b/>
          <w:color w:val="1A1A1A"/>
          <w:sz w:val="36"/>
        </w:rPr>
        <w:t>ADR-0004</w:t>
      </w:r>
    </w:p>
    <w:p>
      <w:pPr>
        <w:spacing w:after="120"/>
      </w:pPr>
      <w:r>
        <w:rPr>
          <w:b/>
          <w:color w:val="1A1A1A"/>
          <w:sz w:val="23"/>
        </w:rPr>
        <w:t>Private documents move behind authorization, decision D4</w:t>
      </w:r>
    </w:p>
    <w:p>
      <w:pPr>
        <w:spacing w:after="200"/>
        <w:pBdr>
          <w:bottom w:val="single" w:sz="6" w:space="6" w:color="999999"/>
        </w:pBdr>
      </w:pPr>
      <w:r>
        <w:rPr>
          <w:i/>
          <w:color w:val="5A5A5A"/>
          <w:sz w:val="19"/>
        </w:rPr>
        <w:t>Owner: Product, client, security     |     Relates to E3-S1, E3-S2, E3-S3 and gate G3. Status in the repository: Proposed.</w:t>
      </w:r>
    </w:p>
    <w:p>
      <w:pPr>
        <w:spacing w:before="0" w:after="120"/>
      </w:pPr>
      <w:r>
        <w:rPr>
          <w:b/>
          <w:color w:val="1A1A1A"/>
          <w:sz w:val="20"/>
        </w:rPr>
        <w:t xml:space="preserve">Also a ratification. </w:t>
      </w:r>
      <w:r>
        <w:rPr>
          <w:b w:val="0"/>
          <w:color w:val="1A1A1A"/>
          <w:sz w:val="20"/>
        </w:rPr>
        <w:t>E3-S1 shipped across several pull requests. The unauthenticated static mount is gone, private files are served only through an authorization-checked path, and a probe suite tests it. The decision record still says Proposed.</w:t>
      </w:r>
    </w:p>
    <w:p>
      <w:pPr>
        <w:spacing w:before="0" w:after="80"/>
      </w:pPr>
      <w:r>
        <w:rPr>
          <w:b w:val="0"/>
          <w:i w:val="0"/>
          <w:color w:val="1A1A1A"/>
          <w:sz w:val="20"/>
        </w:rPr>
        <w:t>Two consequences in it are still forward-looking rather than done, and those are the parts worth confirming knowingly.</w:t>
      </w:r>
    </w:p>
    <w:p>
      <w:pPr>
        <w:pStyle w:val="ListBullet"/>
        <w:spacing w:after="80"/>
        <w:ind w:left="397" w:hanging="198"/>
      </w:pPr>
      <w:r>
        <w:rPr>
          <w:b/>
          <w:color w:val="1A1A1A"/>
          <w:sz w:val="20"/>
        </w:rPr>
        <w:t xml:space="preserve">Production requires S3-compatible storage with public reads denied at the bucket policy, and the application refuses to start on a serverless platform with the local driver. </w:t>
      </w:r>
      <w:r>
        <w:rPr>
          <w:b w:val="0"/>
          <w:color w:val="1A1A1A"/>
          <w:sz w:val="20"/>
        </w:rPr>
        <w:t>That is another deliberate fail-closed posture, and it is what makes EXT-2 a blocker rather than a nice-to-have.</w:t>
      </w:r>
    </w:p>
    <w:p>
      <w:pPr>
        <w:pStyle w:val="ListBullet"/>
        <w:spacing w:after="80"/>
        <w:ind w:left="397" w:hanging="198"/>
      </w:pPr>
      <w:r>
        <w:rPr>
          <w:b/>
          <w:color w:val="1A1A1A"/>
          <w:sz w:val="20"/>
        </w:rPr>
        <w:t xml:space="preserve">A migration pass must copy recoverable objects and report the keys it cannot find, rather than failing silently. </w:t>
      </w:r>
      <w:r>
        <w:rPr>
          <w:b w:val="0"/>
          <w:color w:val="1A1A1A"/>
          <w:sz w:val="20"/>
        </w:rPr>
        <w:t>If files were uploaded to a temporary directory on a serverless deploy, some are already unrecoverable. Somebody outside engineering should decide what happens to the ones that cannot be found.</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Do you accept ADR-0004 as written?</w:t>
            </w:r>
          </w:p>
          <w:p>
            <w:pPr>
              <w:spacing w:after="40" w:before="0"/>
            </w:pPr>
            <w:r>
              <w:rPr>
                <w:b w:val="0"/>
                <w:i/>
                <w:color w:val="5A5A5A"/>
                <w:sz w:val="17"/>
              </w:rPr>
              <w:t>Format: accepted, or not accepted. If not accepted, say what instead.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Confirm you understand the production requirement.</w:t>
            </w:r>
          </w:p>
          <w:p>
            <w:pPr>
              <w:spacing w:after="40" w:before="0"/>
            </w:pPr>
            <w:r>
              <w:rPr>
                <w:b w:val="0"/>
                <w:i/>
                <w:color w:val="5A5A5A"/>
                <w:sz w:val="17"/>
              </w:rPr>
              <w:t>Format: yes or no. Production will refuse to start without S3-compatible storage with public reads denied.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What should happen to objects the migration pass cannot find?</w:t>
            </w:r>
          </w:p>
          <w:p>
            <w:pPr>
              <w:spacing w:after="40" w:before="0"/>
            </w:pPr>
            <w:r>
              <w:rPr>
                <w:b w:val="0"/>
                <w:i/>
                <w:color w:val="5A5A5A"/>
                <w:sz w:val="17"/>
              </w:rPr>
              <w:t>Format: choose one and name who does it. For example: notify the uploading user and ask them to re-upload; write them off with a recorded list; hold the migration until a backup is checked.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the decision takes effect.</w:t>
            </w:r>
          </w:p>
          <w:p>
            <w:pPr>
              <w:spacing w:after="40" w:before="0"/>
            </w:pPr>
            <w:r>
              <w:rPr>
                <w:b w:val="0"/>
                <w:i/>
                <w:color w:val="5A5A5A"/>
                <w:sz w:val="17"/>
              </w:rPr>
              <w:t>Format: a date. It may be backdated to when E3-S1 shipped.</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0" w:after="120"/>
      </w:pPr>
      <w:r>
        <w:rPr>
          <w:b w:val="0"/>
          <w:i w:val="0"/>
          <w:color w:val="5A5A5A"/>
          <w:sz w:val="18"/>
        </w:rPr>
        <w:t>The region sub-decision inside ADR-0004 moved on 6 August and is now takeable. It used to wait on EXT-11, and EXT-11 came back that day and closed. Takeable is not taken. Somebody still has to choose Nigerian or non-Nigerian, and the choice is asked for at EXT-2 rows 3 and 4 rather than a second time here. What changed is that answering it no longer depends on anybody else.</w:t>
      </w:r>
    </w:p>
    <w:p>
      <w:pPr>
        <w:spacing w:before="160" w:after="200"/>
      </w:pPr>
      <w:r>
        <w:rPr>
          <w:b/>
          <w:color w:val="5A5A5A"/>
          <w:sz w:val="18"/>
        </w:rPr>
        <w:t xml:space="preserve">Records we update when this lands, so you can see where your answer goes: </w:t>
      </w:r>
      <w:r>
        <w:rPr>
          <w:color w:val="5A5A5A"/>
          <w:sz w:val="18"/>
        </w:rPr>
        <w:t>The status line of ADR-0004, from Proposed to Accepted, with your name and date. The D4 row in the outstanding backlog.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ADR-0004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pPr>
        <w:spacing w:before="280" w:after="80"/>
      </w:pPr>
      <w:r>
        <w:rPr>
          <w:b/>
          <w:color w:val="1A1A1A"/>
          <w:sz w:val="23"/>
        </w:rPr>
        <w:t>ADR-0005, quality ratchet, decision D5</w:t>
      </w:r>
    </w:p>
    <w:p>
      <w:pPr>
        <w:spacing w:before="0" w:after="120"/>
      </w:pPr>
      <w:r>
        <w:rPr>
          <w:b/>
          <w:color w:val="1A1A1A"/>
          <w:sz w:val="21"/>
        </w:rPr>
        <w:t xml:space="preserve">Deliberately excluded from this schedule at the requester's instruction, 6 August 2026. </w:t>
      </w:r>
      <w:r>
        <w:rPr>
          <w:b w:val="0"/>
          <w:color w:val="1A1A1A"/>
          <w:sz w:val="21"/>
        </w:rPr>
        <w:t>It is recorded here so its absence reads as a decision rather than an oversight. It remains Proposed and D5 remains open. Nothing is asked of you on it.</w:t>
      </w: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ADR-0004</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80" w:after="40"/>
      </w:pPr>
      <w:r>
        <w:rPr>
          <w:b w:val="0"/>
          <w:i w:val="0"/>
          <w:color w:val="5A5A5A"/>
          <w:sz w:val="18"/>
        </w:rPr>
        <w:t>The EXT-8 and EXT-9 rows are for the follow-up asked in Part B. They are not for the answers given on 6 August, which are already recorded.</w:t>
      </w: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security copy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