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A4AC2" w:rsidRPr="002A4AC2" w:rsidRDefault="002A4AC2" w:rsidP="002A4AC2">
      <w:pPr>
        <w:spacing w:before="100" w:beforeAutospacing="1" w:after="100" w:afterAutospacing="1"/>
        <w:jc w:val="both"/>
        <w:rPr>
          <w:rFonts w:ascii="Comic Sans MS" w:eastAsia="Times New Roman" w:hAnsi="Comic Sans MS" w:cs="Times New Roman"/>
          <w:kern w:val="0"/>
          <w:lang w:eastAsia="en-GB"/>
          <w14:ligatures w14:val="none"/>
        </w:rPr>
      </w:pPr>
      <w:r w:rsidRPr="002A4AC2">
        <w:rPr>
          <w:rFonts w:ascii="Comic Sans MS" w:eastAsia="Times New Roman" w:hAnsi="Comic Sans MS" w:cs="Times New Roman"/>
          <w:b/>
          <w:bCs/>
          <w:kern w:val="0"/>
          <w:lang w:eastAsia="en-GB"/>
          <w14:ligatures w14:val="none"/>
        </w:rPr>
        <w:t>Security due diligence on the owner of landed property in Nigeria</w:t>
      </w:r>
      <w:r w:rsidRPr="002A4AC2">
        <w:rPr>
          <w:rFonts w:ascii="Comic Sans MS" w:eastAsia="Times New Roman" w:hAnsi="Comic Sans MS" w:cs="Times New Roman"/>
          <w:kern w:val="0"/>
          <w:lang w:eastAsia="en-GB"/>
          <w14:ligatures w14:val="none"/>
        </w:rPr>
        <w:t xml:space="preserve"> involves verifying the owner's legitimacy, assessing risks of fraud, money laundering, or other illicit activities, and confirming they have clear, transferable title. This is critical in Nigeria's real estate market due to prevalent title defects, dual tenure systems (statutory and customary land), and EFCC scrutiny of the sector as vulnerable to money laundering.</w:t>
      </w:r>
    </w:p>
    <w:p w:rsidR="002A4AC2" w:rsidRPr="002A4AC2" w:rsidRDefault="002A4AC2" w:rsidP="002A4AC2">
      <w:pPr>
        <w:spacing w:before="100" w:beforeAutospacing="1" w:after="100" w:afterAutospacing="1"/>
        <w:jc w:val="both"/>
        <w:rPr>
          <w:rFonts w:ascii="Comic Sans MS" w:eastAsia="Times New Roman" w:hAnsi="Comic Sans MS" w:cs="Times New Roman"/>
          <w:kern w:val="0"/>
          <w:lang w:eastAsia="en-GB"/>
          <w14:ligatures w14:val="none"/>
        </w:rPr>
      </w:pPr>
      <w:r w:rsidRPr="002A4AC2">
        <w:rPr>
          <w:rFonts w:ascii="Comic Sans MS" w:eastAsia="Times New Roman" w:hAnsi="Comic Sans MS" w:cs="Times New Roman"/>
          <w:kern w:val="0"/>
          <w:lang w:eastAsia="en-GB"/>
          <w14:ligatures w14:val="none"/>
        </w:rPr>
        <w:t xml:space="preserve">Real estate agents, developers, brokers, and related professionals are Designated Non-Financial Businesses and Professions (DNFBPs) under the Money Laundering (Prevention and Prohibition) Act 2022 (MLPPA). They must perform Customer Due Diligence (CDD)/KYC on </w:t>
      </w:r>
      <w:r w:rsidRPr="002A4AC2">
        <w:rPr>
          <w:rFonts w:ascii="Comic Sans MS" w:eastAsia="Times New Roman" w:hAnsi="Comic Sans MS" w:cs="Times New Roman"/>
          <w:b/>
          <w:bCs/>
          <w:kern w:val="0"/>
          <w:lang w:eastAsia="en-GB"/>
          <w14:ligatures w14:val="none"/>
        </w:rPr>
        <w:t>both buyers and sellers/vendors</w:t>
      </w:r>
      <w:r w:rsidRPr="002A4AC2">
        <w:rPr>
          <w:rFonts w:ascii="Comic Sans MS" w:eastAsia="Times New Roman" w:hAnsi="Comic Sans MS" w:cs="Times New Roman"/>
          <w:kern w:val="0"/>
          <w:lang w:eastAsia="en-GB"/>
          <w14:ligatures w14:val="none"/>
        </w:rPr>
        <w:t>, including identity verification, source of funds, beneficial ownership, and suspicious activity reporting to the Nigerian Financial Intelligence Unit (NFIU) via the Special Control Unit Against Money Laundering (SCUML).</w:t>
      </w:r>
    </w:p>
    <w:p w:rsidR="002A4AC2" w:rsidRPr="002A4AC2" w:rsidRDefault="002A4AC2" w:rsidP="002A4AC2">
      <w:pPr>
        <w:spacing w:before="100" w:beforeAutospacing="1" w:after="100" w:afterAutospacing="1"/>
        <w:jc w:val="both"/>
        <w:rPr>
          <w:rFonts w:ascii="Comic Sans MS" w:eastAsia="Times New Roman" w:hAnsi="Comic Sans MS" w:cs="Times New Roman"/>
          <w:kern w:val="0"/>
          <w:lang w:eastAsia="en-GB"/>
          <w14:ligatures w14:val="none"/>
        </w:rPr>
      </w:pPr>
      <w:r w:rsidRPr="002A4AC2">
        <w:rPr>
          <w:rFonts w:ascii="Comic Sans MS" w:eastAsia="Times New Roman" w:hAnsi="Comic Sans MS" w:cs="Times New Roman"/>
          <w:kern w:val="0"/>
          <w:lang w:eastAsia="en-GB"/>
          <w14:ligatures w14:val="none"/>
        </w:rPr>
        <w:t xml:space="preserve">Land matters are state-governed (primarily under the Land Use Act 1978), so procedures vary slightly by state (e.g., Lagos Lands Bureau vs. other states). Since no specific owner, property details, or location were provided, this is a </w:t>
      </w:r>
      <w:r w:rsidRPr="002A4AC2">
        <w:rPr>
          <w:rFonts w:ascii="Comic Sans MS" w:eastAsia="Times New Roman" w:hAnsi="Comic Sans MS" w:cs="Times New Roman"/>
          <w:b/>
          <w:bCs/>
          <w:kern w:val="0"/>
          <w:lang w:eastAsia="en-GB"/>
          <w14:ligatures w14:val="none"/>
        </w:rPr>
        <w:t>general step-by-step guide</w:t>
      </w:r>
      <w:r w:rsidRPr="002A4AC2">
        <w:rPr>
          <w:rFonts w:ascii="Comic Sans MS" w:eastAsia="Times New Roman" w:hAnsi="Comic Sans MS" w:cs="Times New Roman"/>
          <w:kern w:val="0"/>
          <w:lang w:eastAsia="en-GB"/>
          <w14:ligatures w14:val="none"/>
        </w:rPr>
        <w:t xml:space="preserve">. </w:t>
      </w:r>
      <w:r w:rsidRPr="002A4AC2">
        <w:rPr>
          <w:rFonts w:ascii="Comic Sans MS" w:eastAsia="Times New Roman" w:hAnsi="Comic Sans MS" w:cs="Times New Roman"/>
          <w:b/>
          <w:bCs/>
          <w:kern w:val="0"/>
          <w:lang w:eastAsia="en-GB"/>
          <w14:ligatures w14:val="none"/>
        </w:rPr>
        <w:t>Always engage a qualified real estate lawyer, estate surveyor, and (for high-value or high-risk deals) a licensed private investigator or compliance firm</w:t>
      </w:r>
      <w:r w:rsidRPr="002A4AC2">
        <w:rPr>
          <w:rFonts w:ascii="Comic Sans MS" w:eastAsia="Times New Roman" w:hAnsi="Comic Sans MS" w:cs="Times New Roman"/>
          <w:kern w:val="0"/>
          <w:lang w:eastAsia="en-GB"/>
          <w14:ligatures w14:val="none"/>
        </w:rPr>
        <w:t>—do not rely on self-checks or agent-provided documents alone.</w:t>
      </w:r>
    </w:p>
    <w:p w:rsidR="002A4AC2" w:rsidRPr="002A4AC2" w:rsidRDefault="002A4AC2" w:rsidP="002A4AC2">
      <w:pPr>
        <w:spacing w:before="100" w:beforeAutospacing="1" w:after="100" w:afterAutospacing="1"/>
        <w:jc w:val="both"/>
        <w:outlineLvl w:val="2"/>
        <w:rPr>
          <w:rFonts w:ascii="Comic Sans MS" w:eastAsia="Times New Roman" w:hAnsi="Comic Sans MS" w:cs="Times New Roman"/>
          <w:b/>
          <w:bCs/>
          <w:kern w:val="0"/>
          <w:lang w:eastAsia="en-GB"/>
          <w14:ligatures w14:val="none"/>
        </w:rPr>
      </w:pPr>
      <w:r w:rsidRPr="002A4AC2">
        <w:rPr>
          <w:rFonts w:ascii="Comic Sans MS" w:eastAsia="Times New Roman" w:hAnsi="Comic Sans MS" w:cs="Times New Roman"/>
          <w:b/>
          <w:bCs/>
          <w:kern w:val="0"/>
          <w:lang w:eastAsia="en-GB"/>
          <w14:ligatures w14:val="none"/>
        </w:rPr>
        <w:t>1. Engage Professionals and Gather Initial Information</w:t>
      </w:r>
    </w:p>
    <w:p w:rsidR="002A4AC2" w:rsidRPr="002A4AC2" w:rsidRDefault="002A4AC2" w:rsidP="002A4AC2">
      <w:pPr>
        <w:pStyle w:val="ListParagraph"/>
        <w:numPr>
          <w:ilvl w:val="0"/>
          <w:numId w:val="1"/>
        </w:numPr>
        <w:spacing w:before="100" w:beforeAutospacing="1" w:after="100" w:afterAutospacing="1"/>
        <w:jc w:val="both"/>
        <w:rPr>
          <w:rFonts w:ascii="Comic Sans MS" w:eastAsia="Times New Roman" w:hAnsi="Comic Sans MS" w:cs="Times New Roman"/>
          <w:kern w:val="0"/>
          <w:lang w:eastAsia="en-GB"/>
          <w14:ligatures w14:val="none"/>
        </w:rPr>
      </w:pPr>
      <w:r w:rsidRPr="002A4AC2">
        <w:rPr>
          <w:rFonts w:ascii="Comic Sans MS" w:eastAsia="Times New Roman" w:hAnsi="Comic Sans MS" w:cs="Times New Roman"/>
          <w:kern w:val="0"/>
          <w:lang w:eastAsia="en-GB"/>
          <w14:ligatures w14:val="none"/>
        </w:rPr>
        <w:t xml:space="preserve">Hire a </w:t>
      </w:r>
      <w:r w:rsidRPr="002A4AC2">
        <w:rPr>
          <w:rFonts w:ascii="Comic Sans MS" w:eastAsia="Times New Roman" w:hAnsi="Comic Sans MS" w:cs="Times New Roman"/>
          <w:b/>
          <w:bCs/>
          <w:kern w:val="0"/>
          <w:lang w:eastAsia="en-GB"/>
          <w14:ligatures w14:val="none"/>
        </w:rPr>
        <w:t>real estate solicitor</w:t>
      </w:r>
      <w:r w:rsidRPr="002A4AC2">
        <w:rPr>
          <w:rFonts w:ascii="Comic Sans MS" w:eastAsia="Times New Roman" w:hAnsi="Comic Sans MS" w:cs="Times New Roman"/>
          <w:kern w:val="0"/>
          <w:lang w:eastAsia="en-GB"/>
          <w14:ligatures w14:val="none"/>
        </w:rPr>
        <w:t xml:space="preserve"> (ideally with experience in the relevant state) and a licensed </w:t>
      </w:r>
      <w:r w:rsidRPr="002A4AC2">
        <w:rPr>
          <w:rFonts w:ascii="Comic Sans MS" w:eastAsia="Times New Roman" w:hAnsi="Comic Sans MS" w:cs="Times New Roman"/>
          <w:b/>
          <w:bCs/>
          <w:kern w:val="0"/>
          <w:lang w:eastAsia="en-GB"/>
          <w14:ligatures w14:val="none"/>
        </w:rPr>
        <w:t>estate surveyor/valuer</w:t>
      </w:r>
      <w:r w:rsidRPr="002A4AC2">
        <w:rPr>
          <w:rFonts w:ascii="Comic Sans MS" w:eastAsia="Times New Roman" w:hAnsi="Comic Sans MS" w:cs="Times New Roman"/>
          <w:kern w:val="0"/>
          <w:lang w:eastAsia="en-GB"/>
          <w14:ligatures w14:val="none"/>
        </w:rPr>
        <w:t>.</w:t>
      </w:r>
    </w:p>
    <w:p w:rsidR="002A4AC2" w:rsidRPr="002A4AC2" w:rsidRDefault="002A4AC2" w:rsidP="002A4AC2">
      <w:pPr>
        <w:numPr>
          <w:ilvl w:val="0"/>
          <w:numId w:val="1"/>
        </w:numPr>
        <w:spacing w:before="100" w:beforeAutospacing="1" w:after="100" w:afterAutospacing="1"/>
        <w:jc w:val="both"/>
        <w:rPr>
          <w:rFonts w:ascii="Comic Sans MS" w:eastAsia="Times New Roman" w:hAnsi="Comic Sans MS" w:cs="Times New Roman"/>
          <w:kern w:val="0"/>
          <w:lang w:eastAsia="en-GB"/>
          <w14:ligatures w14:val="none"/>
        </w:rPr>
      </w:pPr>
      <w:r w:rsidRPr="002A4AC2">
        <w:rPr>
          <w:rFonts w:ascii="Comic Sans MS" w:eastAsia="Times New Roman" w:hAnsi="Comic Sans MS" w:cs="Times New Roman"/>
          <w:kern w:val="0"/>
          <w:lang w:eastAsia="en-GB"/>
          <w14:ligatures w14:val="none"/>
        </w:rPr>
        <w:t>Request from the owner/seller (or their agent):</w:t>
      </w:r>
    </w:p>
    <w:p w:rsidR="002A4AC2" w:rsidRPr="002A4AC2" w:rsidRDefault="002A4AC2" w:rsidP="002A4AC2">
      <w:pPr>
        <w:pStyle w:val="ListParagraph"/>
        <w:numPr>
          <w:ilvl w:val="1"/>
          <w:numId w:val="1"/>
        </w:numPr>
        <w:spacing w:before="100" w:beforeAutospacing="1" w:after="100" w:afterAutospacing="1"/>
        <w:jc w:val="both"/>
        <w:rPr>
          <w:rFonts w:ascii="Comic Sans MS" w:eastAsia="Times New Roman" w:hAnsi="Comic Sans MS" w:cs="Times New Roman"/>
          <w:kern w:val="0"/>
          <w:lang w:eastAsia="en-GB"/>
          <w14:ligatures w14:val="none"/>
        </w:rPr>
      </w:pPr>
      <w:r w:rsidRPr="002A4AC2">
        <w:rPr>
          <w:rFonts w:ascii="Comic Sans MS" w:eastAsia="Times New Roman" w:hAnsi="Comic Sans MS" w:cs="Times New Roman"/>
          <w:kern w:val="0"/>
          <w:lang w:eastAsia="en-GB"/>
          <w14:ligatures w14:val="none"/>
        </w:rPr>
        <w:t>Full name, National Identification Number (NIN), passport, driver's license, or voter’s card.</w:t>
      </w:r>
    </w:p>
    <w:p w:rsidR="002A4AC2" w:rsidRPr="002A4AC2" w:rsidRDefault="002A4AC2" w:rsidP="002A4AC2">
      <w:pPr>
        <w:numPr>
          <w:ilvl w:val="1"/>
          <w:numId w:val="1"/>
        </w:numPr>
        <w:spacing w:before="100" w:beforeAutospacing="1" w:after="100" w:afterAutospacing="1"/>
        <w:jc w:val="both"/>
        <w:rPr>
          <w:rFonts w:ascii="Comic Sans MS" w:eastAsia="Times New Roman" w:hAnsi="Comic Sans MS" w:cs="Times New Roman"/>
          <w:kern w:val="0"/>
          <w:lang w:eastAsia="en-GB"/>
          <w14:ligatures w14:val="none"/>
        </w:rPr>
      </w:pPr>
      <w:r w:rsidRPr="002A4AC2">
        <w:rPr>
          <w:rFonts w:ascii="Comic Sans MS" w:eastAsia="Times New Roman" w:hAnsi="Comic Sans MS" w:cs="Times New Roman"/>
          <w:kern w:val="0"/>
          <w:lang w:eastAsia="en-GB"/>
          <w14:ligatures w14:val="none"/>
        </w:rPr>
        <w:t>Proof of address (utility bill).</w:t>
      </w:r>
    </w:p>
    <w:p w:rsidR="002A4AC2" w:rsidRPr="002A4AC2" w:rsidRDefault="002A4AC2" w:rsidP="002A4AC2">
      <w:pPr>
        <w:numPr>
          <w:ilvl w:val="1"/>
          <w:numId w:val="1"/>
        </w:numPr>
        <w:spacing w:before="100" w:beforeAutospacing="1" w:after="100" w:afterAutospacing="1"/>
        <w:jc w:val="both"/>
        <w:rPr>
          <w:rFonts w:ascii="Comic Sans MS" w:eastAsia="Times New Roman" w:hAnsi="Comic Sans MS" w:cs="Times New Roman"/>
          <w:kern w:val="0"/>
          <w:lang w:eastAsia="en-GB"/>
          <w14:ligatures w14:val="none"/>
        </w:rPr>
      </w:pPr>
      <w:r w:rsidRPr="002A4AC2">
        <w:rPr>
          <w:rFonts w:ascii="Comic Sans MS" w:eastAsia="Times New Roman" w:hAnsi="Comic Sans MS" w:cs="Times New Roman"/>
          <w:kern w:val="0"/>
          <w:lang w:eastAsia="en-GB"/>
          <w14:ligatures w14:val="none"/>
        </w:rPr>
        <w:t>Occupation and source of funds for acquiring/holding the property.</w:t>
      </w:r>
    </w:p>
    <w:p w:rsidR="002A4AC2" w:rsidRPr="002A4AC2" w:rsidRDefault="002A4AC2" w:rsidP="002A4AC2">
      <w:pPr>
        <w:numPr>
          <w:ilvl w:val="1"/>
          <w:numId w:val="1"/>
        </w:numPr>
        <w:spacing w:before="100" w:beforeAutospacing="1" w:after="100" w:afterAutospacing="1"/>
        <w:jc w:val="both"/>
        <w:rPr>
          <w:rFonts w:ascii="Comic Sans MS" w:eastAsia="Times New Roman" w:hAnsi="Comic Sans MS" w:cs="Times New Roman"/>
          <w:kern w:val="0"/>
          <w:lang w:eastAsia="en-GB"/>
          <w14:ligatures w14:val="none"/>
        </w:rPr>
      </w:pPr>
      <w:r w:rsidRPr="002A4AC2">
        <w:rPr>
          <w:rFonts w:ascii="Comic Sans MS" w:eastAsia="Times New Roman" w:hAnsi="Comic Sans MS" w:cs="Times New Roman"/>
          <w:kern w:val="0"/>
          <w:lang w:eastAsia="en-GB"/>
          <w14:ligatures w14:val="none"/>
        </w:rPr>
        <w:t>If a company: CAC registration documents, directors/shareholders list, and beneficial owners (persons with &gt;25% control).</w:t>
      </w:r>
    </w:p>
    <w:p w:rsidR="002A4AC2" w:rsidRPr="002A4AC2" w:rsidRDefault="002A4AC2" w:rsidP="002A4AC2">
      <w:pPr>
        <w:numPr>
          <w:ilvl w:val="0"/>
          <w:numId w:val="1"/>
        </w:numPr>
        <w:spacing w:before="100" w:beforeAutospacing="1" w:after="100" w:afterAutospacing="1"/>
        <w:jc w:val="both"/>
        <w:rPr>
          <w:rFonts w:ascii="Comic Sans MS" w:eastAsia="Times New Roman" w:hAnsi="Comic Sans MS" w:cs="Times New Roman"/>
          <w:kern w:val="0"/>
          <w:lang w:eastAsia="en-GB"/>
          <w14:ligatures w14:val="none"/>
        </w:rPr>
      </w:pPr>
      <w:r w:rsidRPr="002A4AC2">
        <w:rPr>
          <w:rFonts w:ascii="Comic Sans MS" w:eastAsia="Times New Roman" w:hAnsi="Comic Sans MS" w:cs="Times New Roman"/>
          <w:b/>
          <w:bCs/>
          <w:kern w:val="0"/>
          <w:lang w:eastAsia="en-GB"/>
          <w14:ligatures w14:val="none"/>
        </w:rPr>
        <w:t>Red flag</w:t>
      </w:r>
      <w:r w:rsidRPr="002A4AC2">
        <w:rPr>
          <w:rFonts w:ascii="Comic Sans MS" w:eastAsia="Times New Roman" w:hAnsi="Comic Sans MS" w:cs="Times New Roman"/>
          <w:kern w:val="0"/>
          <w:lang w:eastAsia="en-GB"/>
          <w14:ligatures w14:val="none"/>
        </w:rPr>
        <w:t>: Refusal to provide originals or inconsistent details.</w:t>
      </w:r>
    </w:p>
    <w:p w:rsidR="002A4AC2" w:rsidRPr="002A4AC2" w:rsidRDefault="002A4AC2" w:rsidP="002A4AC2">
      <w:pPr>
        <w:spacing w:before="100" w:beforeAutospacing="1" w:after="100" w:afterAutospacing="1"/>
        <w:jc w:val="both"/>
        <w:outlineLvl w:val="2"/>
        <w:rPr>
          <w:rFonts w:ascii="Comic Sans MS" w:eastAsia="Times New Roman" w:hAnsi="Comic Sans MS" w:cs="Times New Roman"/>
          <w:b/>
          <w:bCs/>
          <w:kern w:val="0"/>
          <w:lang w:eastAsia="en-GB"/>
          <w14:ligatures w14:val="none"/>
        </w:rPr>
      </w:pPr>
      <w:r w:rsidRPr="002A4AC2">
        <w:rPr>
          <w:rFonts w:ascii="Comic Sans MS" w:eastAsia="Times New Roman" w:hAnsi="Comic Sans MS" w:cs="Times New Roman"/>
          <w:b/>
          <w:bCs/>
          <w:kern w:val="0"/>
          <w:lang w:eastAsia="en-GB"/>
          <w14:ligatures w14:val="none"/>
        </w:rPr>
        <w:t>2. Verify Identity and Conduct KYC/CDD (Core Security Checks on the Owner)</w:t>
      </w:r>
    </w:p>
    <w:p w:rsidR="002A4AC2" w:rsidRPr="002A4AC2" w:rsidRDefault="002A4AC2" w:rsidP="002A4AC2">
      <w:pPr>
        <w:spacing w:before="100" w:beforeAutospacing="1" w:after="100" w:afterAutospacing="1"/>
        <w:jc w:val="both"/>
        <w:rPr>
          <w:rFonts w:ascii="Comic Sans MS" w:eastAsia="Times New Roman" w:hAnsi="Comic Sans MS" w:cs="Times New Roman"/>
          <w:kern w:val="0"/>
          <w:lang w:eastAsia="en-GB"/>
          <w14:ligatures w14:val="none"/>
        </w:rPr>
      </w:pPr>
      <w:r w:rsidRPr="002A4AC2">
        <w:rPr>
          <w:rFonts w:ascii="Comic Sans MS" w:eastAsia="Times New Roman" w:hAnsi="Comic Sans MS" w:cs="Times New Roman"/>
          <w:kern w:val="0"/>
          <w:lang w:eastAsia="en-GB"/>
          <w14:ligatures w14:val="none"/>
        </w:rPr>
        <w:t>Under EFCC/SCUML regulations for real estate DNFBPs:</w:t>
      </w:r>
    </w:p>
    <w:p w:rsidR="002A4AC2" w:rsidRPr="002A4AC2" w:rsidRDefault="002A4AC2" w:rsidP="002A4AC2">
      <w:pPr>
        <w:pStyle w:val="ListParagraph"/>
        <w:numPr>
          <w:ilvl w:val="0"/>
          <w:numId w:val="2"/>
        </w:numPr>
        <w:spacing w:before="100" w:beforeAutospacing="1" w:after="100" w:afterAutospacing="1"/>
        <w:jc w:val="both"/>
        <w:rPr>
          <w:rFonts w:ascii="Comic Sans MS" w:eastAsia="Times New Roman" w:hAnsi="Comic Sans MS" w:cs="Times New Roman"/>
          <w:kern w:val="0"/>
          <w:lang w:eastAsia="en-GB"/>
          <w14:ligatures w14:val="none"/>
        </w:rPr>
      </w:pPr>
      <w:r w:rsidRPr="002A4AC2">
        <w:rPr>
          <w:rFonts w:ascii="Comic Sans MS" w:eastAsia="Times New Roman" w:hAnsi="Comic Sans MS" w:cs="Times New Roman"/>
          <w:kern w:val="0"/>
          <w:lang w:eastAsia="en-GB"/>
          <w14:ligatures w14:val="none"/>
        </w:rPr>
        <w:t xml:space="preserve">Confirm the name on title documents </w:t>
      </w:r>
      <w:r w:rsidRPr="002A4AC2">
        <w:rPr>
          <w:rFonts w:ascii="Comic Sans MS" w:eastAsia="Times New Roman" w:hAnsi="Comic Sans MS" w:cs="Times New Roman"/>
          <w:b/>
          <w:bCs/>
          <w:kern w:val="0"/>
          <w:lang w:eastAsia="en-GB"/>
          <w14:ligatures w14:val="none"/>
        </w:rPr>
        <w:t>exactly matches</w:t>
      </w:r>
      <w:r w:rsidRPr="002A4AC2">
        <w:rPr>
          <w:rFonts w:ascii="Comic Sans MS" w:eastAsia="Times New Roman" w:hAnsi="Comic Sans MS" w:cs="Times New Roman"/>
          <w:kern w:val="0"/>
          <w:lang w:eastAsia="en-GB"/>
          <w14:ligatures w14:val="none"/>
        </w:rPr>
        <w:t xml:space="preserve"> the owner's government-issued ID and (if applicable) CAC profile.</w:t>
      </w:r>
    </w:p>
    <w:p w:rsidR="002A4AC2" w:rsidRPr="002A4AC2" w:rsidRDefault="002A4AC2" w:rsidP="002A4AC2">
      <w:pPr>
        <w:numPr>
          <w:ilvl w:val="0"/>
          <w:numId w:val="2"/>
        </w:numPr>
        <w:spacing w:before="100" w:beforeAutospacing="1" w:after="100" w:afterAutospacing="1"/>
        <w:jc w:val="both"/>
        <w:rPr>
          <w:rFonts w:ascii="Comic Sans MS" w:eastAsia="Times New Roman" w:hAnsi="Comic Sans MS" w:cs="Times New Roman"/>
          <w:kern w:val="0"/>
          <w:lang w:eastAsia="en-GB"/>
          <w14:ligatures w14:val="none"/>
        </w:rPr>
      </w:pPr>
      <w:r w:rsidRPr="002A4AC2">
        <w:rPr>
          <w:rFonts w:ascii="Comic Sans MS" w:eastAsia="Times New Roman" w:hAnsi="Comic Sans MS" w:cs="Times New Roman"/>
          <w:kern w:val="0"/>
          <w:lang w:eastAsia="en-GB"/>
          <w14:ligatures w14:val="none"/>
        </w:rPr>
        <w:lastRenderedPageBreak/>
        <w:t>Verify NIN (mandatory for many transactions) and check for Politically Exposed Persons (PEP) status—enhanced due diligence required for PEPs, their family, or associates.</w:t>
      </w:r>
    </w:p>
    <w:p w:rsidR="002A4AC2" w:rsidRPr="002A4AC2" w:rsidRDefault="002A4AC2" w:rsidP="002A4AC2">
      <w:pPr>
        <w:numPr>
          <w:ilvl w:val="0"/>
          <w:numId w:val="2"/>
        </w:numPr>
        <w:spacing w:before="100" w:beforeAutospacing="1" w:after="100" w:afterAutospacing="1"/>
        <w:jc w:val="both"/>
        <w:rPr>
          <w:rFonts w:ascii="Comic Sans MS" w:eastAsia="Times New Roman" w:hAnsi="Comic Sans MS" w:cs="Times New Roman"/>
          <w:kern w:val="0"/>
          <w:lang w:eastAsia="en-GB"/>
          <w14:ligatures w14:val="none"/>
        </w:rPr>
      </w:pPr>
      <w:r w:rsidRPr="002A4AC2">
        <w:rPr>
          <w:rFonts w:ascii="Comic Sans MS" w:eastAsia="Times New Roman" w:hAnsi="Comic Sans MS" w:cs="Times New Roman"/>
          <w:kern w:val="0"/>
          <w:lang w:eastAsia="en-GB"/>
          <w14:ligatures w14:val="none"/>
        </w:rPr>
        <w:t xml:space="preserve">Obtain and assess </w:t>
      </w:r>
      <w:r w:rsidRPr="002A4AC2">
        <w:rPr>
          <w:rFonts w:ascii="Comic Sans MS" w:eastAsia="Times New Roman" w:hAnsi="Comic Sans MS" w:cs="Times New Roman"/>
          <w:b/>
          <w:bCs/>
          <w:kern w:val="0"/>
          <w:lang w:eastAsia="en-GB"/>
          <w14:ligatures w14:val="none"/>
        </w:rPr>
        <w:t>source of funds/wealth</w:t>
      </w:r>
      <w:r w:rsidRPr="002A4AC2">
        <w:rPr>
          <w:rFonts w:ascii="Comic Sans MS" w:eastAsia="Times New Roman" w:hAnsi="Comic Sans MS" w:cs="Times New Roman"/>
          <w:kern w:val="0"/>
          <w:lang w:eastAsia="en-GB"/>
          <w14:ligatures w14:val="none"/>
        </w:rPr>
        <w:t xml:space="preserve"> documentation (bank statements, tax returns, or evidence of legitimate income). High-risk if funds are unexplained or from high-risk jurisdictions.</w:t>
      </w:r>
    </w:p>
    <w:p w:rsidR="002A4AC2" w:rsidRPr="002A4AC2" w:rsidRDefault="002A4AC2" w:rsidP="002A4AC2">
      <w:pPr>
        <w:numPr>
          <w:ilvl w:val="0"/>
          <w:numId w:val="2"/>
        </w:numPr>
        <w:spacing w:before="100" w:beforeAutospacing="1" w:after="100" w:afterAutospacing="1"/>
        <w:jc w:val="both"/>
        <w:rPr>
          <w:rFonts w:ascii="Comic Sans MS" w:eastAsia="Times New Roman" w:hAnsi="Comic Sans MS" w:cs="Times New Roman"/>
          <w:kern w:val="0"/>
          <w:lang w:eastAsia="en-GB"/>
          <w14:ligatures w14:val="none"/>
        </w:rPr>
      </w:pPr>
      <w:r w:rsidRPr="002A4AC2">
        <w:rPr>
          <w:rFonts w:ascii="Comic Sans MS" w:eastAsia="Times New Roman" w:hAnsi="Comic Sans MS" w:cs="Times New Roman"/>
          <w:kern w:val="0"/>
          <w:lang w:eastAsia="en-GB"/>
          <w14:ligatures w14:val="none"/>
        </w:rPr>
        <w:t xml:space="preserve">If corporate owner: Conduct a </w:t>
      </w:r>
      <w:r w:rsidRPr="002A4AC2">
        <w:rPr>
          <w:rFonts w:ascii="Comic Sans MS" w:eastAsia="Times New Roman" w:hAnsi="Comic Sans MS" w:cs="Times New Roman"/>
          <w:b/>
          <w:bCs/>
          <w:kern w:val="0"/>
          <w:lang w:eastAsia="en-GB"/>
          <w14:ligatures w14:val="none"/>
        </w:rPr>
        <w:t>CAC search</w:t>
      </w:r>
      <w:r w:rsidRPr="002A4AC2">
        <w:rPr>
          <w:rFonts w:ascii="Comic Sans MS" w:eastAsia="Times New Roman" w:hAnsi="Comic Sans MS" w:cs="Times New Roman"/>
          <w:kern w:val="0"/>
          <w:lang w:eastAsia="en-GB"/>
          <w14:ligatures w14:val="none"/>
        </w:rPr>
        <w:t xml:space="preserve"> (online or at Corporate Affairs Commission office) for registration status, directors, history of changes, and any disqualifications.</w:t>
      </w:r>
    </w:p>
    <w:p w:rsidR="002A4AC2" w:rsidRPr="002A4AC2" w:rsidRDefault="002A4AC2" w:rsidP="002A4AC2">
      <w:pPr>
        <w:numPr>
          <w:ilvl w:val="0"/>
          <w:numId w:val="2"/>
        </w:numPr>
        <w:spacing w:before="100" w:beforeAutospacing="1" w:after="100" w:afterAutospacing="1"/>
        <w:jc w:val="both"/>
        <w:rPr>
          <w:rFonts w:ascii="Comic Sans MS" w:eastAsia="Times New Roman" w:hAnsi="Comic Sans MS" w:cs="Times New Roman"/>
          <w:kern w:val="0"/>
          <w:lang w:eastAsia="en-GB"/>
          <w14:ligatures w14:val="none"/>
        </w:rPr>
      </w:pPr>
      <w:r w:rsidRPr="002A4AC2">
        <w:rPr>
          <w:rFonts w:ascii="Comic Sans MS" w:eastAsia="Times New Roman" w:hAnsi="Comic Sans MS" w:cs="Times New Roman"/>
          <w:kern w:val="0"/>
          <w:lang w:eastAsia="en-GB"/>
          <w14:ligatures w14:val="none"/>
        </w:rPr>
        <w:t>Screen for sanctions (UN, OFAC, EU lists) and public adverse media (e.g., via search tools or compliance databases).</w:t>
      </w:r>
    </w:p>
    <w:p w:rsidR="002A4AC2" w:rsidRPr="002A4AC2" w:rsidRDefault="002A4AC2" w:rsidP="002A4AC2">
      <w:pPr>
        <w:spacing w:before="100" w:beforeAutospacing="1" w:after="100" w:afterAutospacing="1"/>
        <w:jc w:val="both"/>
        <w:rPr>
          <w:rFonts w:ascii="Comic Sans MS" w:eastAsia="Times New Roman" w:hAnsi="Comic Sans MS" w:cs="Times New Roman"/>
          <w:kern w:val="0"/>
          <w:lang w:eastAsia="en-GB"/>
          <w14:ligatures w14:val="none"/>
        </w:rPr>
      </w:pPr>
      <w:r w:rsidRPr="002A4AC2">
        <w:rPr>
          <w:rFonts w:ascii="Comic Sans MS" w:eastAsia="Times New Roman" w:hAnsi="Comic Sans MS" w:cs="Times New Roman"/>
          <w:b/>
          <w:bCs/>
          <w:kern w:val="0"/>
          <w:lang w:eastAsia="en-GB"/>
          <w14:ligatures w14:val="none"/>
        </w:rPr>
        <w:t>Practical tools</w:t>
      </w:r>
      <w:r w:rsidRPr="002A4AC2">
        <w:rPr>
          <w:rFonts w:ascii="Comic Sans MS" w:eastAsia="Times New Roman" w:hAnsi="Comic Sans MS" w:cs="Times New Roman"/>
          <w:kern w:val="0"/>
          <w:lang w:eastAsia="en-GB"/>
          <w14:ligatures w14:val="none"/>
        </w:rPr>
        <w:t>: Use licensed background verification firms or private investigators (e.g., Nigeria Private Investigation Agency or similar) for deeper checks on criminal records, court judgments, or reputation. EFCC encourages background vetting of sellers/investors.</w:t>
      </w:r>
    </w:p>
    <w:p w:rsidR="002A4AC2" w:rsidRPr="002A4AC2" w:rsidRDefault="002A4AC2" w:rsidP="002A4AC2">
      <w:pPr>
        <w:spacing w:before="100" w:beforeAutospacing="1" w:after="100" w:afterAutospacing="1"/>
        <w:jc w:val="both"/>
        <w:outlineLvl w:val="2"/>
        <w:rPr>
          <w:rFonts w:ascii="Comic Sans MS" w:eastAsia="Times New Roman" w:hAnsi="Comic Sans MS" w:cs="Times New Roman"/>
          <w:b/>
          <w:bCs/>
          <w:kern w:val="0"/>
          <w:lang w:eastAsia="en-GB"/>
          <w14:ligatures w14:val="none"/>
        </w:rPr>
      </w:pPr>
      <w:r w:rsidRPr="002A4AC2">
        <w:rPr>
          <w:rFonts w:ascii="Comic Sans MS" w:eastAsia="Times New Roman" w:hAnsi="Comic Sans MS" w:cs="Times New Roman"/>
          <w:b/>
          <w:bCs/>
          <w:kern w:val="0"/>
          <w:lang w:eastAsia="en-GB"/>
          <w14:ligatures w14:val="none"/>
        </w:rPr>
        <w:t>3. Conduct Title and Property Verification (Confirms Owner's Authority)</w:t>
      </w:r>
    </w:p>
    <w:p w:rsidR="002A4AC2" w:rsidRPr="002A4AC2" w:rsidRDefault="002A4AC2" w:rsidP="002A4AC2">
      <w:pPr>
        <w:spacing w:before="100" w:beforeAutospacing="1" w:after="100" w:afterAutospacing="1"/>
        <w:jc w:val="both"/>
        <w:rPr>
          <w:rFonts w:ascii="Comic Sans MS" w:eastAsia="Times New Roman" w:hAnsi="Comic Sans MS" w:cs="Times New Roman"/>
          <w:kern w:val="0"/>
          <w:lang w:eastAsia="en-GB"/>
          <w14:ligatures w14:val="none"/>
        </w:rPr>
      </w:pPr>
      <w:r w:rsidRPr="002A4AC2">
        <w:rPr>
          <w:rFonts w:ascii="Comic Sans MS" w:eastAsia="Times New Roman" w:hAnsi="Comic Sans MS" w:cs="Times New Roman"/>
          <w:kern w:val="0"/>
          <w:lang w:eastAsia="en-GB"/>
          <w14:ligatures w14:val="none"/>
        </w:rPr>
        <w:t>This is non-negotiable to confirm the owner can legally sell:</w:t>
      </w:r>
    </w:p>
    <w:p w:rsidR="002A4AC2" w:rsidRPr="002A4AC2" w:rsidRDefault="002A4AC2" w:rsidP="002A4AC2">
      <w:pPr>
        <w:pStyle w:val="ListParagraph"/>
        <w:numPr>
          <w:ilvl w:val="0"/>
          <w:numId w:val="3"/>
        </w:numPr>
        <w:spacing w:before="100" w:beforeAutospacing="1" w:after="100" w:afterAutospacing="1"/>
        <w:jc w:val="both"/>
        <w:rPr>
          <w:rFonts w:ascii="Comic Sans MS" w:eastAsia="Times New Roman" w:hAnsi="Comic Sans MS" w:cs="Times New Roman"/>
          <w:kern w:val="0"/>
          <w:lang w:eastAsia="en-GB"/>
          <w14:ligatures w14:val="none"/>
        </w:rPr>
      </w:pPr>
      <w:r w:rsidRPr="002A4AC2">
        <w:rPr>
          <w:rFonts w:ascii="Comic Sans MS" w:eastAsia="Times New Roman" w:hAnsi="Comic Sans MS" w:cs="Times New Roman"/>
          <w:b/>
          <w:bCs/>
          <w:kern w:val="0"/>
          <w:lang w:eastAsia="en-GB"/>
          <w14:ligatures w14:val="none"/>
        </w:rPr>
        <w:t>Physical site inspection</w:t>
      </w:r>
      <w:r w:rsidRPr="002A4AC2">
        <w:rPr>
          <w:rFonts w:ascii="Comic Sans MS" w:eastAsia="Times New Roman" w:hAnsi="Comic Sans MS" w:cs="Times New Roman"/>
          <w:kern w:val="0"/>
          <w:lang w:eastAsia="en-GB"/>
          <w14:ligatures w14:val="none"/>
        </w:rPr>
        <w:t xml:space="preserve"> — Verify boundaries match the survey plan; check for occupants, development, or disputes. Involve a surveyor.</w:t>
      </w:r>
    </w:p>
    <w:p w:rsidR="002A4AC2" w:rsidRPr="002A4AC2" w:rsidRDefault="002A4AC2" w:rsidP="002A4AC2">
      <w:pPr>
        <w:numPr>
          <w:ilvl w:val="0"/>
          <w:numId w:val="3"/>
        </w:numPr>
        <w:spacing w:before="100" w:beforeAutospacing="1" w:after="100" w:afterAutospacing="1"/>
        <w:jc w:val="both"/>
        <w:rPr>
          <w:rFonts w:ascii="Comic Sans MS" w:eastAsia="Times New Roman" w:hAnsi="Comic Sans MS" w:cs="Times New Roman"/>
          <w:kern w:val="0"/>
          <w:lang w:eastAsia="en-GB"/>
          <w14:ligatures w14:val="none"/>
        </w:rPr>
      </w:pPr>
      <w:r w:rsidRPr="002A4AC2">
        <w:rPr>
          <w:rFonts w:ascii="Comic Sans MS" w:eastAsia="Times New Roman" w:hAnsi="Comic Sans MS" w:cs="Times New Roman"/>
          <w:b/>
          <w:bCs/>
          <w:kern w:val="0"/>
          <w:lang w:eastAsia="en-GB"/>
          <w14:ligatures w14:val="none"/>
        </w:rPr>
        <w:t>Land Registry Search</w:t>
      </w:r>
      <w:r w:rsidRPr="002A4AC2">
        <w:rPr>
          <w:rFonts w:ascii="Comic Sans MS" w:eastAsia="Times New Roman" w:hAnsi="Comic Sans MS" w:cs="Times New Roman"/>
          <w:kern w:val="0"/>
          <w:lang w:eastAsia="en-GB"/>
          <w14:ligatures w14:val="none"/>
        </w:rPr>
        <w:t xml:space="preserve"> (at the state Lands Bureau, e.g., Alausa, Ikeja for Lagos) — Confirms registered owner, encumbrances (mortgages, caveats, liens), government acquisition status, and payment of ground rent/charges.</w:t>
      </w:r>
    </w:p>
    <w:p w:rsidR="002A4AC2" w:rsidRPr="002A4AC2" w:rsidRDefault="002A4AC2" w:rsidP="002A4AC2">
      <w:pPr>
        <w:numPr>
          <w:ilvl w:val="0"/>
          <w:numId w:val="3"/>
        </w:numPr>
        <w:spacing w:before="100" w:beforeAutospacing="1" w:after="100" w:afterAutospacing="1"/>
        <w:jc w:val="both"/>
        <w:rPr>
          <w:rFonts w:ascii="Comic Sans MS" w:eastAsia="Times New Roman" w:hAnsi="Comic Sans MS" w:cs="Times New Roman"/>
          <w:kern w:val="0"/>
          <w:lang w:eastAsia="en-GB"/>
          <w14:ligatures w14:val="none"/>
        </w:rPr>
      </w:pPr>
      <w:r w:rsidRPr="002A4AC2">
        <w:rPr>
          <w:rFonts w:ascii="Comic Sans MS" w:eastAsia="Times New Roman" w:hAnsi="Comic Sans MS" w:cs="Times New Roman"/>
          <w:b/>
          <w:bCs/>
          <w:kern w:val="0"/>
          <w:lang w:eastAsia="en-GB"/>
          <w14:ligatures w14:val="none"/>
        </w:rPr>
        <w:t>Surveyor General’s Office</w:t>
      </w:r>
      <w:r w:rsidRPr="002A4AC2">
        <w:rPr>
          <w:rFonts w:ascii="Comic Sans MS" w:eastAsia="Times New Roman" w:hAnsi="Comic Sans MS" w:cs="Times New Roman"/>
          <w:kern w:val="0"/>
          <w:lang w:eastAsia="en-GB"/>
          <w14:ligatures w14:val="none"/>
        </w:rPr>
        <w:t xml:space="preserve"> — Authenticate the survey plan and beacon numbers; check for excision (if in a government-acquired area).</w:t>
      </w:r>
    </w:p>
    <w:p w:rsidR="002A4AC2" w:rsidRPr="002A4AC2" w:rsidRDefault="002A4AC2" w:rsidP="002A4AC2">
      <w:pPr>
        <w:numPr>
          <w:ilvl w:val="0"/>
          <w:numId w:val="3"/>
        </w:numPr>
        <w:spacing w:before="100" w:beforeAutospacing="1" w:after="100" w:afterAutospacing="1"/>
        <w:jc w:val="both"/>
        <w:rPr>
          <w:rFonts w:ascii="Comic Sans MS" w:eastAsia="Times New Roman" w:hAnsi="Comic Sans MS" w:cs="Times New Roman"/>
          <w:kern w:val="0"/>
          <w:lang w:eastAsia="en-GB"/>
          <w14:ligatures w14:val="none"/>
        </w:rPr>
      </w:pPr>
      <w:r w:rsidRPr="002A4AC2">
        <w:rPr>
          <w:rFonts w:ascii="Comic Sans MS" w:eastAsia="Times New Roman" w:hAnsi="Comic Sans MS" w:cs="Times New Roman"/>
          <w:b/>
          <w:bCs/>
          <w:kern w:val="0"/>
          <w:lang w:eastAsia="en-GB"/>
          <w14:ligatures w14:val="none"/>
        </w:rPr>
        <w:t>Probate Registry Search</w:t>
      </w:r>
      <w:r w:rsidRPr="002A4AC2">
        <w:rPr>
          <w:rFonts w:ascii="Comic Sans MS" w:eastAsia="Times New Roman" w:hAnsi="Comic Sans MS" w:cs="Times New Roman"/>
          <w:kern w:val="0"/>
          <w:lang w:eastAsia="en-GB"/>
          <w14:ligatures w14:val="none"/>
        </w:rPr>
        <w:t xml:space="preserve"> (if inherited) — Verify letters of administration or probate.</w:t>
      </w:r>
    </w:p>
    <w:p w:rsidR="002A4AC2" w:rsidRPr="002A4AC2" w:rsidRDefault="002A4AC2" w:rsidP="002A4AC2">
      <w:pPr>
        <w:numPr>
          <w:ilvl w:val="0"/>
          <w:numId w:val="3"/>
        </w:numPr>
        <w:spacing w:before="100" w:beforeAutospacing="1" w:after="100" w:afterAutospacing="1"/>
        <w:jc w:val="both"/>
        <w:rPr>
          <w:rFonts w:ascii="Comic Sans MS" w:eastAsia="Times New Roman" w:hAnsi="Comic Sans MS" w:cs="Times New Roman"/>
          <w:kern w:val="0"/>
          <w:lang w:eastAsia="en-GB"/>
          <w14:ligatures w14:val="none"/>
        </w:rPr>
      </w:pPr>
      <w:r w:rsidRPr="002A4AC2">
        <w:rPr>
          <w:rFonts w:ascii="Comic Sans MS" w:eastAsia="Times New Roman" w:hAnsi="Comic Sans MS" w:cs="Times New Roman"/>
          <w:b/>
          <w:bCs/>
          <w:kern w:val="0"/>
          <w:lang w:eastAsia="en-GB"/>
          <w14:ligatures w14:val="none"/>
        </w:rPr>
        <w:t>Court Registry Search</w:t>
      </w:r>
      <w:r w:rsidRPr="002A4AC2">
        <w:rPr>
          <w:rFonts w:ascii="Comic Sans MS" w:eastAsia="Times New Roman" w:hAnsi="Comic Sans MS" w:cs="Times New Roman"/>
          <w:kern w:val="0"/>
          <w:lang w:eastAsia="en-GB"/>
          <w14:ligatures w14:val="none"/>
        </w:rPr>
        <w:t xml:space="preserve"> (High Court in the relevant jurisdiction) — Check for pending litigation involving the property or owner.</w:t>
      </w:r>
    </w:p>
    <w:p w:rsidR="002A4AC2" w:rsidRPr="002A4AC2" w:rsidRDefault="002A4AC2" w:rsidP="002A4AC2">
      <w:pPr>
        <w:numPr>
          <w:ilvl w:val="0"/>
          <w:numId w:val="3"/>
        </w:numPr>
        <w:spacing w:before="100" w:beforeAutospacing="1" w:after="100" w:afterAutospacing="1"/>
        <w:jc w:val="both"/>
        <w:rPr>
          <w:rFonts w:ascii="Comic Sans MS" w:eastAsia="Times New Roman" w:hAnsi="Comic Sans MS" w:cs="Times New Roman"/>
          <w:kern w:val="0"/>
          <w:lang w:eastAsia="en-GB"/>
          <w14:ligatures w14:val="none"/>
        </w:rPr>
      </w:pPr>
      <w:r w:rsidRPr="002A4AC2">
        <w:rPr>
          <w:rFonts w:ascii="Comic Sans MS" w:eastAsia="Times New Roman" w:hAnsi="Comic Sans MS" w:cs="Times New Roman"/>
          <w:b/>
          <w:bCs/>
          <w:kern w:val="0"/>
          <w:lang w:eastAsia="en-GB"/>
          <w14:ligatures w14:val="none"/>
        </w:rPr>
        <w:t>Community/neighbor enquiries</w:t>
      </w:r>
      <w:r w:rsidRPr="002A4AC2">
        <w:rPr>
          <w:rFonts w:ascii="Comic Sans MS" w:eastAsia="Times New Roman" w:hAnsi="Comic Sans MS" w:cs="Times New Roman"/>
          <w:kern w:val="0"/>
          <w:lang w:eastAsia="en-GB"/>
          <w14:ligatures w14:val="none"/>
        </w:rPr>
        <w:t xml:space="preserve"> (especially for family or customary land) — Confirm the seller has authority (e.g., family head + principal members' consent for customary titles).</w:t>
      </w:r>
    </w:p>
    <w:p w:rsidR="002A4AC2" w:rsidRPr="002A4AC2" w:rsidRDefault="002A4AC2" w:rsidP="002A4AC2">
      <w:pPr>
        <w:spacing w:before="100" w:beforeAutospacing="1" w:after="100" w:afterAutospacing="1"/>
        <w:jc w:val="both"/>
        <w:rPr>
          <w:rFonts w:ascii="Comic Sans MS" w:eastAsia="Times New Roman" w:hAnsi="Comic Sans MS" w:cs="Times New Roman"/>
          <w:kern w:val="0"/>
          <w:lang w:eastAsia="en-GB"/>
          <w14:ligatures w14:val="none"/>
        </w:rPr>
      </w:pPr>
      <w:r w:rsidRPr="002A4AC2">
        <w:rPr>
          <w:rFonts w:ascii="Comic Sans MS" w:eastAsia="Times New Roman" w:hAnsi="Comic Sans MS" w:cs="Times New Roman"/>
          <w:kern w:val="0"/>
          <w:lang w:eastAsia="en-GB"/>
          <w14:ligatures w14:val="none"/>
        </w:rPr>
        <w:t>Key documents to demand and verify (originals preferred):</w:t>
      </w:r>
    </w:p>
    <w:p w:rsidR="002A4AC2" w:rsidRPr="002A4AC2" w:rsidRDefault="002A4AC2" w:rsidP="002A4AC2">
      <w:pPr>
        <w:pStyle w:val="ListParagraph"/>
        <w:numPr>
          <w:ilvl w:val="0"/>
          <w:numId w:val="4"/>
        </w:numPr>
        <w:spacing w:before="100" w:beforeAutospacing="1" w:after="100" w:afterAutospacing="1"/>
        <w:jc w:val="both"/>
        <w:rPr>
          <w:rFonts w:ascii="Comic Sans MS" w:eastAsia="Times New Roman" w:hAnsi="Comic Sans MS" w:cs="Times New Roman"/>
          <w:kern w:val="0"/>
          <w:lang w:eastAsia="en-GB"/>
          <w14:ligatures w14:val="none"/>
        </w:rPr>
      </w:pPr>
      <w:r w:rsidRPr="002A4AC2">
        <w:rPr>
          <w:rFonts w:ascii="Comic Sans MS" w:eastAsia="Times New Roman" w:hAnsi="Comic Sans MS" w:cs="Times New Roman"/>
          <w:kern w:val="0"/>
          <w:lang w:eastAsia="en-GB"/>
          <w14:ligatures w14:val="none"/>
        </w:rPr>
        <w:t>Certificate of Occupancy (C of O) or Governor’s Consent (for statutory land).</w:t>
      </w:r>
    </w:p>
    <w:p w:rsidR="002A4AC2" w:rsidRPr="002A4AC2" w:rsidRDefault="002A4AC2" w:rsidP="002A4AC2">
      <w:pPr>
        <w:numPr>
          <w:ilvl w:val="0"/>
          <w:numId w:val="4"/>
        </w:numPr>
        <w:spacing w:before="100" w:beforeAutospacing="1" w:after="100" w:afterAutospacing="1"/>
        <w:jc w:val="both"/>
        <w:rPr>
          <w:rFonts w:ascii="Comic Sans MS" w:eastAsia="Times New Roman" w:hAnsi="Comic Sans MS" w:cs="Times New Roman"/>
          <w:kern w:val="0"/>
          <w:lang w:eastAsia="en-GB"/>
          <w14:ligatures w14:val="none"/>
        </w:rPr>
      </w:pPr>
      <w:r w:rsidRPr="002A4AC2">
        <w:rPr>
          <w:rFonts w:ascii="Comic Sans MS" w:eastAsia="Times New Roman" w:hAnsi="Comic Sans MS" w:cs="Times New Roman"/>
          <w:kern w:val="0"/>
          <w:lang w:eastAsia="en-GB"/>
          <w14:ligatures w14:val="none"/>
        </w:rPr>
        <w:t>Deed of Assignment/Sub-Lease.</w:t>
      </w:r>
    </w:p>
    <w:p w:rsidR="002A4AC2" w:rsidRPr="002A4AC2" w:rsidRDefault="002A4AC2" w:rsidP="002A4AC2">
      <w:pPr>
        <w:numPr>
          <w:ilvl w:val="0"/>
          <w:numId w:val="4"/>
        </w:numPr>
        <w:spacing w:before="100" w:beforeAutospacing="1" w:after="100" w:afterAutospacing="1"/>
        <w:jc w:val="both"/>
        <w:rPr>
          <w:rFonts w:ascii="Comic Sans MS" w:eastAsia="Times New Roman" w:hAnsi="Comic Sans MS" w:cs="Times New Roman"/>
          <w:kern w:val="0"/>
          <w:lang w:eastAsia="en-GB"/>
          <w14:ligatures w14:val="none"/>
        </w:rPr>
      </w:pPr>
      <w:r w:rsidRPr="002A4AC2">
        <w:rPr>
          <w:rFonts w:ascii="Comic Sans MS" w:eastAsia="Times New Roman" w:hAnsi="Comic Sans MS" w:cs="Times New Roman"/>
          <w:kern w:val="0"/>
          <w:lang w:eastAsia="en-GB"/>
          <w14:ligatures w14:val="none"/>
        </w:rPr>
        <w:t>Survey Plan with red copy.</w:t>
      </w:r>
    </w:p>
    <w:p w:rsidR="002A4AC2" w:rsidRPr="002A4AC2" w:rsidRDefault="002A4AC2" w:rsidP="002A4AC2">
      <w:pPr>
        <w:numPr>
          <w:ilvl w:val="0"/>
          <w:numId w:val="4"/>
        </w:numPr>
        <w:spacing w:before="100" w:beforeAutospacing="1" w:after="100" w:afterAutospacing="1"/>
        <w:jc w:val="both"/>
        <w:rPr>
          <w:rFonts w:ascii="Comic Sans MS" w:eastAsia="Times New Roman" w:hAnsi="Comic Sans MS" w:cs="Times New Roman"/>
          <w:kern w:val="0"/>
          <w:lang w:eastAsia="en-GB"/>
          <w14:ligatures w14:val="none"/>
        </w:rPr>
      </w:pPr>
      <w:r w:rsidRPr="002A4AC2">
        <w:rPr>
          <w:rFonts w:ascii="Comic Sans MS" w:eastAsia="Times New Roman" w:hAnsi="Comic Sans MS" w:cs="Times New Roman"/>
          <w:kern w:val="0"/>
          <w:lang w:eastAsia="en-GB"/>
          <w14:ligatures w14:val="none"/>
        </w:rPr>
        <w:lastRenderedPageBreak/>
        <w:t>Building approval (if developed).</w:t>
      </w:r>
    </w:p>
    <w:p w:rsidR="002A4AC2" w:rsidRPr="002A4AC2" w:rsidRDefault="002A4AC2" w:rsidP="002A4AC2">
      <w:pPr>
        <w:numPr>
          <w:ilvl w:val="0"/>
          <w:numId w:val="4"/>
        </w:numPr>
        <w:spacing w:before="100" w:beforeAutospacing="1" w:after="100" w:afterAutospacing="1"/>
        <w:jc w:val="both"/>
        <w:rPr>
          <w:rFonts w:ascii="Comic Sans MS" w:eastAsia="Times New Roman" w:hAnsi="Comic Sans MS" w:cs="Times New Roman"/>
          <w:kern w:val="0"/>
          <w:lang w:eastAsia="en-GB"/>
          <w14:ligatures w14:val="none"/>
        </w:rPr>
      </w:pPr>
      <w:r w:rsidRPr="002A4AC2">
        <w:rPr>
          <w:rFonts w:ascii="Comic Sans MS" w:eastAsia="Times New Roman" w:hAnsi="Comic Sans MS" w:cs="Times New Roman"/>
          <w:kern w:val="0"/>
          <w:lang w:eastAsia="en-GB"/>
          <w14:ligatures w14:val="none"/>
        </w:rPr>
        <w:t>Evidence of paid fees/levies.</w:t>
      </w:r>
    </w:p>
    <w:p w:rsidR="002A4AC2" w:rsidRPr="002A4AC2" w:rsidRDefault="002A4AC2" w:rsidP="002A4AC2">
      <w:pPr>
        <w:spacing w:before="100" w:beforeAutospacing="1" w:after="100" w:afterAutospacing="1"/>
        <w:jc w:val="both"/>
        <w:rPr>
          <w:rFonts w:ascii="Comic Sans MS" w:eastAsia="Times New Roman" w:hAnsi="Comic Sans MS" w:cs="Times New Roman"/>
          <w:kern w:val="0"/>
          <w:lang w:eastAsia="en-GB"/>
          <w14:ligatures w14:val="none"/>
        </w:rPr>
      </w:pPr>
      <w:r w:rsidRPr="002A4AC2">
        <w:rPr>
          <w:rFonts w:ascii="Comic Sans MS" w:eastAsia="Times New Roman" w:hAnsi="Comic Sans MS" w:cs="Times New Roman"/>
          <w:b/>
          <w:bCs/>
          <w:kern w:val="0"/>
          <w:lang w:eastAsia="en-GB"/>
          <w14:ligatures w14:val="none"/>
        </w:rPr>
        <w:t>Red flags</w:t>
      </w:r>
      <w:r w:rsidRPr="002A4AC2">
        <w:rPr>
          <w:rFonts w:ascii="Comic Sans MS" w:eastAsia="Times New Roman" w:hAnsi="Comic Sans MS" w:cs="Times New Roman"/>
          <w:kern w:val="0"/>
          <w:lang w:eastAsia="en-GB"/>
          <w14:ligatures w14:val="none"/>
        </w:rPr>
        <w:t>: Photocopies only, rushed transactions, discrepancies in names/dates, or property under caution/government acquisition.</w:t>
      </w:r>
    </w:p>
    <w:p w:rsidR="002A4AC2" w:rsidRPr="002A4AC2" w:rsidRDefault="002A4AC2" w:rsidP="002A4AC2">
      <w:pPr>
        <w:spacing w:before="100" w:beforeAutospacing="1" w:after="100" w:afterAutospacing="1"/>
        <w:jc w:val="both"/>
        <w:outlineLvl w:val="2"/>
        <w:rPr>
          <w:rFonts w:ascii="Comic Sans MS" w:eastAsia="Times New Roman" w:hAnsi="Comic Sans MS" w:cs="Times New Roman"/>
          <w:b/>
          <w:bCs/>
          <w:kern w:val="0"/>
          <w:lang w:eastAsia="en-GB"/>
          <w14:ligatures w14:val="none"/>
        </w:rPr>
      </w:pPr>
      <w:r w:rsidRPr="002A4AC2">
        <w:rPr>
          <w:rFonts w:ascii="Comic Sans MS" w:eastAsia="Times New Roman" w:hAnsi="Comic Sans MS" w:cs="Times New Roman"/>
          <w:b/>
          <w:bCs/>
          <w:kern w:val="0"/>
          <w:lang w:eastAsia="en-GB"/>
          <w14:ligatures w14:val="none"/>
        </w:rPr>
        <w:t>4. Additional Security and Risk Checks</w:t>
      </w:r>
    </w:p>
    <w:p w:rsidR="002A4AC2" w:rsidRPr="002A4AC2" w:rsidRDefault="002A4AC2" w:rsidP="002A4AC2">
      <w:pPr>
        <w:pStyle w:val="ListParagraph"/>
        <w:numPr>
          <w:ilvl w:val="0"/>
          <w:numId w:val="5"/>
        </w:numPr>
        <w:spacing w:before="100" w:beforeAutospacing="1" w:after="100" w:afterAutospacing="1"/>
        <w:jc w:val="both"/>
        <w:rPr>
          <w:rFonts w:ascii="Comic Sans MS" w:eastAsia="Times New Roman" w:hAnsi="Comic Sans MS" w:cs="Times New Roman"/>
          <w:kern w:val="0"/>
          <w:lang w:eastAsia="en-GB"/>
          <w14:ligatures w14:val="none"/>
        </w:rPr>
      </w:pPr>
      <w:r w:rsidRPr="002A4AC2">
        <w:rPr>
          <w:rFonts w:ascii="Comic Sans MS" w:eastAsia="Times New Roman" w:hAnsi="Comic Sans MS" w:cs="Times New Roman"/>
          <w:b/>
          <w:bCs/>
          <w:kern w:val="0"/>
          <w:lang w:eastAsia="en-GB"/>
          <w14:ligatures w14:val="none"/>
        </w:rPr>
        <w:t>EFCC/NFIU/Public Records</w:t>
      </w:r>
      <w:r w:rsidRPr="002A4AC2">
        <w:rPr>
          <w:rFonts w:ascii="Comic Sans MS" w:eastAsia="Times New Roman" w:hAnsi="Comic Sans MS" w:cs="Times New Roman"/>
          <w:kern w:val="0"/>
          <w:lang w:eastAsia="en-GB"/>
          <w14:ligatures w14:val="none"/>
        </w:rPr>
        <w:t xml:space="preserve"> — Search EFCC website or public notices for any investigations, convictions, or wanted status linked to the owner. Check for asset forfeiture cases.</w:t>
      </w:r>
    </w:p>
    <w:p w:rsidR="002A4AC2" w:rsidRPr="002A4AC2" w:rsidRDefault="002A4AC2" w:rsidP="002A4AC2">
      <w:pPr>
        <w:numPr>
          <w:ilvl w:val="0"/>
          <w:numId w:val="5"/>
        </w:numPr>
        <w:spacing w:before="100" w:beforeAutospacing="1" w:after="100" w:afterAutospacing="1"/>
        <w:jc w:val="both"/>
        <w:rPr>
          <w:rFonts w:ascii="Comic Sans MS" w:eastAsia="Times New Roman" w:hAnsi="Comic Sans MS" w:cs="Times New Roman"/>
          <w:kern w:val="0"/>
          <w:lang w:eastAsia="en-GB"/>
          <w14:ligatures w14:val="none"/>
        </w:rPr>
      </w:pPr>
      <w:r w:rsidRPr="002A4AC2">
        <w:rPr>
          <w:rFonts w:ascii="Comic Sans MS" w:eastAsia="Times New Roman" w:hAnsi="Comic Sans MS" w:cs="Times New Roman"/>
          <w:b/>
          <w:bCs/>
          <w:kern w:val="0"/>
          <w:lang w:eastAsia="en-GB"/>
          <w14:ligatures w14:val="none"/>
        </w:rPr>
        <w:t>Credit Bureaus</w:t>
      </w:r>
      <w:r w:rsidRPr="002A4AC2">
        <w:rPr>
          <w:rFonts w:ascii="Comic Sans MS" w:eastAsia="Times New Roman" w:hAnsi="Comic Sans MS" w:cs="Times New Roman"/>
          <w:kern w:val="0"/>
          <w:lang w:eastAsia="en-GB"/>
          <w14:ligatures w14:val="none"/>
        </w:rPr>
        <w:t xml:space="preserve"> (CRC, Credit Registry) — For financial standing (if relevant).</w:t>
      </w:r>
    </w:p>
    <w:p w:rsidR="002A4AC2" w:rsidRPr="002A4AC2" w:rsidRDefault="002A4AC2" w:rsidP="002A4AC2">
      <w:pPr>
        <w:numPr>
          <w:ilvl w:val="0"/>
          <w:numId w:val="5"/>
        </w:numPr>
        <w:spacing w:before="100" w:beforeAutospacing="1" w:after="100" w:afterAutospacing="1"/>
        <w:jc w:val="both"/>
        <w:rPr>
          <w:rFonts w:ascii="Comic Sans MS" w:eastAsia="Times New Roman" w:hAnsi="Comic Sans MS" w:cs="Times New Roman"/>
          <w:kern w:val="0"/>
          <w:lang w:eastAsia="en-GB"/>
          <w14:ligatures w14:val="none"/>
        </w:rPr>
      </w:pPr>
      <w:r w:rsidRPr="002A4AC2">
        <w:rPr>
          <w:rFonts w:ascii="Comic Sans MS" w:eastAsia="Times New Roman" w:hAnsi="Comic Sans MS" w:cs="Times New Roman"/>
          <w:b/>
          <w:bCs/>
          <w:kern w:val="0"/>
          <w:lang w:eastAsia="en-GB"/>
          <w14:ligatures w14:val="none"/>
        </w:rPr>
        <w:t>Litigation and Judgment Search</w:t>
      </w:r>
      <w:r w:rsidRPr="002A4AC2">
        <w:rPr>
          <w:rFonts w:ascii="Comic Sans MS" w:eastAsia="Times New Roman" w:hAnsi="Comic Sans MS" w:cs="Times New Roman"/>
          <w:kern w:val="0"/>
          <w:lang w:eastAsia="en-GB"/>
          <w14:ligatures w14:val="none"/>
        </w:rPr>
        <w:t xml:space="preserve"> — Beyond property-specific, check if the owner has adverse judgments that could affect title transfer.</w:t>
      </w:r>
    </w:p>
    <w:p w:rsidR="002A4AC2" w:rsidRPr="002A4AC2" w:rsidRDefault="002A4AC2" w:rsidP="002A4AC2">
      <w:pPr>
        <w:numPr>
          <w:ilvl w:val="0"/>
          <w:numId w:val="5"/>
        </w:numPr>
        <w:spacing w:before="100" w:beforeAutospacing="1" w:after="100" w:afterAutospacing="1"/>
        <w:jc w:val="both"/>
        <w:rPr>
          <w:rFonts w:ascii="Comic Sans MS" w:eastAsia="Times New Roman" w:hAnsi="Comic Sans MS" w:cs="Times New Roman"/>
          <w:kern w:val="0"/>
          <w:lang w:eastAsia="en-GB"/>
          <w14:ligatures w14:val="none"/>
        </w:rPr>
      </w:pPr>
      <w:r w:rsidRPr="002A4AC2">
        <w:rPr>
          <w:rFonts w:ascii="Comic Sans MS" w:eastAsia="Times New Roman" w:hAnsi="Comic Sans MS" w:cs="Times New Roman"/>
          <w:b/>
          <w:bCs/>
          <w:kern w:val="0"/>
          <w:lang w:eastAsia="en-GB"/>
          <w14:ligatures w14:val="none"/>
        </w:rPr>
        <w:t>Enhanced Due Diligence for High-Risk Cases</w:t>
      </w:r>
      <w:r w:rsidRPr="002A4AC2">
        <w:rPr>
          <w:rFonts w:ascii="Comic Sans MS" w:eastAsia="Times New Roman" w:hAnsi="Comic Sans MS" w:cs="Times New Roman"/>
          <w:kern w:val="0"/>
          <w:lang w:eastAsia="en-GB"/>
          <w14:ligatures w14:val="none"/>
        </w:rPr>
        <w:t xml:space="preserve"> (e.g., large sums, PEPs, complex ownership): Full background investigation, source of wealth analysis, and ongoing monitoring.</w:t>
      </w:r>
    </w:p>
    <w:p w:rsidR="002A4AC2" w:rsidRPr="002A4AC2" w:rsidRDefault="002A4AC2" w:rsidP="002A4AC2">
      <w:pPr>
        <w:spacing w:before="100" w:beforeAutospacing="1" w:after="100" w:afterAutospacing="1"/>
        <w:jc w:val="both"/>
        <w:outlineLvl w:val="2"/>
        <w:rPr>
          <w:rFonts w:ascii="Comic Sans MS" w:eastAsia="Times New Roman" w:hAnsi="Comic Sans MS" w:cs="Times New Roman"/>
          <w:b/>
          <w:bCs/>
          <w:kern w:val="0"/>
          <w:lang w:eastAsia="en-GB"/>
          <w14:ligatures w14:val="none"/>
        </w:rPr>
      </w:pPr>
      <w:r w:rsidRPr="002A4AC2">
        <w:rPr>
          <w:rFonts w:ascii="Comic Sans MS" w:eastAsia="Times New Roman" w:hAnsi="Comic Sans MS" w:cs="Times New Roman"/>
          <w:b/>
          <w:bCs/>
          <w:kern w:val="0"/>
          <w:lang w:eastAsia="en-GB"/>
          <w14:ligatures w14:val="none"/>
        </w:rPr>
        <w:t>5. Documentation and Next Steps</w:t>
      </w:r>
    </w:p>
    <w:p w:rsidR="002A4AC2" w:rsidRPr="002A4AC2" w:rsidRDefault="002A4AC2" w:rsidP="002A4AC2">
      <w:pPr>
        <w:pStyle w:val="ListParagraph"/>
        <w:numPr>
          <w:ilvl w:val="0"/>
          <w:numId w:val="6"/>
        </w:numPr>
        <w:spacing w:before="100" w:beforeAutospacing="1" w:after="100" w:afterAutospacing="1"/>
        <w:jc w:val="both"/>
        <w:rPr>
          <w:rFonts w:ascii="Comic Sans MS" w:eastAsia="Times New Roman" w:hAnsi="Comic Sans MS" w:cs="Times New Roman"/>
          <w:kern w:val="0"/>
          <w:lang w:eastAsia="en-GB"/>
          <w14:ligatures w14:val="none"/>
        </w:rPr>
      </w:pPr>
      <w:r w:rsidRPr="002A4AC2">
        <w:rPr>
          <w:rFonts w:ascii="Comic Sans MS" w:eastAsia="Times New Roman" w:hAnsi="Comic Sans MS" w:cs="Times New Roman"/>
          <w:kern w:val="0"/>
          <w:lang w:eastAsia="en-GB"/>
          <w14:ligatures w14:val="none"/>
        </w:rPr>
        <w:t xml:space="preserve">Your lawyer prepares a </w:t>
      </w:r>
      <w:r w:rsidRPr="002A4AC2">
        <w:rPr>
          <w:rFonts w:ascii="Comic Sans MS" w:eastAsia="Times New Roman" w:hAnsi="Comic Sans MS" w:cs="Times New Roman"/>
          <w:b/>
          <w:bCs/>
          <w:kern w:val="0"/>
          <w:lang w:eastAsia="en-GB"/>
          <w14:ligatures w14:val="none"/>
        </w:rPr>
        <w:t>due diligence report</w:t>
      </w:r>
      <w:r w:rsidRPr="002A4AC2">
        <w:rPr>
          <w:rFonts w:ascii="Comic Sans MS" w:eastAsia="Times New Roman" w:hAnsi="Comic Sans MS" w:cs="Times New Roman"/>
          <w:kern w:val="0"/>
          <w:lang w:eastAsia="en-GB"/>
          <w14:ligatures w14:val="none"/>
        </w:rPr>
        <w:t xml:space="preserve"> summarizing findings.</w:t>
      </w:r>
    </w:p>
    <w:p w:rsidR="002A4AC2" w:rsidRPr="002A4AC2" w:rsidRDefault="002A4AC2" w:rsidP="002A4AC2">
      <w:pPr>
        <w:numPr>
          <w:ilvl w:val="0"/>
          <w:numId w:val="6"/>
        </w:numPr>
        <w:spacing w:before="100" w:beforeAutospacing="1" w:after="100" w:afterAutospacing="1"/>
        <w:jc w:val="both"/>
        <w:rPr>
          <w:rFonts w:ascii="Comic Sans MS" w:eastAsia="Times New Roman" w:hAnsi="Comic Sans MS" w:cs="Times New Roman"/>
          <w:kern w:val="0"/>
          <w:lang w:eastAsia="en-GB"/>
          <w14:ligatures w14:val="none"/>
        </w:rPr>
      </w:pPr>
      <w:r w:rsidRPr="002A4AC2">
        <w:rPr>
          <w:rFonts w:ascii="Comic Sans MS" w:eastAsia="Times New Roman" w:hAnsi="Comic Sans MS" w:cs="Times New Roman"/>
          <w:kern w:val="0"/>
          <w:lang w:eastAsia="en-GB"/>
          <w14:ligatures w14:val="none"/>
        </w:rPr>
        <w:t>If clear, proceed to contract (with conditions precedent), Governor’s Consent (if needed), and stamping/registration.</w:t>
      </w:r>
    </w:p>
    <w:p w:rsidR="002A4AC2" w:rsidRPr="002A4AC2" w:rsidRDefault="002A4AC2" w:rsidP="002A4AC2">
      <w:pPr>
        <w:numPr>
          <w:ilvl w:val="0"/>
          <w:numId w:val="6"/>
        </w:numPr>
        <w:spacing w:before="100" w:beforeAutospacing="1" w:after="100" w:afterAutospacing="1"/>
        <w:jc w:val="both"/>
        <w:rPr>
          <w:rFonts w:ascii="Comic Sans MS" w:eastAsia="Times New Roman" w:hAnsi="Comic Sans MS" w:cs="Times New Roman"/>
          <w:kern w:val="0"/>
          <w:lang w:eastAsia="en-GB"/>
          <w14:ligatures w14:val="none"/>
        </w:rPr>
      </w:pPr>
      <w:r w:rsidRPr="002A4AC2">
        <w:rPr>
          <w:rFonts w:ascii="Comic Sans MS" w:eastAsia="Times New Roman" w:hAnsi="Comic Sans MS" w:cs="Times New Roman"/>
          <w:kern w:val="0"/>
          <w:lang w:eastAsia="en-GB"/>
          <w14:ligatures w14:val="none"/>
        </w:rPr>
        <w:t>Retain all search reports for your records—they protect against future claims.</w:t>
      </w:r>
    </w:p>
    <w:p w:rsidR="002A4AC2" w:rsidRPr="002A4AC2" w:rsidRDefault="002A4AC2" w:rsidP="002A4AC2">
      <w:pPr>
        <w:spacing w:before="100" w:beforeAutospacing="1" w:after="100" w:afterAutospacing="1"/>
        <w:jc w:val="both"/>
        <w:outlineLvl w:val="2"/>
        <w:rPr>
          <w:rFonts w:ascii="Comic Sans MS" w:eastAsia="Times New Roman" w:hAnsi="Comic Sans MS" w:cs="Times New Roman"/>
          <w:b/>
          <w:bCs/>
          <w:kern w:val="0"/>
          <w:lang w:eastAsia="en-GB"/>
          <w14:ligatures w14:val="none"/>
        </w:rPr>
      </w:pPr>
      <w:r w:rsidRPr="002A4AC2">
        <w:rPr>
          <w:rFonts w:ascii="Comic Sans MS" w:eastAsia="Times New Roman" w:hAnsi="Comic Sans MS" w:cs="Times New Roman"/>
          <w:b/>
          <w:bCs/>
          <w:kern w:val="0"/>
          <w:lang w:eastAsia="en-GB"/>
          <w14:ligatures w14:val="none"/>
        </w:rPr>
        <w:t>Important Warnings and Best Practices</w:t>
      </w:r>
    </w:p>
    <w:p w:rsidR="002A4AC2" w:rsidRPr="002A4AC2" w:rsidRDefault="002A4AC2" w:rsidP="002A4AC2">
      <w:pPr>
        <w:pStyle w:val="ListParagraph"/>
        <w:numPr>
          <w:ilvl w:val="0"/>
          <w:numId w:val="7"/>
        </w:numPr>
        <w:spacing w:before="100" w:beforeAutospacing="1" w:after="100" w:afterAutospacing="1"/>
        <w:jc w:val="both"/>
        <w:rPr>
          <w:rFonts w:ascii="Comic Sans MS" w:eastAsia="Times New Roman" w:hAnsi="Comic Sans MS" w:cs="Times New Roman"/>
          <w:kern w:val="0"/>
          <w:lang w:eastAsia="en-GB"/>
          <w14:ligatures w14:val="none"/>
        </w:rPr>
      </w:pPr>
      <w:r w:rsidRPr="002A4AC2">
        <w:rPr>
          <w:rFonts w:ascii="Comic Sans MS" w:eastAsia="Times New Roman" w:hAnsi="Comic Sans MS" w:cs="Times New Roman"/>
          <w:b/>
          <w:bCs/>
          <w:kern w:val="0"/>
          <w:lang w:eastAsia="en-GB"/>
          <w14:ligatures w14:val="none"/>
        </w:rPr>
        <w:t>Common risks</w:t>
      </w:r>
      <w:r w:rsidRPr="002A4AC2">
        <w:rPr>
          <w:rFonts w:ascii="Comic Sans MS" w:eastAsia="Times New Roman" w:hAnsi="Comic Sans MS" w:cs="Times New Roman"/>
          <w:kern w:val="0"/>
          <w:lang w:eastAsia="en-GB"/>
          <w14:ligatures w14:val="none"/>
        </w:rPr>
        <w:t>: Fake titles, "Omo Onile" (land guards/family claimants), double sales, or owners fronting for illicit funds. EFCC has flagged real estate for money laundering vulnerabilities.</w:t>
      </w:r>
    </w:p>
    <w:p w:rsidR="002A4AC2" w:rsidRPr="002A4AC2" w:rsidRDefault="002A4AC2" w:rsidP="002A4AC2">
      <w:pPr>
        <w:numPr>
          <w:ilvl w:val="0"/>
          <w:numId w:val="7"/>
        </w:numPr>
        <w:spacing w:before="100" w:beforeAutospacing="1" w:after="100" w:afterAutospacing="1"/>
        <w:jc w:val="both"/>
        <w:rPr>
          <w:rFonts w:ascii="Comic Sans MS" w:eastAsia="Times New Roman" w:hAnsi="Comic Sans MS" w:cs="Times New Roman"/>
          <w:kern w:val="0"/>
          <w:lang w:eastAsia="en-GB"/>
          <w14:ligatures w14:val="none"/>
        </w:rPr>
      </w:pPr>
      <w:r w:rsidRPr="002A4AC2">
        <w:rPr>
          <w:rFonts w:ascii="Comic Sans MS" w:eastAsia="Times New Roman" w:hAnsi="Comic Sans MS" w:cs="Times New Roman"/>
          <w:b/>
          <w:bCs/>
          <w:kern w:val="0"/>
          <w:lang w:eastAsia="en-GB"/>
          <w14:ligatures w14:val="none"/>
        </w:rPr>
        <w:t>Costs</w:t>
      </w:r>
      <w:r w:rsidRPr="002A4AC2">
        <w:rPr>
          <w:rFonts w:ascii="Comic Sans MS" w:eastAsia="Times New Roman" w:hAnsi="Comic Sans MS" w:cs="Times New Roman"/>
          <w:kern w:val="0"/>
          <w:lang w:eastAsia="en-GB"/>
          <w14:ligatures w14:val="none"/>
        </w:rPr>
        <w:t>: Registry searches, lawyer fees, and surveys are investments—far cheaper than litigation.</w:t>
      </w:r>
    </w:p>
    <w:p w:rsidR="002A4AC2" w:rsidRPr="002A4AC2" w:rsidRDefault="002A4AC2" w:rsidP="002A4AC2">
      <w:pPr>
        <w:numPr>
          <w:ilvl w:val="0"/>
          <w:numId w:val="7"/>
        </w:numPr>
        <w:spacing w:before="100" w:beforeAutospacing="1" w:after="100" w:afterAutospacing="1"/>
        <w:jc w:val="both"/>
        <w:rPr>
          <w:rFonts w:ascii="Comic Sans MS" w:eastAsia="Times New Roman" w:hAnsi="Comic Sans MS" w:cs="Times New Roman"/>
          <w:kern w:val="0"/>
          <w:lang w:eastAsia="en-GB"/>
          <w14:ligatures w14:val="none"/>
        </w:rPr>
      </w:pPr>
      <w:r w:rsidRPr="002A4AC2">
        <w:rPr>
          <w:rFonts w:ascii="Comic Sans MS" w:eastAsia="Times New Roman" w:hAnsi="Comic Sans MS" w:cs="Times New Roman"/>
          <w:b/>
          <w:bCs/>
          <w:kern w:val="0"/>
          <w:lang w:eastAsia="en-GB"/>
          <w14:ligatures w14:val="none"/>
        </w:rPr>
        <w:t>Timeline</w:t>
      </w:r>
      <w:r w:rsidRPr="002A4AC2">
        <w:rPr>
          <w:rFonts w:ascii="Comic Sans MS" w:eastAsia="Times New Roman" w:hAnsi="Comic Sans MS" w:cs="Times New Roman"/>
          <w:kern w:val="0"/>
          <w:lang w:eastAsia="en-GB"/>
          <w14:ligatures w14:val="none"/>
        </w:rPr>
        <w:t>: 2–8 weeks depending on state and complexity.</w:t>
      </w:r>
    </w:p>
    <w:p w:rsidR="002A4AC2" w:rsidRPr="002A4AC2" w:rsidRDefault="002A4AC2" w:rsidP="002A4AC2">
      <w:pPr>
        <w:numPr>
          <w:ilvl w:val="0"/>
          <w:numId w:val="7"/>
        </w:numPr>
        <w:spacing w:before="100" w:beforeAutospacing="1" w:after="100" w:afterAutospacing="1"/>
        <w:jc w:val="both"/>
        <w:rPr>
          <w:rFonts w:ascii="Comic Sans MS" w:eastAsia="Times New Roman" w:hAnsi="Comic Sans MS" w:cs="Times New Roman"/>
          <w:kern w:val="0"/>
          <w:lang w:eastAsia="en-GB"/>
          <w14:ligatures w14:val="none"/>
        </w:rPr>
      </w:pPr>
      <w:r w:rsidRPr="002A4AC2">
        <w:rPr>
          <w:rFonts w:ascii="Comic Sans MS" w:eastAsia="Times New Roman" w:hAnsi="Comic Sans MS" w:cs="Times New Roman"/>
          <w:b/>
          <w:bCs/>
          <w:kern w:val="0"/>
          <w:lang w:eastAsia="en-GB"/>
          <w14:ligatures w14:val="none"/>
        </w:rPr>
        <w:t>DIY limitations</w:t>
      </w:r>
      <w:r w:rsidRPr="002A4AC2">
        <w:rPr>
          <w:rFonts w:ascii="Comic Sans MS" w:eastAsia="Times New Roman" w:hAnsi="Comic Sans MS" w:cs="Times New Roman"/>
          <w:kern w:val="0"/>
          <w:lang w:eastAsia="en-GB"/>
          <w14:ligatures w14:val="none"/>
        </w:rPr>
        <w:t>: Public databases are incomplete; professional access and interpretation are essential.</w:t>
      </w:r>
    </w:p>
    <w:p w:rsidR="002A4AC2" w:rsidRPr="002A4AC2" w:rsidRDefault="002A4AC2" w:rsidP="002A4AC2">
      <w:pPr>
        <w:numPr>
          <w:ilvl w:val="0"/>
          <w:numId w:val="7"/>
        </w:numPr>
        <w:spacing w:before="100" w:beforeAutospacing="1" w:after="100" w:afterAutospacing="1"/>
        <w:jc w:val="both"/>
        <w:rPr>
          <w:rFonts w:ascii="Comic Sans MS" w:eastAsia="Times New Roman" w:hAnsi="Comic Sans MS" w:cs="Times New Roman"/>
          <w:kern w:val="0"/>
          <w:lang w:eastAsia="en-GB"/>
          <w14:ligatures w14:val="none"/>
        </w:rPr>
      </w:pPr>
      <w:r w:rsidRPr="002A4AC2">
        <w:rPr>
          <w:rFonts w:ascii="Comic Sans MS" w:eastAsia="Times New Roman" w:hAnsi="Comic Sans MS" w:cs="Times New Roman"/>
          <w:kern w:val="0"/>
          <w:lang w:eastAsia="en-GB"/>
          <w14:ligatures w14:val="none"/>
        </w:rPr>
        <w:t>Specialized platforms (e.g., Ownland.ng) or firms offering property verification can assist but should complement (not replace) a lawyer.</w:t>
      </w:r>
    </w:p>
    <w:p w:rsidR="002A4AC2" w:rsidRPr="002A4AC2" w:rsidRDefault="002A4AC2" w:rsidP="002A4AC2">
      <w:pPr>
        <w:spacing w:before="100" w:beforeAutospacing="1" w:after="100" w:afterAutospacing="1"/>
        <w:jc w:val="both"/>
        <w:rPr>
          <w:rFonts w:ascii="Comic Sans MS" w:eastAsia="Times New Roman" w:hAnsi="Comic Sans MS" w:cs="Times New Roman"/>
          <w:kern w:val="0"/>
          <w:lang w:eastAsia="en-GB"/>
          <w14:ligatures w14:val="none"/>
        </w:rPr>
      </w:pPr>
      <w:r w:rsidRPr="002A4AC2">
        <w:rPr>
          <w:rFonts w:ascii="Comic Sans MS" w:eastAsia="Times New Roman" w:hAnsi="Comic Sans MS" w:cs="Times New Roman"/>
          <w:b/>
          <w:bCs/>
          <w:kern w:val="0"/>
          <w:lang w:eastAsia="en-GB"/>
          <w14:ligatures w14:val="none"/>
        </w:rPr>
        <w:t>Recommendation</w:t>
      </w:r>
      <w:r w:rsidRPr="002A4AC2">
        <w:rPr>
          <w:rFonts w:ascii="Comic Sans MS" w:eastAsia="Times New Roman" w:hAnsi="Comic Sans MS" w:cs="Times New Roman"/>
          <w:kern w:val="0"/>
          <w:lang w:eastAsia="en-GB"/>
          <w14:ligatures w14:val="none"/>
        </w:rPr>
        <w:t xml:space="preserve">: Provide the specific owner name, property details (location, title type, survey number), or state for more tailored advice. For immediate action in Lagos (or elsewhere), consult a lawyer from the Nigerian Bar Association </w:t>
      </w:r>
      <w:r w:rsidRPr="002A4AC2">
        <w:rPr>
          <w:rFonts w:ascii="Comic Sans MS" w:eastAsia="Times New Roman" w:hAnsi="Comic Sans MS" w:cs="Times New Roman"/>
          <w:kern w:val="0"/>
          <w:lang w:eastAsia="en-GB"/>
          <w14:ligatures w14:val="none"/>
        </w:rPr>
        <w:lastRenderedPageBreak/>
        <w:t>or a firm specializing in real estate. This process significantly reduces security and financial risks—never pay without completing it. If you need referrals to professionals or help interpreting documents, share more details.</w:t>
      </w:r>
    </w:p>
    <w:p w:rsidR="002A4AC2" w:rsidRPr="002A4AC2" w:rsidRDefault="002A4AC2" w:rsidP="002A4AC2">
      <w:pPr>
        <w:jc w:val="both"/>
        <w:rPr>
          <w:rFonts w:ascii="Comic Sans MS" w:hAnsi="Comic Sans MS"/>
        </w:rPr>
      </w:pPr>
    </w:p>
    <w:sectPr w:rsidR="002A4AC2" w:rsidRPr="002A4A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mic Sans MS">
    <w:panose1 w:val="030F0702030302020204"/>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C51041"/>
    <w:multiLevelType w:val="multilevel"/>
    <w:tmpl w:val="BABA04A2"/>
    <w:lvl w:ilvl="0">
      <w:start w:val="1"/>
      <w:numFmt w:val="lowerLetter"/>
      <w:lvlText w:val="%1."/>
      <w:lvlJc w:val="left"/>
      <w:pPr>
        <w:tabs>
          <w:tab w:val="num" w:pos="720"/>
        </w:tabs>
        <w:ind w:left="720" w:hanging="360"/>
      </w:pPr>
      <w:rPr>
        <w:rFonts w:ascii="Comic Sans MS" w:eastAsia="Times New Roman" w:hAnsi="Comic Sans MS" w:cs="Times New Roman"/>
        <w:sz w:val="20"/>
      </w:rPr>
    </w:lvl>
    <w:lvl w:ilvl="1">
      <w:start w:val="1"/>
      <w:numFmt w:val="lowerRoman"/>
      <w:lvlText w:val="%2."/>
      <w:lvlJc w:val="left"/>
      <w:pPr>
        <w:tabs>
          <w:tab w:val="num" w:pos="1440"/>
        </w:tabs>
        <w:ind w:left="1440" w:hanging="360"/>
      </w:pPr>
      <w:rPr>
        <w:rFonts w:ascii="Comic Sans MS" w:eastAsia="Times New Roman" w:hAnsi="Comic Sans MS" w:cs="Times New Roman"/>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767F1E"/>
    <w:multiLevelType w:val="multilevel"/>
    <w:tmpl w:val="B71C1CA2"/>
    <w:lvl w:ilvl="0">
      <w:start w:val="1"/>
      <w:numFmt w:val="lowerLetter"/>
      <w:lvlText w:val="%1."/>
      <w:lvlJc w:val="left"/>
      <w:pPr>
        <w:tabs>
          <w:tab w:val="num" w:pos="720"/>
        </w:tabs>
        <w:ind w:left="720" w:hanging="360"/>
      </w:pPr>
      <w:rPr>
        <w:rFonts w:ascii="Comic Sans MS" w:eastAsia="Times New Roman" w:hAnsi="Comic Sans MS"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413ADB"/>
    <w:multiLevelType w:val="multilevel"/>
    <w:tmpl w:val="25B88A02"/>
    <w:lvl w:ilvl="0">
      <w:start w:val="1"/>
      <w:numFmt w:val="lowerLetter"/>
      <w:lvlText w:val="%1."/>
      <w:lvlJc w:val="left"/>
      <w:pPr>
        <w:tabs>
          <w:tab w:val="num" w:pos="720"/>
        </w:tabs>
        <w:ind w:left="720" w:hanging="360"/>
      </w:pPr>
      <w:rPr>
        <w:rFonts w:ascii="Comic Sans MS" w:eastAsia="Times New Roman" w:hAnsi="Comic Sans MS"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562908"/>
    <w:multiLevelType w:val="multilevel"/>
    <w:tmpl w:val="99A4BB2A"/>
    <w:lvl w:ilvl="0">
      <w:start w:val="1"/>
      <w:numFmt w:val="lowerLetter"/>
      <w:lvlText w:val="%1."/>
      <w:lvlJc w:val="left"/>
      <w:pPr>
        <w:tabs>
          <w:tab w:val="num" w:pos="720"/>
        </w:tabs>
        <w:ind w:left="720" w:hanging="360"/>
      </w:pPr>
      <w:rPr>
        <w:rFonts w:ascii="Comic Sans MS" w:eastAsia="Times New Roman" w:hAnsi="Comic Sans MS"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AF7019"/>
    <w:multiLevelType w:val="multilevel"/>
    <w:tmpl w:val="58B8E7E0"/>
    <w:lvl w:ilvl="0">
      <w:start w:val="1"/>
      <w:numFmt w:val="lowerLetter"/>
      <w:lvlText w:val="%1."/>
      <w:lvlJc w:val="left"/>
      <w:pPr>
        <w:tabs>
          <w:tab w:val="num" w:pos="720"/>
        </w:tabs>
        <w:ind w:left="720" w:hanging="360"/>
      </w:pPr>
      <w:rPr>
        <w:rFonts w:ascii="Comic Sans MS" w:eastAsia="Times New Roman" w:hAnsi="Comic Sans MS"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4C2A5C"/>
    <w:multiLevelType w:val="multilevel"/>
    <w:tmpl w:val="FD044B54"/>
    <w:lvl w:ilvl="0">
      <w:start w:val="1"/>
      <w:numFmt w:val="lowerLetter"/>
      <w:lvlText w:val="%1."/>
      <w:lvlJc w:val="left"/>
      <w:pPr>
        <w:tabs>
          <w:tab w:val="num" w:pos="720"/>
        </w:tabs>
        <w:ind w:left="720" w:hanging="360"/>
      </w:pPr>
      <w:rPr>
        <w:rFonts w:ascii="Comic Sans MS" w:eastAsia="Times New Roman" w:hAnsi="Comic Sans MS"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3368B4"/>
    <w:multiLevelType w:val="multilevel"/>
    <w:tmpl w:val="51687F90"/>
    <w:lvl w:ilvl="0">
      <w:start w:val="1"/>
      <w:numFmt w:val="lowerLetter"/>
      <w:lvlText w:val="%1."/>
      <w:lvlJc w:val="left"/>
      <w:pPr>
        <w:tabs>
          <w:tab w:val="num" w:pos="720"/>
        </w:tabs>
        <w:ind w:left="720" w:hanging="360"/>
      </w:pPr>
      <w:rPr>
        <w:rFonts w:ascii="Comic Sans MS" w:eastAsia="Times New Roman" w:hAnsi="Comic Sans MS"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3815534">
    <w:abstractNumId w:val="0"/>
  </w:num>
  <w:num w:numId="2" w16cid:durableId="170485179">
    <w:abstractNumId w:val="1"/>
  </w:num>
  <w:num w:numId="3" w16cid:durableId="1805928510">
    <w:abstractNumId w:val="6"/>
  </w:num>
  <w:num w:numId="4" w16cid:durableId="1039672290">
    <w:abstractNumId w:val="2"/>
  </w:num>
  <w:num w:numId="5" w16cid:durableId="1302805202">
    <w:abstractNumId w:val="4"/>
  </w:num>
  <w:num w:numId="6" w16cid:durableId="631207565">
    <w:abstractNumId w:val="5"/>
  </w:num>
  <w:num w:numId="7" w16cid:durableId="10706168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AC2"/>
    <w:rsid w:val="002A4AC2"/>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274E7682"/>
  <w15:chartTrackingRefBased/>
  <w15:docId w15:val="{2A2EDBC2-A16F-4344-80DB-EF8C49F68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A4AC2"/>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A4AC2"/>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2A4AC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A4AC2"/>
    <w:rPr>
      <w:b/>
      <w:bCs/>
    </w:rPr>
  </w:style>
  <w:style w:type="paragraph" w:styleId="ListParagraph">
    <w:name w:val="List Paragraph"/>
    <w:basedOn w:val="Normal"/>
    <w:uiPriority w:val="34"/>
    <w:qFormat/>
    <w:rsid w:val="002A4A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5903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979</Words>
  <Characters>5586</Characters>
  <Application>Microsoft Office Word</Application>
  <DocSecurity>0</DocSecurity>
  <Lines>46</Lines>
  <Paragraphs>13</Paragraphs>
  <ScaleCrop>false</ScaleCrop>
  <Company/>
  <LinksUpToDate>false</LinksUpToDate>
  <CharactersWithSpaces>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2026-04-18T15:52:00Z</dcterms:created>
  <dcterms:modified xsi:type="dcterms:W3CDTF">2026-04-18T15:56:00Z</dcterms:modified>
</cp:coreProperties>
</file>