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2976B">
      <w:pPr>
        <w:spacing w:before="360" w:after="240"/>
        <w:jc w:val="center"/>
      </w:pPr>
      <w:r>
        <w:drawing>
          <wp:inline distT="0" distB="0" distL="114300" distR="114300">
            <wp:extent cx="1261745" cy="12617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261872" cy="1261872"/>
                    </a:xfrm>
                    <a:prstGeom prst="rect">
                      <a:avLst/>
                    </a:prstGeom>
                  </pic:spPr>
                </pic:pic>
              </a:graphicData>
            </a:graphic>
          </wp:inline>
        </w:drawing>
      </w:r>
    </w:p>
    <w:tbl>
      <w:tblPr>
        <w:tblStyle w:val="12"/>
        <w:tblW w:w="0" w:type="auto"/>
        <w:jc w:val="center"/>
        <w:tblLayout w:type="fixed"/>
        <w:tblCellMar>
          <w:top w:w="0" w:type="dxa"/>
          <w:left w:w="108" w:type="dxa"/>
          <w:bottom w:w="0" w:type="dxa"/>
          <w:right w:w="108" w:type="dxa"/>
        </w:tblCellMar>
      </w:tblPr>
      <w:tblGrid>
        <w:gridCol w:w="10080"/>
      </w:tblGrid>
      <w:tr w14:paraId="34D57757">
        <w:tblPrEx>
          <w:tblCellMar>
            <w:top w:w="0" w:type="dxa"/>
            <w:left w:w="108" w:type="dxa"/>
            <w:bottom w:w="0" w:type="dxa"/>
            <w:right w:w="108" w:type="dxa"/>
          </w:tblCellMar>
        </w:tblPrEx>
        <w:trPr>
          <w:jc w:val="center"/>
        </w:trPr>
        <w:tc>
          <w:tcPr>
            <w:tcW w:w="10166" w:type="dxa"/>
            <w:shd w:val="clear" w:color="auto" w:fill="5C1949"/>
            <w:tcMar>
              <w:top w:w="360" w:type="dxa"/>
              <w:left w:w="320" w:type="dxa"/>
              <w:bottom w:w="360" w:type="dxa"/>
              <w:right w:w="320" w:type="dxa"/>
            </w:tcMar>
          </w:tcPr>
          <w:p w14:paraId="35DE1F7E">
            <w:pPr>
              <w:keepLines/>
              <w:spacing w:before="0" w:after="200" w:line="240" w:lineRule="auto"/>
              <w:jc w:val="center"/>
            </w:pPr>
            <w:r>
              <w:rPr>
                <w:rFonts w:ascii="Arial" w:hAnsi="Arial" w:eastAsia="Arial"/>
                <w:b/>
                <w:color w:val="C6A027"/>
                <w:sz w:val="25"/>
              </w:rPr>
              <w:t>SAFEBUY REALTIES INTERNATIONAL LIMITED</w:t>
            </w:r>
          </w:p>
          <w:p w14:paraId="526F0E0E">
            <w:pPr>
              <w:keepLines/>
              <w:spacing w:before="0" w:after="180" w:line="228" w:lineRule="auto"/>
              <w:jc w:val="center"/>
            </w:pPr>
            <w:r>
              <w:rPr>
                <w:rFonts w:ascii="Arial" w:hAnsi="Arial" w:eastAsia="Arial"/>
                <w:b/>
                <w:color w:val="FFFFFF"/>
                <w:sz w:val="46"/>
              </w:rPr>
              <w:t>FINANCIAL GOVERNANCE</w:t>
            </w:r>
            <w:r>
              <w:rPr>
                <w:rFonts w:ascii="Arial" w:hAnsi="Arial" w:eastAsia="Arial"/>
                <w:b/>
                <w:color w:val="FFFFFF"/>
                <w:sz w:val="46"/>
              </w:rPr>
              <w:br w:type="textWrapping"/>
            </w:r>
            <w:r>
              <w:rPr>
                <w:rFonts w:ascii="Arial" w:hAnsi="Arial" w:eastAsia="Arial"/>
                <w:b/>
                <w:color w:val="FFFFFF"/>
                <w:sz w:val="46"/>
              </w:rPr>
              <w:t>DEVELOPER IMPLEMENTATION SPECIFICATION</w:t>
            </w:r>
          </w:p>
          <w:p w14:paraId="3CF87205">
            <w:pPr>
              <w:keepLines/>
              <w:spacing w:before="0" w:after="0" w:line="252" w:lineRule="auto"/>
              <w:jc w:val="center"/>
            </w:pPr>
            <w:r>
              <w:rPr>
                <w:rFonts w:ascii="Arial" w:hAnsi="Arial" w:eastAsia="Arial"/>
                <w:b/>
                <w:color w:val="F2E8D0"/>
                <w:sz w:val="22"/>
              </w:rPr>
              <w:t>Core Account Codes, Escrow Account, VAT and Unique Identification Architecture</w:t>
            </w:r>
          </w:p>
        </w:tc>
      </w:tr>
    </w:tbl>
    <w:p w14:paraId="3867C431">
      <w:pPr>
        <w:spacing w:before="360" w:after="120"/>
        <w:jc w:val="center"/>
      </w:pPr>
      <w:r>
        <w:rPr>
          <w:rFonts w:ascii="Arial" w:hAnsi="Arial" w:eastAsia="Arial"/>
          <w:b/>
          <w:color w:val="0F6B77"/>
          <w:sz w:val="24"/>
        </w:rPr>
        <w:t>Developer Handover Baseline</w:t>
      </w:r>
    </w:p>
    <w:tbl>
      <w:tblPr>
        <w:tblStyle w:val="12"/>
        <w:tblW w:w="0" w:type="auto"/>
        <w:jc w:val="center"/>
        <w:tblLayout w:type="fixed"/>
        <w:tblCellMar>
          <w:top w:w="0" w:type="dxa"/>
          <w:left w:w="108" w:type="dxa"/>
          <w:bottom w:w="0" w:type="dxa"/>
          <w:right w:w="108" w:type="dxa"/>
        </w:tblCellMar>
      </w:tblPr>
      <w:tblGrid>
        <w:gridCol w:w="5083"/>
        <w:gridCol w:w="5083"/>
      </w:tblGrid>
      <w:tr w14:paraId="34C1922B">
        <w:tblPrEx>
          <w:tblCellMar>
            <w:top w:w="0" w:type="dxa"/>
            <w:left w:w="108" w:type="dxa"/>
            <w:bottom w:w="0" w:type="dxa"/>
            <w:right w:w="108" w:type="dxa"/>
          </w:tblCellMar>
        </w:tblPrEx>
        <w:trPr>
          <w:jc w:val="center"/>
        </w:trPr>
        <w:tc>
          <w:tcPr>
            <w:tcW w:w="3168" w:type="dxa"/>
            <w:shd w:val="clear" w:color="auto" w:fill="F4EBCB"/>
            <w:tcMar>
              <w:top w:w="100" w:type="dxa"/>
              <w:left w:w="140" w:type="dxa"/>
              <w:bottom w:w="100" w:type="dxa"/>
              <w:right w:w="140" w:type="dxa"/>
            </w:tcMar>
            <w:vAlign w:val="center"/>
          </w:tcPr>
          <w:p w14:paraId="4BA35A9D">
            <w:pPr>
              <w:keepLines/>
              <w:spacing w:before="0" w:after="0" w:line="240" w:lineRule="auto"/>
            </w:pPr>
            <w:r>
              <w:rPr>
                <w:rFonts w:ascii="Arial" w:hAnsi="Arial" w:eastAsia="Arial"/>
                <w:b/>
                <w:color w:val="5C1949"/>
                <w:sz w:val="18"/>
              </w:rPr>
              <w:t>Document Code</w:t>
            </w:r>
          </w:p>
        </w:tc>
        <w:tc>
          <w:tcPr>
            <w:tcW w:w="5184" w:type="dxa"/>
            <w:tcMar>
              <w:top w:w="100" w:type="dxa"/>
              <w:left w:w="140" w:type="dxa"/>
              <w:bottom w:w="100" w:type="dxa"/>
              <w:right w:w="140" w:type="dxa"/>
            </w:tcMar>
            <w:vAlign w:val="center"/>
          </w:tcPr>
          <w:p w14:paraId="32891AB9">
            <w:pPr>
              <w:keepLines/>
              <w:spacing w:before="0" w:after="0" w:line="240" w:lineRule="auto"/>
            </w:pPr>
            <w:r>
              <w:rPr>
                <w:rFonts w:ascii="Arial" w:hAnsi="Arial" w:eastAsia="Arial"/>
                <w:b w:val="0"/>
                <w:color w:val="1A1A1A"/>
                <w:sz w:val="18"/>
              </w:rPr>
              <w:t>SBR-FIN-DEV-SPEC-20260803-V1.5</w:t>
            </w:r>
          </w:p>
        </w:tc>
      </w:tr>
      <w:tr w14:paraId="5CBC7DB8">
        <w:tblPrEx>
          <w:tblCellMar>
            <w:top w:w="0" w:type="dxa"/>
            <w:left w:w="108" w:type="dxa"/>
            <w:bottom w:w="0" w:type="dxa"/>
            <w:right w:w="108" w:type="dxa"/>
          </w:tblCellMar>
        </w:tblPrEx>
        <w:trPr>
          <w:jc w:val="center"/>
        </w:trPr>
        <w:tc>
          <w:tcPr>
            <w:tcW w:w="3168" w:type="dxa"/>
            <w:shd w:val="clear" w:color="auto" w:fill="F4EBCB"/>
            <w:tcMar>
              <w:top w:w="100" w:type="dxa"/>
              <w:left w:w="140" w:type="dxa"/>
              <w:bottom w:w="100" w:type="dxa"/>
              <w:right w:w="140" w:type="dxa"/>
            </w:tcMar>
            <w:vAlign w:val="center"/>
          </w:tcPr>
          <w:p w14:paraId="2A0D60AB">
            <w:pPr>
              <w:keepLines/>
              <w:spacing w:before="0" w:after="0" w:line="240" w:lineRule="auto"/>
            </w:pPr>
            <w:r>
              <w:rPr>
                <w:rFonts w:ascii="Arial" w:hAnsi="Arial" w:eastAsia="Arial"/>
                <w:b/>
                <w:color w:val="5C1949"/>
                <w:sz w:val="18"/>
              </w:rPr>
              <w:t>Version / Date</w:t>
            </w:r>
          </w:p>
        </w:tc>
        <w:tc>
          <w:tcPr>
            <w:tcW w:w="5184" w:type="dxa"/>
            <w:tcMar>
              <w:top w:w="100" w:type="dxa"/>
              <w:left w:w="140" w:type="dxa"/>
              <w:bottom w:w="100" w:type="dxa"/>
              <w:right w:w="140" w:type="dxa"/>
            </w:tcMar>
            <w:vAlign w:val="center"/>
          </w:tcPr>
          <w:p w14:paraId="1CD4763E">
            <w:pPr>
              <w:keepLines/>
              <w:spacing w:before="0" w:after="0" w:line="240" w:lineRule="auto"/>
            </w:pPr>
            <w:r>
              <w:rPr>
                <w:rFonts w:ascii="Arial" w:hAnsi="Arial" w:eastAsia="Arial"/>
                <w:b w:val="0"/>
                <w:color w:val="1A1A1A"/>
                <w:sz w:val="18"/>
              </w:rPr>
              <w:t>V1.5 / 2026-08-03</w:t>
            </w:r>
          </w:p>
        </w:tc>
      </w:tr>
      <w:tr w14:paraId="1B20B64C">
        <w:tblPrEx>
          <w:tblCellMar>
            <w:top w:w="0" w:type="dxa"/>
            <w:left w:w="108" w:type="dxa"/>
            <w:bottom w:w="0" w:type="dxa"/>
            <w:right w:w="108" w:type="dxa"/>
          </w:tblCellMar>
        </w:tblPrEx>
        <w:trPr>
          <w:jc w:val="center"/>
        </w:trPr>
        <w:tc>
          <w:tcPr>
            <w:tcW w:w="3168" w:type="dxa"/>
            <w:shd w:val="clear" w:color="auto" w:fill="F4EBCB"/>
            <w:tcMar>
              <w:top w:w="100" w:type="dxa"/>
              <w:left w:w="140" w:type="dxa"/>
              <w:bottom w:w="100" w:type="dxa"/>
              <w:right w:w="140" w:type="dxa"/>
            </w:tcMar>
            <w:vAlign w:val="center"/>
          </w:tcPr>
          <w:p w14:paraId="3548A421">
            <w:pPr>
              <w:keepLines/>
              <w:spacing w:before="0" w:after="0" w:line="240" w:lineRule="auto"/>
            </w:pPr>
            <w:r>
              <w:rPr>
                <w:rFonts w:ascii="Arial" w:hAnsi="Arial" w:eastAsia="Arial"/>
                <w:b/>
                <w:color w:val="5C1949"/>
                <w:sz w:val="18"/>
              </w:rPr>
              <w:t>Classification</w:t>
            </w:r>
          </w:p>
        </w:tc>
        <w:tc>
          <w:tcPr>
            <w:tcW w:w="5184" w:type="dxa"/>
            <w:tcMar>
              <w:top w:w="100" w:type="dxa"/>
              <w:left w:w="140" w:type="dxa"/>
              <w:bottom w:w="100" w:type="dxa"/>
              <w:right w:w="140" w:type="dxa"/>
            </w:tcMar>
            <w:vAlign w:val="center"/>
          </w:tcPr>
          <w:p w14:paraId="2A661668">
            <w:pPr>
              <w:keepLines/>
              <w:spacing w:before="0" w:after="0" w:line="240" w:lineRule="auto"/>
            </w:pPr>
            <w:r>
              <w:rPr>
                <w:rFonts w:ascii="Arial" w:hAnsi="Arial" w:eastAsia="Arial"/>
                <w:b w:val="0"/>
                <w:color w:val="1A1A1A"/>
                <w:sz w:val="18"/>
              </w:rPr>
              <w:t>Internal / Website Development / Financial Governance</w:t>
            </w:r>
          </w:p>
        </w:tc>
      </w:tr>
      <w:tr w14:paraId="0893280E">
        <w:tblPrEx>
          <w:tblCellMar>
            <w:top w:w="0" w:type="dxa"/>
            <w:left w:w="108" w:type="dxa"/>
            <w:bottom w:w="0" w:type="dxa"/>
            <w:right w:w="108" w:type="dxa"/>
          </w:tblCellMar>
        </w:tblPrEx>
        <w:trPr>
          <w:jc w:val="center"/>
        </w:trPr>
        <w:tc>
          <w:tcPr>
            <w:tcW w:w="3168" w:type="dxa"/>
            <w:shd w:val="clear" w:color="auto" w:fill="F4EBCB"/>
            <w:tcMar>
              <w:top w:w="100" w:type="dxa"/>
              <w:left w:w="140" w:type="dxa"/>
              <w:bottom w:w="100" w:type="dxa"/>
              <w:right w:w="140" w:type="dxa"/>
            </w:tcMar>
            <w:vAlign w:val="center"/>
          </w:tcPr>
          <w:p w14:paraId="0D6A74CB">
            <w:pPr>
              <w:keepLines/>
              <w:spacing w:before="0" w:after="0" w:line="240" w:lineRule="auto"/>
            </w:pPr>
            <w:r>
              <w:rPr>
                <w:rFonts w:ascii="Arial" w:hAnsi="Arial" w:eastAsia="Arial"/>
                <w:b/>
                <w:color w:val="5C1949"/>
                <w:sz w:val="18"/>
              </w:rPr>
              <w:t>Controlling Inputs</w:t>
            </w:r>
          </w:p>
        </w:tc>
        <w:tc>
          <w:tcPr>
            <w:tcW w:w="5184" w:type="dxa"/>
            <w:tcMar>
              <w:top w:w="100" w:type="dxa"/>
              <w:left w:w="140" w:type="dxa"/>
              <w:bottom w:w="100" w:type="dxa"/>
              <w:right w:w="140" w:type="dxa"/>
            </w:tcMar>
            <w:vAlign w:val="center"/>
          </w:tcPr>
          <w:p w14:paraId="55F2DBD3">
            <w:pPr>
              <w:keepLines/>
              <w:spacing w:before="0" w:after="0" w:line="240" w:lineRule="auto"/>
            </w:pPr>
            <w:r>
              <w:rPr>
                <w:rFonts w:ascii="Arial" w:hAnsi="Arial" w:eastAsia="Arial"/>
                <w:b w:val="0"/>
                <w:color w:val="1A1A1A"/>
                <w:sz w:val="18"/>
              </w:rPr>
              <w:t>SafeBuy Account Listing Model and SBR-ADMIN-ID-STANDARD-20260627-V1</w:t>
            </w:r>
          </w:p>
        </w:tc>
      </w:tr>
    </w:tbl>
    <w:p w14:paraId="725BCD56">
      <w:pPr>
        <w:spacing w:before="400"/>
        <w:jc w:val="center"/>
      </w:pPr>
      <w:r>
        <w:rPr>
          <w:rFonts w:ascii="Arial" w:hAnsi="Arial" w:eastAsia="Arial"/>
          <w:i/>
          <w:color w:val="5C1949"/>
          <w:sz w:val="18"/>
        </w:rPr>
        <w:t>Your Trusted Eye in All Your Real Estate Deals. We Verify. You Invest.</w:t>
      </w:r>
    </w:p>
    <w:p w14:paraId="4CF521DB">
      <w:pPr>
        <w:sectPr>
          <w:headerReference r:id="rId5" w:type="default"/>
          <w:footerReference r:id="rId6" w:type="default"/>
          <w:pgSz w:w="12240" w:h="15840"/>
          <w:pgMar w:top="1080" w:right="1037" w:bottom="1008" w:left="1037" w:header="432" w:footer="504" w:gutter="0"/>
          <w:cols w:space="720" w:num="1"/>
          <w:titlePg/>
          <w:docGrid w:linePitch="360" w:charSpace="0"/>
        </w:sectPr>
      </w:pPr>
    </w:p>
    <w:p w14:paraId="0618582A">
      <w:pPr>
        <w:pStyle w:val="2"/>
        <w:keepNext/>
        <w:pageBreakBefore w:val="0"/>
      </w:pPr>
      <w:r>
        <w:t>Document Control and Approval</w:t>
      </w:r>
    </w:p>
    <w:p w14:paraId="69A0889D">
      <w:pPr>
        <w:pStyle w:val="13"/>
        <w:spacing w:before="0" w:after="120" w:line="269" w:lineRule="auto"/>
      </w:pPr>
      <w:r>
        <w:rPr>
          <w:rFonts w:ascii="Arial" w:hAnsi="Arial" w:eastAsia="Arial"/>
          <w:color w:val="1A1A1A"/>
          <w:sz w:val="20"/>
        </w:rPr>
        <w:t>This document is the controlling implementation specification for the financial-account structure, escrow workflow, VAT allocation, unique identifiers, reconciliation, reporting and access controls to be built into the SafeBuy Realties website and administrative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A16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5C1949"/>
            <w:tcMar>
              <w:top w:w="100" w:type="dxa"/>
              <w:left w:w="120" w:type="dxa"/>
              <w:bottom w:w="100" w:type="dxa"/>
              <w:right w:w="120" w:type="dxa"/>
            </w:tcMar>
            <w:vAlign w:val="center"/>
          </w:tcPr>
          <w:p w14:paraId="60FF271E">
            <w:pPr>
              <w:keepLines/>
              <w:spacing w:before="0" w:after="0" w:line="240" w:lineRule="auto"/>
              <w:jc w:val="center"/>
            </w:pPr>
            <w:r>
              <w:rPr>
                <w:rFonts w:ascii="Arial" w:hAnsi="Arial" w:eastAsia="Arial"/>
                <w:b/>
                <w:color w:val="FFFFFF"/>
                <w:sz w:val="17"/>
              </w:rPr>
              <w:t>Control Item</w:t>
            </w:r>
          </w:p>
        </w:tc>
        <w:tc>
          <w:tcPr>
            <w:tcW w:w="6912" w:type="dxa"/>
            <w:shd w:val="clear" w:color="auto" w:fill="5C1949"/>
            <w:tcMar>
              <w:top w:w="100" w:type="dxa"/>
              <w:left w:w="120" w:type="dxa"/>
              <w:bottom w:w="100" w:type="dxa"/>
              <w:right w:w="120" w:type="dxa"/>
            </w:tcMar>
            <w:vAlign w:val="center"/>
          </w:tcPr>
          <w:p w14:paraId="21EECAD7">
            <w:pPr>
              <w:keepLines/>
              <w:spacing w:before="0" w:after="0" w:line="240" w:lineRule="auto"/>
              <w:jc w:val="center"/>
            </w:pPr>
            <w:r>
              <w:rPr>
                <w:rFonts w:ascii="Arial" w:hAnsi="Arial" w:eastAsia="Arial"/>
                <w:b/>
                <w:color w:val="FFFFFF"/>
                <w:sz w:val="17"/>
              </w:rPr>
              <w:t>Approved Requirement</w:t>
            </w:r>
          </w:p>
        </w:tc>
      </w:tr>
      <w:tr w14:paraId="0188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1249DDE7">
            <w:pPr>
              <w:keepLines/>
              <w:spacing w:before="0" w:after="0" w:line="240" w:lineRule="auto"/>
              <w:jc w:val="left"/>
            </w:pPr>
            <w:r>
              <w:rPr>
                <w:rFonts w:ascii="Arial" w:hAnsi="Arial" w:eastAsia="Arial"/>
                <w:b/>
                <w:color w:val="1A1A1A"/>
                <w:sz w:val="17"/>
              </w:rPr>
              <w:t>Document Owner</w:t>
            </w:r>
          </w:p>
        </w:tc>
        <w:tc>
          <w:tcPr>
            <w:tcW w:w="6912" w:type="dxa"/>
            <w:tcMar>
              <w:top w:w="90" w:type="dxa"/>
              <w:left w:w="120" w:type="dxa"/>
              <w:bottom w:w="90" w:type="dxa"/>
              <w:right w:w="120" w:type="dxa"/>
            </w:tcMar>
            <w:vAlign w:val="center"/>
          </w:tcPr>
          <w:p w14:paraId="74ECC253">
            <w:pPr>
              <w:keepLines/>
              <w:spacing w:before="0" w:after="0" w:line="240" w:lineRule="auto"/>
              <w:jc w:val="left"/>
            </w:pPr>
            <w:r>
              <w:rPr>
                <w:rFonts w:ascii="Arial" w:hAnsi="Arial" w:eastAsia="Arial"/>
                <w:b w:val="0"/>
                <w:color w:val="1A1A1A"/>
                <w:sz w:val="17"/>
              </w:rPr>
              <w:t>Finance &amp; Accounts, with Operations, Legal &amp; Compliance and Digital Records</w:t>
            </w:r>
          </w:p>
        </w:tc>
      </w:tr>
      <w:tr w14:paraId="31C0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02E367FA">
            <w:pPr>
              <w:keepLines/>
              <w:spacing w:before="0" w:after="0" w:line="240" w:lineRule="auto"/>
              <w:jc w:val="left"/>
            </w:pPr>
            <w:r>
              <w:rPr>
                <w:rFonts w:ascii="Arial" w:hAnsi="Arial" w:eastAsia="Arial"/>
                <w:b/>
                <w:color w:val="1A1A1A"/>
                <w:sz w:val="17"/>
              </w:rPr>
              <w:t>Technical Owner</w:t>
            </w:r>
          </w:p>
        </w:tc>
        <w:tc>
          <w:tcPr>
            <w:tcW w:w="6912" w:type="dxa"/>
            <w:shd w:val="clear" w:color="auto" w:fill="FBFBFB"/>
            <w:tcMar>
              <w:top w:w="90" w:type="dxa"/>
              <w:left w:w="120" w:type="dxa"/>
              <w:bottom w:w="90" w:type="dxa"/>
              <w:right w:w="120" w:type="dxa"/>
            </w:tcMar>
            <w:vAlign w:val="center"/>
          </w:tcPr>
          <w:p w14:paraId="283CC8BA">
            <w:pPr>
              <w:keepLines/>
              <w:spacing w:before="0" w:after="0" w:line="240" w:lineRule="auto"/>
              <w:jc w:val="left"/>
            </w:pPr>
            <w:r>
              <w:rPr>
                <w:rFonts w:ascii="Arial" w:hAnsi="Arial" w:eastAsia="Arial"/>
                <w:b w:val="0"/>
                <w:color w:val="1A1A1A"/>
                <w:sz w:val="17"/>
              </w:rPr>
              <w:t>Website Development Team / Technical Lead</w:t>
            </w:r>
          </w:p>
        </w:tc>
      </w:tr>
      <w:tr w14:paraId="7944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72757AFC">
            <w:pPr>
              <w:keepLines/>
              <w:spacing w:before="0" w:after="0" w:line="240" w:lineRule="auto"/>
              <w:jc w:val="left"/>
            </w:pPr>
            <w:r>
              <w:rPr>
                <w:rFonts w:ascii="Arial" w:hAnsi="Arial" w:eastAsia="Arial"/>
                <w:b/>
                <w:color w:val="1A1A1A"/>
                <w:sz w:val="17"/>
              </w:rPr>
              <w:t>Primary Business Model</w:t>
            </w:r>
          </w:p>
        </w:tc>
        <w:tc>
          <w:tcPr>
            <w:tcW w:w="6912" w:type="dxa"/>
            <w:tcMar>
              <w:top w:w="90" w:type="dxa"/>
              <w:left w:w="120" w:type="dxa"/>
              <w:bottom w:w="90" w:type="dxa"/>
              <w:right w:w="120" w:type="dxa"/>
            </w:tcMar>
            <w:vAlign w:val="center"/>
          </w:tcPr>
          <w:p w14:paraId="10F07816">
            <w:pPr>
              <w:keepLines/>
              <w:spacing w:before="0" w:after="0" w:line="240" w:lineRule="auto"/>
              <w:jc w:val="left"/>
            </w:pPr>
            <w:r>
              <w:rPr>
                <w:rFonts w:ascii="Arial" w:hAnsi="Arial" w:eastAsia="Arial"/>
                <w:b w:val="0"/>
                <w:color w:val="1A1A1A"/>
                <w:sz w:val="17"/>
              </w:rPr>
              <w:t>Main bank accounts by business code; sub-ledger identification inside the application</w:t>
            </w:r>
          </w:p>
        </w:tc>
      </w:tr>
      <w:tr w14:paraId="34C6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0417F6D4">
            <w:pPr>
              <w:keepLines/>
              <w:spacing w:before="0" w:after="0" w:line="240" w:lineRule="auto"/>
              <w:jc w:val="left"/>
            </w:pPr>
            <w:r>
              <w:rPr>
                <w:rFonts w:ascii="Arial" w:hAnsi="Arial" w:eastAsia="Arial"/>
                <w:b/>
                <w:color w:val="1A1A1A"/>
                <w:sz w:val="17"/>
              </w:rPr>
              <w:t>Escrow Model</w:t>
            </w:r>
          </w:p>
        </w:tc>
        <w:tc>
          <w:tcPr>
            <w:tcW w:w="6912" w:type="dxa"/>
            <w:shd w:val="clear" w:color="auto" w:fill="FBFBFB"/>
            <w:tcMar>
              <w:top w:w="90" w:type="dxa"/>
              <w:left w:w="120" w:type="dxa"/>
              <w:bottom w:w="90" w:type="dxa"/>
              <w:right w:w="120" w:type="dxa"/>
            </w:tcMar>
            <w:vAlign w:val="center"/>
          </w:tcPr>
          <w:p w14:paraId="6AF0A8EE">
            <w:pPr>
              <w:keepLines/>
              <w:spacing w:before="0" w:after="0" w:line="240" w:lineRule="auto"/>
              <w:jc w:val="left"/>
            </w:pPr>
            <w:r>
              <w:rPr>
                <w:rFonts w:ascii="Arial" w:hAnsi="Arial" w:eastAsia="Arial"/>
                <w:b w:val="0"/>
                <w:color w:val="1A1A1A"/>
                <w:sz w:val="17"/>
              </w:rPr>
              <w:t>One ring-fenced Escrow Account with a unique escrow record for each customer/property transaction</w:t>
            </w:r>
          </w:p>
        </w:tc>
      </w:tr>
      <w:tr w14:paraId="5389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0EA0C907">
            <w:pPr>
              <w:keepLines/>
              <w:spacing w:before="0" w:after="0" w:line="240" w:lineRule="auto"/>
              <w:jc w:val="left"/>
            </w:pPr>
            <w:r>
              <w:rPr>
                <w:rFonts w:ascii="Arial" w:hAnsi="Arial" w:eastAsia="Arial"/>
                <w:b/>
                <w:color w:val="1A1A1A"/>
                <w:sz w:val="17"/>
              </w:rPr>
              <w:t>Tax Model</w:t>
            </w:r>
          </w:p>
        </w:tc>
        <w:tc>
          <w:tcPr>
            <w:tcW w:w="6912" w:type="dxa"/>
            <w:tcMar>
              <w:top w:w="90" w:type="dxa"/>
              <w:left w:w="120" w:type="dxa"/>
              <w:bottom w:w="90" w:type="dxa"/>
              <w:right w:w="120" w:type="dxa"/>
            </w:tcMar>
            <w:vAlign w:val="center"/>
          </w:tcPr>
          <w:p w14:paraId="243DD5D3">
            <w:pPr>
              <w:keepLines/>
              <w:spacing w:before="0" w:after="0" w:line="240" w:lineRule="auto"/>
              <w:jc w:val="left"/>
            </w:pPr>
            <w:r>
              <w:rPr>
                <w:rFonts w:ascii="Arial" w:hAnsi="Arial" w:eastAsia="Arial"/>
                <w:b w:val="0"/>
                <w:color w:val="1A1A1A"/>
                <w:sz w:val="17"/>
              </w:rPr>
              <w:t>7.5% VAT on taxable commissions and service fees; no VAT on escrow principal</w:t>
            </w:r>
          </w:p>
        </w:tc>
      </w:tr>
      <w:tr w14:paraId="665E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71458211">
            <w:pPr>
              <w:keepLines/>
              <w:spacing w:before="0" w:after="0" w:line="240" w:lineRule="auto"/>
              <w:jc w:val="left"/>
            </w:pPr>
            <w:r>
              <w:rPr>
                <w:rFonts w:ascii="Arial" w:hAnsi="Arial" w:eastAsia="Arial"/>
                <w:b/>
                <w:color w:val="1A1A1A"/>
                <w:sz w:val="17"/>
              </w:rPr>
              <w:t>Identification Model</w:t>
            </w:r>
          </w:p>
        </w:tc>
        <w:tc>
          <w:tcPr>
            <w:tcW w:w="6912" w:type="dxa"/>
            <w:shd w:val="clear" w:color="auto" w:fill="FBFBFB"/>
            <w:tcMar>
              <w:top w:w="90" w:type="dxa"/>
              <w:left w:w="120" w:type="dxa"/>
              <w:bottom w:w="90" w:type="dxa"/>
              <w:right w:w="120" w:type="dxa"/>
            </w:tcMar>
            <w:vAlign w:val="center"/>
          </w:tcPr>
          <w:p w14:paraId="0D263BE3">
            <w:pPr>
              <w:keepLines/>
              <w:spacing w:before="0" w:after="0" w:line="240" w:lineRule="auto"/>
              <w:jc w:val="left"/>
            </w:pPr>
            <w:r>
              <w:rPr>
                <w:rFonts w:ascii="Arial" w:hAnsi="Arial" w:eastAsia="Arial"/>
                <w:b w:val="0"/>
                <w:color w:val="1A1A1A"/>
                <w:sz w:val="17"/>
              </w:rPr>
              <w:t>System-generated, immutable SBR identifiers with parent-child linkage</w:t>
            </w:r>
          </w:p>
        </w:tc>
      </w:tr>
      <w:tr w14:paraId="7FAE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1FA4A496">
            <w:pPr>
              <w:keepLines/>
              <w:spacing w:before="0" w:after="0" w:line="240" w:lineRule="auto"/>
              <w:jc w:val="left"/>
            </w:pPr>
            <w:r>
              <w:rPr>
                <w:rFonts w:ascii="Arial" w:hAnsi="Arial" w:eastAsia="Arial"/>
                <w:b/>
                <w:color w:val="1A1A1A"/>
                <w:sz w:val="17"/>
              </w:rPr>
              <w:t>Technology Position</w:t>
            </w:r>
          </w:p>
        </w:tc>
        <w:tc>
          <w:tcPr>
            <w:tcW w:w="6912" w:type="dxa"/>
            <w:tcMar>
              <w:top w:w="90" w:type="dxa"/>
              <w:left w:w="120" w:type="dxa"/>
              <w:bottom w:w="90" w:type="dxa"/>
              <w:right w:w="120" w:type="dxa"/>
            </w:tcMar>
            <w:vAlign w:val="center"/>
          </w:tcPr>
          <w:p w14:paraId="78595886">
            <w:pPr>
              <w:keepLines/>
              <w:spacing w:before="0" w:after="0" w:line="240" w:lineRule="auto"/>
              <w:jc w:val="left"/>
            </w:pPr>
            <w:r>
              <w:rPr>
                <w:rFonts w:ascii="Arial" w:hAnsi="Arial" w:eastAsia="Arial"/>
                <w:b w:val="0"/>
                <w:color w:val="1A1A1A"/>
                <w:sz w:val="17"/>
              </w:rPr>
              <w:t>Vendor-neutral; no named database, hosting platform, bank or service provider is prescribed</w:t>
            </w:r>
          </w:p>
        </w:tc>
      </w:tr>
    </w:tbl>
    <w:p w14:paraId="24E5CC67">
      <w:pPr>
        <w:spacing w:after="20"/>
      </w:pPr>
    </w:p>
    <w:p w14:paraId="77C56645">
      <w:pPr>
        <w:pStyle w:val="3"/>
        <w:keepNext/>
        <w:pageBreakBefore w:val="0"/>
      </w:pPr>
      <w:r>
        <w:t>Approval Record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7724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5C1949"/>
            <w:tcMar>
              <w:top w:w="100" w:type="dxa"/>
              <w:left w:w="120" w:type="dxa"/>
              <w:bottom w:w="100" w:type="dxa"/>
              <w:right w:w="120" w:type="dxa"/>
            </w:tcMar>
            <w:vAlign w:val="center"/>
          </w:tcPr>
          <w:p w14:paraId="6E8E01D2">
            <w:pPr>
              <w:keepLines/>
              <w:spacing w:before="0" w:after="0" w:line="240" w:lineRule="auto"/>
              <w:jc w:val="center"/>
            </w:pPr>
            <w:r>
              <w:rPr>
                <w:rFonts w:ascii="Arial" w:hAnsi="Arial" w:eastAsia="Arial"/>
                <w:b/>
                <w:color w:val="FFFFFF"/>
                <w:sz w:val="17"/>
              </w:rPr>
              <w:t>Role</w:t>
            </w:r>
          </w:p>
        </w:tc>
        <w:tc>
          <w:tcPr>
            <w:tcW w:w="3456" w:type="dxa"/>
            <w:shd w:val="clear" w:color="auto" w:fill="5C1949"/>
            <w:tcMar>
              <w:top w:w="100" w:type="dxa"/>
              <w:left w:w="120" w:type="dxa"/>
              <w:bottom w:w="100" w:type="dxa"/>
              <w:right w:w="120" w:type="dxa"/>
            </w:tcMar>
            <w:vAlign w:val="center"/>
          </w:tcPr>
          <w:p w14:paraId="4E9489EE">
            <w:pPr>
              <w:keepLines/>
              <w:spacing w:before="0" w:after="0" w:line="240" w:lineRule="auto"/>
              <w:jc w:val="center"/>
            </w:pPr>
            <w:r>
              <w:rPr>
                <w:rFonts w:ascii="Arial" w:hAnsi="Arial" w:eastAsia="Arial"/>
                <w:b/>
                <w:color w:val="FFFFFF"/>
                <w:sz w:val="17"/>
              </w:rPr>
              <w:t>Name</w:t>
            </w:r>
          </w:p>
        </w:tc>
        <w:tc>
          <w:tcPr>
            <w:tcW w:w="3168" w:type="dxa"/>
            <w:shd w:val="clear" w:color="auto" w:fill="5C1949"/>
            <w:tcMar>
              <w:top w:w="100" w:type="dxa"/>
              <w:left w:w="120" w:type="dxa"/>
              <w:bottom w:w="100" w:type="dxa"/>
              <w:right w:w="120" w:type="dxa"/>
            </w:tcMar>
            <w:vAlign w:val="center"/>
          </w:tcPr>
          <w:p w14:paraId="6DCEA8AB">
            <w:pPr>
              <w:keepLines/>
              <w:spacing w:before="0" w:after="0" w:line="240" w:lineRule="auto"/>
              <w:jc w:val="center"/>
            </w:pPr>
            <w:r>
              <w:rPr>
                <w:rFonts w:ascii="Arial" w:hAnsi="Arial" w:eastAsia="Arial"/>
                <w:b/>
                <w:color w:val="FFFFFF"/>
                <w:sz w:val="17"/>
              </w:rPr>
              <w:t>Decision / Date</w:t>
            </w:r>
          </w:p>
        </w:tc>
      </w:tr>
      <w:tr w14:paraId="0A9C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Mar>
              <w:top w:w="90" w:type="dxa"/>
              <w:left w:w="120" w:type="dxa"/>
              <w:bottom w:w="90" w:type="dxa"/>
              <w:right w:w="120" w:type="dxa"/>
            </w:tcMar>
            <w:vAlign w:val="center"/>
          </w:tcPr>
          <w:p w14:paraId="5DB18980">
            <w:pPr>
              <w:keepLines/>
              <w:spacing w:before="0" w:after="0" w:line="240" w:lineRule="auto"/>
              <w:jc w:val="center"/>
            </w:pPr>
            <w:r>
              <w:rPr>
                <w:rFonts w:ascii="Arial" w:hAnsi="Arial" w:eastAsia="Arial"/>
                <w:b w:val="0"/>
                <w:color w:val="1A1A1A"/>
                <w:sz w:val="17"/>
              </w:rPr>
              <w:t>Prepared by</w:t>
            </w:r>
          </w:p>
        </w:tc>
        <w:tc>
          <w:tcPr>
            <w:tcW w:w="3456" w:type="dxa"/>
            <w:tcMar>
              <w:top w:w="90" w:type="dxa"/>
              <w:left w:w="120" w:type="dxa"/>
              <w:bottom w:w="90" w:type="dxa"/>
              <w:right w:w="120" w:type="dxa"/>
            </w:tcMar>
            <w:vAlign w:val="center"/>
          </w:tcPr>
          <w:p w14:paraId="0E0056E4">
            <w:pPr>
              <w:keepLines/>
              <w:spacing w:before="0" w:after="0" w:line="240" w:lineRule="auto"/>
              <w:jc w:val="left"/>
            </w:pPr>
          </w:p>
        </w:tc>
        <w:tc>
          <w:tcPr>
            <w:tcW w:w="3168" w:type="dxa"/>
            <w:tcMar>
              <w:top w:w="90" w:type="dxa"/>
              <w:left w:w="120" w:type="dxa"/>
              <w:bottom w:w="90" w:type="dxa"/>
              <w:right w:w="120" w:type="dxa"/>
            </w:tcMar>
            <w:vAlign w:val="center"/>
          </w:tcPr>
          <w:p w14:paraId="56E03F37">
            <w:pPr>
              <w:keepLines/>
              <w:spacing w:before="0" w:after="0" w:line="240" w:lineRule="auto"/>
              <w:jc w:val="left"/>
            </w:pPr>
          </w:p>
        </w:tc>
      </w:tr>
      <w:tr w14:paraId="65156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BFBFB"/>
            <w:tcMar>
              <w:top w:w="90" w:type="dxa"/>
              <w:left w:w="120" w:type="dxa"/>
              <w:bottom w:w="90" w:type="dxa"/>
              <w:right w:w="120" w:type="dxa"/>
            </w:tcMar>
            <w:vAlign w:val="center"/>
          </w:tcPr>
          <w:p w14:paraId="5E6DBAD3">
            <w:pPr>
              <w:keepLines/>
              <w:spacing w:before="0" w:after="0" w:line="240" w:lineRule="auto"/>
              <w:jc w:val="center"/>
            </w:pPr>
            <w:r>
              <w:rPr>
                <w:rFonts w:ascii="Arial" w:hAnsi="Arial" w:eastAsia="Arial"/>
                <w:b w:val="0"/>
                <w:color w:val="1A1A1A"/>
                <w:sz w:val="17"/>
              </w:rPr>
              <w:t>Reviewed by - Finance</w:t>
            </w:r>
          </w:p>
        </w:tc>
        <w:tc>
          <w:tcPr>
            <w:tcW w:w="3456" w:type="dxa"/>
            <w:shd w:val="clear" w:color="auto" w:fill="FBFBFB"/>
            <w:tcMar>
              <w:top w:w="90" w:type="dxa"/>
              <w:left w:w="120" w:type="dxa"/>
              <w:bottom w:w="90" w:type="dxa"/>
              <w:right w:w="120" w:type="dxa"/>
            </w:tcMar>
            <w:vAlign w:val="center"/>
          </w:tcPr>
          <w:p w14:paraId="41243FA9">
            <w:pPr>
              <w:keepLines/>
              <w:spacing w:before="0" w:after="0" w:line="240" w:lineRule="auto"/>
              <w:jc w:val="left"/>
            </w:pPr>
          </w:p>
        </w:tc>
        <w:tc>
          <w:tcPr>
            <w:tcW w:w="3168" w:type="dxa"/>
            <w:shd w:val="clear" w:color="auto" w:fill="FBFBFB"/>
            <w:tcMar>
              <w:top w:w="90" w:type="dxa"/>
              <w:left w:w="120" w:type="dxa"/>
              <w:bottom w:w="90" w:type="dxa"/>
              <w:right w:w="120" w:type="dxa"/>
            </w:tcMar>
            <w:vAlign w:val="center"/>
          </w:tcPr>
          <w:p w14:paraId="67899277">
            <w:pPr>
              <w:keepLines/>
              <w:spacing w:before="0" w:after="0" w:line="240" w:lineRule="auto"/>
              <w:jc w:val="left"/>
            </w:pPr>
          </w:p>
        </w:tc>
      </w:tr>
      <w:tr w14:paraId="0405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Mar>
              <w:top w:w="90" w:type="dxa"/>
              <w:left w:w="120" w:type="dxa"/>
              <w:bottom w:w="90" w:type="dxa"/>
              <w:right w:w="120" w:type="dxa"/>
            </w:tcMar>
            <w:vAlign w:val="center"/>
          </w:tcPr>
          <w:p w14:paraId="17130F2C">
            <w:pPr>
              <w:keepLines/>
              <w:spacing w:before="0" w:after="0" w:line="240" w:lineRule="auto"/>
              <w:jc w:val="center"/>
            </w:pPr>
            <w:r>
              <w:rPr>
                <w:rFonts w:ascii="Arial" w:hAnsi="Arial" w:eastAsia="Arial"/>
                <w:b w:val="0"/>
                <w:color w:val="1A1A1A"/>
                <w:sz w:val="17"/>
              </w:rPr>
              <w:t>Reviewed by - Operations</w:t>
            </w:r>
          </w:p>
        </w:tc>
        <w:tc>
          <w:tcPr>
            <w:tcW w:w="3456" w:type="dxa"/>
            <w:tcMar>
              <w:top w:w="90" w:type="dxa"/>
              <w:left w:w="120" w:type="dxa"/>
              <w:bottom w:w="90" w:type="dxa"/>
              <w:right w:w="120" w:type="dxa"/>
            </w:tcMar>
            <w:vAlign w:val="center"/>
          </w:tcPr>
          <w:p w14:paraId="7C0DF8A8">
            <w:pPr>
              <w:keepLines/>
              <w:spacing w:before="0" w:after="0" w:line="240" w:lineRule="auto"/>
              <w:jc w:val="left"/>
            </w:pPr>
          </w:p>
        </w:tc>
        <w:tc>
          <w:tcPr>
            <w:tcW w:w="3168" w:type="dxa"/>
            <w:tcMar>
              <w:top w:w="90" w:type="dxa"/>
              <w:left w:w="120" w:type="dxa"/>
              <w:bottom w:w="90" w:type="dxa"/>
              <w:right w:w="120" w:type="dxa"/>
            </w:tcMar>
            <w:vAlign w:val="center"/>
          </w:tcPr>
          <w:p w14:paraId="1959278C">
            <w:pPr>
              <w:keepLines/>
              <w:spacing w:before="0" w:after="0" w:line="240" w:lineRule="auto"/>
              <w:jc w:val="left"/>
            </w:pPr>
          </w:p>
        </w:tc>
      </w:tr>
      <w:tr w14:paraId="20EA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BFBFB"/>
            <w:tcMar>
              <w:top w:w="90" w:type="dxa"/>
              <w:left w:w="120" w:type="dxa"/>
              <w:bottom w:w="90" w:type="dxa"/>
              <w:right w:w="120" w:type="dxa"/>
            </w:tcMar>
            <w:vAlign w:val="center"/>
          </w:tcPr>
          <w:p w14:paraId="4C6C76FE">
            <w:pPr>
              <w:keepLines/>
              <w:spacing w:before="0" w:after="0" w:line="240" w:lineRule="auto"/>
              <w:jc w:val="center"/>
            </w:pPr>
            <w:r>
              <w:rPr>
                <w:rFonts w:ascii="Arial" w:hAnsi="Arial" w:eastAsia="Arial"/>
                <w:b w:val="0"/>
                <w:color w:val="1A1A1A"/>
                <w:sz w:val="17"/>
              </w:rPr>
              <w:t>Reviewed by - Legal &amp; Compliance</w:t>
            </w:r>
          </w:p>
        </w:tc>
        <w:tc>
          <w:tcPr>
            <w:tcW w:w="3456" w:type="dxa"/>
            <w:shd w:val="clear" w:color="auto" w:fill="FBFBFB"/>
            <w:tcMar>
              <w:top w:w="90" w:type="dxa"/>
              <w:left w:w="120" w:type="dxa"/>
              <w:bottom w:w="90" w:type="dxa"/>
              <w:right w:w="120" w:type="dxa"/>
            </w:tcMar>
            <w:vAlign w:val="center"/>
          </w:tcPr>
          <w:p w14:paraId="67535855">
            <w:pPr>
              <w:keepLines/>
              <w:spacing w:before="0" w:after="0" w:line="240" w:lineRule="auto"/>
              <w:jc w:val="left"/>
            </w:pPr>
          </w:p>
        </w:tc>
        <w:tc>
          <w:tcPr>
            <w:tcW w:w="3168" w:type="dxa"/>
            <w:shd w:val="clear" w:color="auto" w:fill="FBFBFB"/>
            <w:tcMar>
              <w:top w:w="90" w:type="dxa"/>
              <w:left w:w="120" w:type="dxa"/>
              <w:bottom w:w="90" w:type="dxa"/>
              <w:right w:w="120" w:type="dxa"/>
            </w:tcMar>
            <w:vAlign w:val="center"/>
          </w:tcPr>
          <w:p w14:paraId="7505D4C1">
            <w:pPr>
              <w:keepLines/>
              <w:spacing w:before="0" w:after="0" w:line="240" w:lineRule="auto"/>
              <w:jc w:val="left"/>
            </w:pPr>
          </w:p>
        </w:tc>
      </w:tr>
      <w:tr w14:paraId="1CEA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Mar>
              <w:top w:w="90" w:type="dxa"/>
              <w:left w:w="120" w:type="dxa"/>
              <w:bottom w:w="90" w:type="dxa"/>
              <w:right w:w="120" w:type="dxa"/>
            </w:tcMar>
            <w:vAlign w:val="center"/>
          </w:tcPr>
          <w:p w14:paraId="4DD08117">
            <w:pPr>
              <w:keepLines/>
              <w:spacing w:before="0" w:after="0" w:line="240" w:lineRule="auto"/>
              <w:jc w:val="center"/>
            </w:pPr>
            <w:r>
              <w:rPr>
                <w:rFonts w:ascii="Arial" w:hAnsi="Arial" w:eastAsia="Arial"/>
                <w:b w:val="0"/>
                <w:color w:val="1A1A1A"/>
                <w:sz w:val="17"/>
              </w:rPr>
              <w:t>Approved by - MD/CEO</w:t>
            </w:r>
          </w:p>
        </w:tc>
        <w:tc>
          <w:tcPr>
            <w:tcW w:w="3456" w:type="dxa"/>
            <w:tcMar>
              <w:top w:w="90" w:type="dxa"/>
              <w:left w:w="120" w:type="dxa"/>
              <w:bottom w:w="90" w:type="dxa"/>
              <w:right w:w="120" w:type="dxa"/>
            </w:tcMar>
            <w:vAlign w:val="center"/>
          </w:tcPr>
          <w:p w14:paraId="39E6C51C">
            <w:pPr>
              <w:keepLines/>
              <w:spacing w:before="0" w:after="0" w:line="240" w:lineRule="auto"/>
              <w:jc w:val="left"/>
            </w:pPr>
          </w:p>
        </w:tc>
        <w:tc>
          <w:tcPr>
            <w:tcW w:w="3168" w:type="dxa"/>
            <w:tcMar>
              <w:top w:w="90" w:type="dxa"/>
              <w:left w:w="120" w:type="dxa"/>
              <w:bottom w:w="90" w:type="dxa"/>
              <w:right w:w="120" w:type="dxa"/>
            </w:tcMar>
            <w:vAlign w:val="center"/>
          </w:tcPr>
          <w:p w14:paraId="7AE6C928">
            <w:pPr>
              <w:keepLines/>
              <w:spacing w:before="0" w:after="0" w:line="240" w:lineRule="auto"/>
              <w:jc w:val="left"/>
            </w:pPr>
          </w:p>
        </w:tc>
      </w:tr>
    </w:tbl>
    <w:p w14:paraId="29FC3C7C">
      <w:pPr>
        <w:spacing w:after="20"/>
      </w:pPr>
    </w:p>
    <w:p w14:paraId="25CD95DE">
      <w:pPr>
        <w:pStyle w:val="3"/>
        <w:keepNext/>
        <w:pageBreakBefore w:val="0"/>
      </w:pPr>
      <w:r>
        <w:t>Implementation Reading Rule</w:t>
      </w:r>
    </w:p>
    <w:tbl>
      <w:tblPr>
        <w:tblStyle w:val="12"/>
        <w:tblW w:w="0" w:type="auto"/>
        <w:jc w:val="center"/>
        <w:tblLayout w:type="fixed"/>
        <w:tblCellMar>
          <w:top w:w="0" w:type="dxa"/>
          <w:left w:w="108" w:type="dxa"/>
          <w:bottom w:w="0" w:type="dxa"/>
          <w:right w:w="108" w:type="dxa"/>
        </w:tblCellMar>
      </w:tblPr>
      <w:tblGrid>
        <w:gridCol w:w="10080"/>
      </w:tblGrid>
      <w:tr w14:paraId="54730D54">
        <w:tblPrEx>
          <w:tblCellMar>
            <w:top w:w="0" w:type="dxa"/>
            <w:left w:w="108" w:type="dxa"/>
            <w:bottom w:w="0" w:type="dxa"/>
            <w:right w:w="108" w:type="dxa"/>
          </w:tblCellMar>
        </w:tblPrEx>
        <w:trPr>
          <w:jc w:val="center"/>
        </w:trPr>
        <w:tc>
          <w:tcPr>
            <w:tcW w:w="10166" w:type="dxa"/>
            <w:tcBorders>
              <w:top w:val="single" w:color="0F6B77" w:sz="10" w:space="0"/>
              <w:left w:val="single" w:color="0F6B77" w:sz="10" w:space="0"/>
              <w:bottom w:val="single" w:color="0F6B77" w:sz="10" w:space="0"/>
              <w:right w:val="single" w:color="0F6B77" w:sz="10" w:space="0"/>
            </w:tcBorders>
            <w:shd w:val="clear" w:color="auto" w:fill="E8F3F4"/>
            <w:tcMar>
              <w:top w:w="140" w:type="dxa"/>
              <w:left w:w="180" w:type="dxa"/>
              <w:bottom w:w="140" w:type="dxa"/>
              <w:right w:w="180" w:type="dxa"/>
            </w:tcMar>
          </w:tcPr>
          <w:p w14:paraId="2200A664">
            <w:pPr>
              <w:keepLines/>
              <w:spacing w:before="0" w:after="60" w:line="252" w:lineRule="auto"/>
            </w:pPr>
            <w:r>
              <w:rPr>
                <w:rFonts w:ascii="Arial" w:hAnsi="Arial" w:eastAsia="Arial"/>
                <w:b/>
                <w:i w:val="0"/>
                <w:color w:val="5C1949"/>
                <w:sz w:val="20"/>
              </w:rPr>
              <w:t>Controlling interpretation</w:t>
            </w:r>
          </w:p>
          <w:p w14:paraId="176F9166">
            <w:pPr>
              <w:keepLines/>
              <w:spacing w:before="0" w:after="0" w:line="259" w:lineRule="auto"/>
            </w:pPr>
            <w:r>
              <w:rPr>
                <w:rFonts w:ascii="Arial" w:hAnsi="Arial" w:eastAsia="Arial"/>
                <w:b w:val="0"/>
                <w:i w:val="0"/>
                <w:color w:val="1A1A1A"/>
                <w:sz w:val="19"/>
              </w:rPr>
              <w:t>Where the original account-listing note uses “Customer 1, Customer 2, Customer 3” or “Professional 1, Professional 2, Professional 3”, the website must implement a scalable generated sub-ledger linked to the official SafeBuy Escrow ID or Professional ID. These are logical application records, not separate bank accounts for every customer or professional.</w:t>
            </w:r>
          </w:p>
        </w:tc>
      </w:tr>
    </w:tbl>
    <w:p w14:paraId="15423F8C">
      <w:pPr>
        <w:spacing w:after="20"/>
      </w:pPr>
    </w:p>
    <w:p w14:paraId="090C739F">
      <w:pPr>
        <w:pStyle w:val="2"/>
        <w:keepNext/>
        <w:pageBreakBefore w:val="0"/>
      </w:pPr>
      <w:r>
        <w:t>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12B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5C1949"/>
            <w:tcMar>
              <w:top w:w="100" w:type="dxa"/>
              <w:left w:w="120" w:type="dxa"/>
              <w:bottom w:w="100" w:type="dxa"/>
              <w:right w:w="120" w:type="dxa"/>
            </w:tcMar>
            <w:vAlign w:val="center"/>
          </w:tcPr>
          <w:p w14:paraId="259B237D">
            <w:pPr>
              <w:keepLines/>
              <w:spacing w:before="0" w:after="0" w:line="240" w:lineRule="auto"/>
              <w:jc w:val="center"/>
            </w:pPr>
            <w:r>
              <w:rPr>
                <w:rFonts w:ascii="Arial" w:hAnsi="Arial" w:eastAsia="Arial"/>
                <w:b/>
                <w:color w:val="FFFFFF"/>
                <w:sz w:val="17"/>
              </w:rPr>
              <w:t>Section</w:t>
            </w:r>
          </w:p>
        </w:tc>
        <w:tc>
          <w:tcPr>
            <w:tcW w:w="8352" w:type="dxa"/>
            <w:shd w:val="clear" w:color="auto" w:fill="5C1949"/>
            <w:tcMar>
              <w:top w:w="100" w:type="dxa"/>
              <w:left w:w="120" w:type="dxa"/>
              <w:bottom w:w="100" w:type="dxa"/>
              <w:right w:w="120" w:type="dxa"/>
            </w:tcMar>
            <w:vAlign w:val="center"/>
          </w:tcPr>
          <w:p w14:paraId="587C8167">
            <w:pPr>
              <w:keepLines/>
              <w:spacing w:before="0" w:after="0" w:line="240" w:lineRule="auto"/>
              <w:jc w:val="center"/>
            </w:pPr>
            <w:r>
              <w:rPr>
                <w:rFonts w:ascii="Arial" w:hAnsi="Arial" w:eastAsia="Arial"/>
                <w:b/>
                <w:color w:val="FFFFFF"/>
                <w:sz w:val="17"/>
              </w:rPr>
              <w:t>Subject</w:t>
            </w:r>
          </w:p>
        </w:tc>
      </w:tr>
      <w:tr w14:paraId="1E6B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6C09A591">
            <w:pPr>
              <w:keepLines/>
              <w:spacing w:before="0" w:after="0" w:line="240" w:lineRule="auto"/>
              <w:jc w:val="left"/>
            </w:pPr>
            <w:r>
              <w:rPr>
                <w:rFonts w:ascii="Arial" w:hAnsi="Arial" w:eastAsia="Arial"/>
                <w:b/>
                <w:color w:val="1A1A1A"/>
                <w:sz w:val="17"/>
              </w:rPr>
              <w:t>1</w:t>
            </w:r>
          </w:p>
        </w:tc>
        <w:tc>
          <w:tcPr>
            <w:tcW w:w="8352" w:type="dxa"/>
            <w:tcMar>
              <w:top w:w="90" w:type="dxa"/>
              <w:left w:w="120" w:type="dxa"/>
              <w:bottom w:w="90" w:type="dxa"/>
              <w:right w:w="120" w:type="dxa"/>
            </w:tcMar>
            <w:vAlign w:val="center"/>
          </w:tcPr>
          <w:p w14:paraId="1B9A80F0">
            <w:pPr>
              <w:keepLines/>
              <w:spacing w:before="0" w:after="0" w:line="240" w:lineRule="auto"/>
              <w:jc w:val="left"/>
            </w:pPr>
            <w:r>
              <w:rPr>
                <w:rFonts w:ascii="Arial" w:hAnsi="Arial" w:eastAsia="Arial"/>
                <w:b w:val="0"/>
                <w:color w:val="1A1A1A"/>
                <w:sz w:val="17"/>
              </w:rPr>
              <w:t>Purpose, scope and approved build decisions</w:t>
            </w:r>
          </w:p>
        </w:tc>
      </w:tr>
      <w:tr w14:paraId="3C83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4BA413A4">
            <w:pPr>
              <w:keepLines/>
              <w:spacing w:before="0" w:after="0" w:line="240" w:lineRule="auto"/>
              <w:jc w:val="left"/>
            </w:pPr>
            <w:r>
              <w:rPr>
                <w:rFonts w:ascii="Arial" w:hAnsi="Arial" w:eastAsia="Arial"/>
                <w:b/>
                <w:color w:val="1A1A1A"/>
                <w:sz w:val="17"/>
              </w:rPr>
              <w:t>2</w:t>
            </w:r>
          </w:p>
        </w:tc>
        <w:tc>
          <w:tcPr>
            <w:tcW w:w="8352" w:type="dxa"/>
            <w:shd w:val="clear" w:color="auto" w:fill="FBFBFB"/>
            <w:tcMar>
              <w:top w:w="90" w:type="dxa"/>
              <w:left w:w="120" w:type="dxa"/>
              <w:bottom w:w="90" w:type="dxa"/>
              <w:right w:w="120" w:type="dxa"/>
            </w:tcMar>
            <w:vAlign w:val="center"/>
          </w:tcPr>
          <w:p w14:paraId="46A6DC8B">
            <w:pPr>
              <w:keepLines/>
              <w:spacing w:before="0" w:after="0" w:line="240" w:lineRule="auto"/>
              <w:jc w:val="left"/>
            </w:pPr>
            <w:r>
              <w:rPr>
                <w:rFonts w:ascii="Arial" w:hAnsi="Arial" w:eastAsia="Arial"/>
                <w:b w:val="0"/>
                <w:color w:val="1A1A1A"/>
                <w:sz w:val="17"/>
              </w:rPr>
              <w:t>Core account and bank-account architecture</w:t>
            </w:r>
          </w:p>
        </w:tc>
      </w:tr>
      <w:tr w14:paraId="2638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3AD072CB">
            <w:pPr>
              <w:keepLines/>
              <w:spacing w:before="0" w:after="0" w:line="240" w:lineRule="auto"/>
              <w:jc w:val="left"/>
            </w:pPr>
            <w:r>
              <w:rPr>
                <w:rFonts w:ascii="Arial" w:hAnsi="Arial" w:eastAsia="Arial"/>
                <w:b/>
                <w:color w:val="1A1A1A"/>
                <w:sz w:val="17"/>
              </w:rPr>
              <w:t>3</w:t>
            </w:r>
          </w:p>
        </w:tc>
        <w:tc>
          <w:tcPr>
            <w:tcW w:w="8352" w:type="dxa"/>
            <w:tcMar>
              <w:top w:w="90" w:type="dxa"/>
              <w:left w:w="120" w:type="dxa"/>
              <w:bottom w:w="90" w:type="dxa"/>
              <w:right w:w="120" w:type="dxa"/>
            </w:tcMar>
            <w:vAlign w:val="center"/>
          </w:tcPr>
          <w:p w14:paraId="42380983">
            <w:pPr>
              <w:keepLines/>
              <w:spacing w:before="0" w:after="0" w:line="240" w:lineRule="auto"/>
              <w:jc w:val="left"/>
            </w:pPr>
            <w:r>
              <w:rPr>
                <w:rFonts w:ascii="Arial" w:hAnsi="Arial" w:eastAsia="Arial"/>
                <w:b w:val="0"/>
                <w:color w:val="1A1A1A"/>
                <w:sz w:val="17"/>
              </w:rPr>
              <w:t>Operational codes and sub-ledger rules</w:t>
            </w:r>
          </w:p>
        </w:tc>
      </w:tr>
      <w:tr w14:paraId="2E54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45B9F61C">
            <w:pPr>
              <w:keepLines/>
              <w:spacing w:before="0" w:after="0" w:line="240" w:lineRule="auto"/>
              <w:jc w:val="left"/>
            </w:pPr>
            <w:r>
              <w:rPr>
                <w:rFonts w:ascii="Arial" w:hAnsi="Arial" w:eastAsia="Arial"/>
                <w:b/>
                <w:color w:val="1A1A1A"/>
                <w:sz w:val="17"/>
              </w:rPr>
              <w:t>4</w:t>
            </w:r>
          </w:p>
        </w:tc>
        <w:tc>
          <w:tcPr>
            <w:tcW w:w="8352" w:type="dxa"/>
            <w:shd w:val="clear" w:color="auto" w:fill="FBFBFB"/>
            <w:tcMar>
              <w:top w:w="90" w:type="dxa"/>
              <w:left w:w="120" w:type="dxa"/>
              <w:bottom w:w="90" w:type="dxa"/>
              <w:right w:w="120" w:type="dxa"/>
            </w:tcMar>
            <w:vAlign w:val="center"/>
          </w:tcPr>
          <w:p w14:paraId="76F33B4A">
            <w:pPr>
              <w:keepLines/>
              <w:spacing w:before="0" w:after="0" w:line="240" w:lineRule="auto"/>
              <w:jc w:val="left"/>
            </w:pPr>
            <w:r>
              <w:rPr>
                <w:rFonts w:ascii="Arial" w:hAnsi="Arial" w:eastAsia="Arial"/>
                <w:b w:val="0"/>
                <w:color w:val="1A1A1A"/>
                <w:sz w:val="17"/>
              </w:rPr>
              <w:t>VAT account and calculation rules</w:t>
            </w:r>
          </w:p>
        </w:tc>
      </w:tr>
      <w:tr w14:paraId="5766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466D3EE0">
            <w:pPr>
              <w:keepLines/>
              <w:spacing w:before="0" w:after="0" w:line="240" w:lineRule="auto"/>
              <w:jc w:val="left"/>
            </w:pPr>
            <w:r>
              <w:rPr>
                <w:rFonts w:ascii="Arial" w:hAnsi="Arial" w:eastAsia="Arial"/>
                <w:b/>
                <w:color w:val="1A1A1A"/>
                <w:sz w:val="17"/>
              </w:rPr>
              <w:t>5</w:t>
            </w:r>
          </w:p>
        </w:tc>
        <w:tc>
          <w:tcPr>
            <w:tcW w:w="8352" w:type="dxa"/>
            <w:tcMar>
              <w:top w:w="90" w:type="dxa"/>
              <w:left w:w="120" w:type="dxa"/>
              <w:bottom w:w="90" w:type="dxa"/>
              <w:right w:w="120" w:type="dxa"/>
            </w:tcMar>
            <w:vAlign w:val="center"/>
          </w:tcPr>
          <w:p w14:paraId="1A5BAE31">
            <w:pPr>
              <w:keepLines/>
              <w:spacing w:before="0" w:after="0" w:line="240" w:lineRule="auto"/>
              <w:jc w:val="left"/>
            </w:pPr>
            <w:r>
              <w:rPr>
                <w:rFonts w:ascii="Arial" w:hAnsi="Arial" w:eastAsia="Arial"/>
                <w:b w:val="0"/>
                <w:color w:val="1A1A1A"/>
                <w:sz w:val="17"/>
              </w:rPr>
              <w:t>Official identification and numbering integration</w:t>
            </w:r>
          </w:p>
        </w:tc>
      </w:tr>
      <w:tr w14:paraId="75AE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4E6FB053">
            <w:pPr>
              <w:keepLines/>
              <w:spacing w:before="0" w:after="0" w:line="240" w:lineRule="auto"/>
              <w:jc w:val="left"/>
            </w:pPr>
            <w:r>
              <w:rPr>
                <w:rFonts w:ascii="Arial" w:hAnsi="Arial" w:eastAsia="Arial"/>
                <w:b/>
                <w:color w:val="1A1A1A"/>
                <w:sz w:val="17"/>
              </w:rPr>
              <w:t>6</w:t>
            </w:r>
          </w:p>
        </w:tc>
        <w:tc>
          <w:tcPr>
            <w:tcW w:w="8352" w:type="dxa"/>
            <w:shd w:val="clear" w:color="auto" w:fill="FBFBFB"/>
            <w:tcMar>
              <w:top w:w="90" w:type="dxa"/>
              <w:left w:w="120" w:type="dxa"/>
              <w:bottom w:w="90" w:type="dxa"/>
              <w:right w:w="120" w:type="dxa"/>
            </w:tcMar>
            <w:vAlign w:val="center"/>
          </w:tcPr>
          <w:p w14:paraId="21D53D04">
            <w:pPr>
              <w:keepLines/>
              <w:spacing w:before="0" w:after="0" w:line="240" w:lineRule="auto"/>
              <w:jc w:val="left"/>
            </w:pPr>
            <w:r>
              <w:rPr>
                <w:rFonts w:ascii="Arial" w:hAnsi="Arial" w:eastAsia="Arial"/>
                <w:b w:val="0"/>
                <w:color w:val="1A1A1A"/>
                <w:sz w:val="17"/>
              </w:rPr>
              <w:t>Parent-child record relationships</w:t>
            </w:r>
          </w:p>
        </w:tc>
      </w:tr>
      <w:tr w14:paraId="6142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34A3B7BC">
            <w:pPr>
              <w:keepLines/>
              <w:spacing w:before="0" w:after="0" w:line="240" w:lineRule="auto"/>
              <w:jc w:val="left"/>
            </w:pPr>
            <w:r>
              <w:rPr>
                <w:rFonts w:ascii="Arial" w:hAnsi="Arial" w:eastAsia="Arial"/>
                <w:b/>
                <w:color w:val="1A1A1A"/>
                <w:sz w:val="17"/>
              </w:rPr>
              <w:t>7</w:t>
            </w:r>
          </w:p>
        </w:tc>
        <w:tc>
          <w:tcPr>
            <w:tcW w:w="8352" w:type="dxa"/>
            <w:tcMar>
              <w:top w:w="90" w:type="dxa"/>
              <w:left w:w="120" w:type="dxa"/>
              <w:bottom w:w="90" w:type="dxa"/>
              <w:right w:w="120" w:type="dxa"/>
            </w:tcMar>
            <w:vAlign w:val="center"/>
          </w:tcPr>
          <w:p w14:paraId="7F070F64">
            <w:pPr>
              <w:keepLines/>
              <w:spacing w:before="0" w:after="0" w:line="240" w:lineRule="auto"/>
              <w:jc w:val="left"/>
            </w:pPr>
            <w:r>
              <w:rPr>
                <w:rFonts w:ascii="Arial" w:hAnsi="Arial" w:eastAsia="Arial"/>
                <w:b w:val="0"/>
                <w:color w:val="1A1A1A"/>
                <w:sz w:val="17"/>
              </w:rPr>
              <w:t>End-to-end financial workflows</w:t>
            </w:r>
          </w:p>
        </w:tc>
      </w:tr>
      <w:tr w14:paraId="76DA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67550A7D">
            <w:pPr>
              <w:keepLines/>
              <w:spacing w:before="0" w:after="0" w:line="240" w:lineRule="auto"/>
              <w:jc w:val="left"/>
            </w:pPr>
            <w:r>
              <w:rPr>
                <w:rFonts w:ascii="Arial" w:hAnsi="Arial" w:eastAsia="Arial"/>
                <w:b/>
                <w:color w:val="1A1A1A"/>
                <w:sz w:val="17"/>
              </w:rPr>
              <w:t>8</w:t>
            </w:r>
          </w:p>
        </w:tc>
        <w:tc>
          <w:tcPr>
            <w:tcW w:w="8352" w:type="dxa"/>
            <w:shd w:val="clear" w:color="auto" w:fill="FBFBFB"/>
            <w:tcMar>
              <w:top w:w="90" w:type="dxa"/>
              <w:left w:w="120" w:type="dxa"/>
              <w:bottom w:w="90" w:type="dxa"/>
              <w:right w:w="120" w:type="dxa"/>
            </w:tcMar>
            <w:vAlign w:val="center"/>
          </w:tcPr>
          <w:p w14:paraId="0D61E971">
            <w:pPr>
              <w:keepLines/>
              <w:spacing w:before="0" w:after="0" w:line="240" w:lineRule="auto"/>
              <w:jc w:val="left"/>
            </w:pPr>
            <w:r>
              <w:rPr>
                <w:rFonts w:ascii="Arial" w:hAnsi="Arial" w:eastAsia="Arial"/>
                <w:b w:val="0"/>
                <w:color w:val="1A1A1A"/>
                <w:sz w:val="17"/>
              </w:rPr>
              <w:t>Required application data model</w:t>
            </w:r>
          </w:p>
        </w:tc>
      </w:tr>
      <w:tr w14:paraId="0FC3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2C0427B7">
            <w:pPr>
              <w:keepLines/>
              <w:spacing w:before="0" w:after="0" w:line="240" w:lineRule="auto"/>
              <w:jc w:val="left"/>
            </w:pPr>
            <w:r>
              <w:rPr>
                <w:rFonts w:ascii="Arial" w:hAnsi="Arial" w:eastAsia="Arial"/>
                <w:b/>
                <w:color w:val="1A1A1A"/>
                <w:sz w:val="17"/>
              </w:rPr>
              <w:t>9</w:t>
            </w:r>
          </w:p>
        </w:tc>
        <w:tc>
          <w:tcPr>
            <w:tcW w:w="8352" w:type="dxa"/>
            <w:tcMar>
              <w:top w:w="90" w:type="dxa"/>
              <w:left w:w="120" w:type="dxa"/>
              <w:bottom w:w="90" w:type="dxa"/>
              <w:right w:w="120" w:type="dxa"/>
            </w:tcMar>
            <w:vAlign w:val="center"/>
          </w:tcPr>
          <w:p w14:paraId="32874043">
            <w:pPr>
              <w:keepLines/>
              <w:spacing w:before="0" w:after="0" w:line="240" w:lineRule="auto"/>
              <w:jc w:val="left"/>
            </w:pPr>
            <w:r>
              <w:rPr>
                <w:rFonts w:ascii="Arial" w:hAnsi="Arial" w:eastAsia="Arial"/>
                <w:b w:val="0"/>
                <w:color w:val="1A1A1A"/>
                <w:sz w:val="17"/>
              </w:rPr>
              <w:t>Website screens and dashboard requirements</w:t>
            </w:r>
          </w:p>
        </w:tc>
      </w:tr>
      <w:tr w14:paraId="7F0A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1B637A22">
            <w:pPr>
              <w:keepLines/>
              <w:spacing w:before="0" w:after="0" w:line="240" w:lineRule="auto"/>
              <w:jc w:val="left"/>
            </w:pPr>
            <w:r>
              <w:rPr>
                <w:rFonts w:ascii="Arial" w:hAnsi="Arial" w:eastAsia="Arial"/>
                <w:b/>
                <w:color w:val="1A1A1A"/>
                <w:sz w:val="17"/>
              </w:rPr>
              <w:t>10</w:t>
            </w:r>
          </w:p>
        </w:tc>
        <w:tc>
          <w:tcPr>
            <w:tcW w:w="8352" w:type="dxa"/>
            <w:shd w:val="clear" w:color="auto" w:fill="FBFBFB"/>
            <w:tcMar>
              <w:top w:w="90" w:type="dxa"/>
              <w:left w:w="120" w:type="dxa"/>
              <w:bottom w:w="90" w:type="dxa"/>
              <w:right w:w="120" w:type="dxa"/>
            </w:tcMar>
            <w:vAlign w:val="center"/>
          </w:tcPr>
          <w:p w14:paraId="66B679D7">
            <w:pPr>
              <w:keepLines/>
              <w:spacing w:before="0" w:after="0" w:line="240" w:lineRule="auto"/>
              <w:jc w:val="left"/>
            </w:pPr>
            <w:r>
              <w:rPr>
                <w:rFonts w:ascii="Arial" w:hAnsi="Arial" w:eastAsia="Arial"/>
                <w:b w:val="0"/>
                <w:color w:val="1A1A1A"/>
                <w:sz w:val="17"/>
              </w:rPr>
              <w:t>Roles, approvals and segregation of duties</w:t>
            </w:r>
          </w:p>
        </w:tc>
      </w:tr>
      <w:tr w14:paraId="0162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1729C96A">
            <w:pPr>
              <w:keepLines/>
              <w:spacing w:before="0" w:after="0" w:line="240" w:lineRule="auto"/>
              <w:jc w:val="left"/>
            </w:pPr>
            <w:r>
              <w:rPr>
                <w:rFonts w:ascii="Arial" w:hAnsi="Arial" w:eastAsia="Arial"/>
                <w:b/>
                <w:color w:val="1A1A1A"/>
                <w:sz w:val="17"/>
              </w:rPr>
              <w:t>11</w:t>
            </w:r>
          </w:p>
        </w:tc>
        <w:tc>
          <w:tcPr>
            <w:tcW w:w="8352" w:type="dxa"/>
            <w:tcMar>
              <w:top w:w="90" w:type="dxa"/>
              <w:left w:w="120" w:type="dxa"/>
              <w:bottom w:w="90" w:type="dxa"/>
              <w:right w:w="120" w:type="dxa"/>
            </w:tcMar>
            <w:vAlign w:val="center"/>
          </w:tcPr>
          <w:p w14:paraId="0727AE63">
            <w:pPr>
              <w:keepLines/>
              <w:spacing w:before="0" w:after="0" w:line="240" w:lineRule="auto"/>
              <w:jc w:val="left"/>
            </w:pPr>
            <w:r>
              <w:rPr>
                <w:rFonts w:ascii="Arial" w:hAnsi="Arial" w:eastAsia="Arial"/>
                <w:b w:val="0"/>
                <w:color w:val="1A1A1A"/>
                <w:sz w:val="17"/>
              </w:rPr>
              <w:t>Reconciliation, reporting and accounting controls</w:t>
            </w:r>
          </w:p>
        </w:tc>
      </w:tr>
      <w:tr w14:paraId="0261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3E28F103">
            <w:pPr>
              <w:keepLines/>
              <w:spacing w:before="0" w:after="0" w:line="240" w:lineRule="auto"/>
              <w:jc w:val="left"/>
            </w:pPr>
            <w:r>
              <w:rPr>
                <w:rFonts w:ascii="Arial" w:hAnsi="Arial" w:eastAsia="Arial"/>
                <w:b/>
                <w:color w:val="1A1A1A"/>
                <w:sz w:val="17"/>
              </w:rPr>
              <w:t>12</w:t>
            </w:r>
          </w:p>
        </w:tc>
        <w:tc>
          <w:tcPr>
            <w:tcW w:w="8352" w:type="dxa"/>
            <w:shd w:val="clear" w:color="auto" w:fill="FBFBFB"/>
            <w:tcMar>
              <w:top w:w="90" w:type="dxa"/>
              <w:left w:w="120" w:type="dxa"/>
              <w:bottom w:w="90" w:type="dxa"/>
              <w:right w:w="120" w:type="dxa"/>
            </w:tcMar>
            <w:vAlign w:val="center"/>
          </w:tcPr>
          <w:p w14:paraId="0D3D00CB">
            <w:pPr>
              <w:keepLines/>
              <w:spacing w:before="0" w:after="0" w:line="240" w:lineRule="auto"/>
              <w:jc w:val="left"/>
            </w:pPr>
            <w:r>
              <w:rPr>
                <w:rFonts w:ascii="Arial" w:hAnsi="Arial" w:eastAsia="Arial"/>
                <w:b w:val="0"/>
                <w:color w:val="1A1A1A"/>
                <w:sz w:val="17"/>
              </w:rPr>
              <w:t>Security, audit and data-integrity controls</w:t>
            </w:r>
          </w:p>
        </w:tc>
      </w:tr>
      <w:tr w14:paraId="0099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53C1F516">
            <w:pPr>
              <w:keepLines/>
              <w:spacing w:before="0" w:after="0" w:line="240" w:lineRule="auto"/>
              <w:jc w:val="left"/>
            </w:pPr>
            <w:r>
              <w:rPr>
                <w:rFonts w:ascii="Arial" w:hAnsi="Arial" w:eastAsia="Arial"/>
                <w:b/>
                <w:color w:val="1A1A1A"/>
                <w:sz w:val="17"/>
              </w:rPr>
              <w:t>13</w:t>
            </w:r>
          </w:p>
        </w:tc>
        <w:tc>
          <w:tcPr>
            <w:tcW w:w="8352" w:type="dxa"/>
            <w:tcMar>
              <w:top w:w="90" w:type="dxa"/>
              <w:left w:w="120" w:type="dxa"/>
              <w:bottom w:w="90" w:type="dxa"/>
              <w:right w:w="120" w:type="dxa"/>
            </w:tcMar>
            <w:vAlign w:val="center"/>
          </w:tcPr>
          <w:p w14:paraId="00165969">
            <w:pPr>
              <w:keepLines/>
              <w:spacing w:before="0" w:after="0" w:line="240" w:lineRule="auto"/>
              <w:jc w:val="left"/>
            </w:pPr>
            <w:r>
              <w:rPr>
                <w:rFonts w:ascii="Arial" w:hAnsi="Arial" w:eastAsia="Arial"/>
                <w:b w:val="0"/>
                <w:color w:val="1A1A1A"/>
                <w:sz w:val="17"/>
              </w:rPr>
              <w:t>Server-side and integration requirements</w:t>
            </w:r>
          </w:p>
        </w:tc>
      </w:tr>
      <w:tr w14:paraId="00AA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197F6EEE">
            <w:pPr>
              <w:keepLines/>
              <w:spacing w:before="0" w:after="0" w:line="240" w:lineRule="auto"/>
              <w:jc w:val="left"/>
            </w:pPr>
            <w:r>
              <w:rPr>
                <w:rFonts w:ascii="Arial" w:hAnsi="Arial" w:eastAsia="Arial"/>
                <w:b/>
                <w:color w:val="1A1A1A"/>
                <w:sz w:val="17"/>
              </w:rPr>
              <w:t>14</w:t>
            </w:r>
          </w:p>
        </w:tc>
        <w:tc>
          <w:tcPr>
            <w:tcW w:w="8352" w:type="dxa"/>
            <w:shd w:val="clear" w:color="auto" w:fill="FBFBFB"/>
            <w:tcMar>
              <w:top w:w="90" w:type="dxa"/>
              <w:left w:w="120" w:type="dxa"/>
              <w:bottom w:w="90" w:type="dxa"/>
              <w:right w:w="120" w:type="dxa"/>
            </w:tcMar>
            <w:vAlign w:val="center"/>
          </w:tcPr>
          <w:p w14:paraId="4F9E075D">
            <w:pPr>
              <w:keepLines/>
              <w:spacing w:before="0" w:after="0" w:line="240" w:lineRule="auto"/>
              <w:jc w:val="left"/>
            </w:pPr>
            <w:r>
              <w:rPr>
                <w:rFonts w:ascii="Arial" w:hAnsi="Arial" w:eastAsia="Arial"/>
                <w:b w:val="0"/>
                <w:color w:val="1A1A1A"/>
                <w:sz w:val="17"/>
              </w:rPr>
              <w:t>Testing and acceptance criteria</w:t>
            </w:r>
          </w:p>
        </w:tc>
      </w:tr>
      <w:tr w14:paraId="2F45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90" w:type="dxa"/>
              <w:left w:w="120" w:type="dxa"/>
              <w:bottom w:w="90" w:type="dxa"/>
              <w:right w:w="120" w:type="dxa"/>
            </w:tcMar>
            <w:vAlign w:val="center"/>
          </w:tcPr>
          <w:p w14:paraId="72F2A5DD">
            <w:pPr>
              <w:keepLines/>
              <w:spacing w:before="0" w:after="0" w:line="240" w:lineRule="auto"/>
              <w:jc w:val="left"/>
            </w:pPr>
            <w:r>
              <w:rPr>
                <w:rFonts w:ascii="Arial" w:hAnsi="Arial" w:eastAsia="Arial"/>
                <w:b/>
                <w:color w:val="1A1A1A"/>
                <w:sz w:val="17"/>
              </w:rPr>
              <w:t>15</w:t>
            </w:r>
          </w:p>
        </w:tc>
        <w:tc>
          <w:tcPr>
            <w:tcW w:w="8352" w:type="dxa"/>
            <w:tcMar>
              <w:top w:w="90" w:type="dxa"/>
              <w:left w:w="120" w:type="dxa"/>
              <w:bottom w:w="90" w:type="dxa"/>
              <w:right w:w="120" w:type="dxa"/>
            </w:tcMar>
            <w:vAlign w:val="center"/>
          </w:tcPr>
          <w:p w14:paraId="7E87B2E8">
            <w:pPr>
              <w:keepLines/>
              <w:spacing w:before="0" w:after="0" w:line="240" w:lineRule="auto"/>
              <w:jc w:val="left"/>
            </w:pPr>
            <w:r>
              <w:rPr>
                <w:rFonts w:ascii="Arial" w:hAnsi="Arial" w:eastAsia="Arial"/>
                <w:b w:val="0"/>
                <w:color w:val="1A1A1A"/>
                <w:sz w:val="17"/>
              </w:rPr>
              <w:t>Developer deliverables and implementation sequence</w:t>
            </w:r>
          </w:p>
        </w:tc>
      </w:tr>
      <w:tr w14:paraId="020C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BFBFB"/>
            <w:tcMar>
              <w:top w:w="90" w:type="dxa"/>
              <w:left w:w="120" w:type="dxa"/>
              <w:bottom w:w="90" w:type="dxa"/>
              <w:right w:w="120" w:type="dxa"/>
            </w:tcMar>
            <w:vAlign w:val="center"/>
          </w:tcPr>
          <w:p w14:paraId="030E8E75">
            <w:pPr>
              <w:keepLines/>
              <w:spacing w:before="0" w:after="0" w:line="240" w:lineRule="auto"/>
              <w:jc w:val="left"/>
            </w:pPr>
            <w:r>
              <w:rPr>
                <w:rFonts w:ascii="Arial" w:hAnsi="Arial" w:eastAsia="Arial"/>
                <w:b/>
                <w:color w:val="1A1A1A"/>
                <w:sz w:val="17"/>
              </w:rPr>
              <w:t>Appendices</w:t>
            </w:r>
          </w:p>
        </w:tc>
        <w:tc>
          <w:tcPr>
            <w:tcW w:w="8352" w:type="dxa"/>
            <w:shd w:val="clear" w:color="auto" w:fill="FBFBFB"/>
            <w:tcMar>
              <w:top w:w="90" w:type="dxa"/>
              <w:left w:w="120" w:type="dxa"/>
              <w:bottom w:w="90" w:type="dxa"/>
              <w:right w:w="120" w:type="dxa"/>
            </w:tcMar>
            <w:vAlign w:val="center"/>
          </w:tcPr>
          <w:p w14:paraId="7CE66525">
            <w:pPr>
              <w:keepLines/>
              <w:spacing w:before="0" w:after="0" w:line="240" w:lineRule="auto"/>
              <w:jc w:val="left"/>
            </w:pPr>
            <w:r>
              <w:rPr>
                <w:rFonts w:ascii="Arial" w:hAnsi="Arial" w:eastAsia="Arial"/>
                <w:b w:val="0"/>
                <w:color w:val="1A1A1A"/>
                <w:sz w:val="17"/>
              </w:rPr>
              <w:t>Code map, identifiers, field dictionary and worked example</w:t>
            </w:r>
          </w:p>
        </w:tc>
      </w:tr>
    </w:tbl>
    <w:p w14:paraId="3F51AC72">
      <w:pPr>
        <w:spacing w:after="20"/>
      </w:pPr>
    </w:p>
    <w:p w14:paraId="56A37952">
      <w:pPr>
        <w:pStyle w:val="2"/>
        <w:keepNext/>
        <w:pageBreakBefore w:val="0"/>
      </w:pPr>
      <w:r>
        <w:t>1. Purpose, Scope and Approved Build Decisions</w:t>
      </w:r>
    </w:p>
    <w:p w14:paraId="33CA7053">
      <w:pPr>
        <w:pStyle w:val="13"/>
        <w:spacing w:before="0" w:after="120" w:line="269" w:lineRule="auto"/>
      </w:pPr>
      <w:r>
        <w:rPr>
          <w:rFonts w:ascii="Arial" w:hAnsi="Arial" w:eastAsia="Arial"/>
          <w:color w:val="1A1A1A"/>
          <w:sz w:val="20"/>
        </w:rPr>
        <w:t>The purpose of this specification is to translate the SafeBuy account-listing concept and the approved unique-identification standard into a precise, testable website implementation. It defines how incoming commissions, due-diligence fees, escrow funds, professional commissions and VAT are classified, identified, stored, displayed, reconciled and controlled.</w:t>
      </w:r>
    </w:p>
    <w:p w14:paraId="6C33EBD8">
      <w:pPr>
        <w:pStyle w:val="3"/>
        <w:keepNext/>
        <w:pageBreakBefore w:val="0"/>
      </w:pPr>
      <w:r>
        <w:t>1.1 In Scope</w:t>
      </w:r>
    </w:p>
    <w:p w14:paraId="39F91CD3">
      <w:pPr>
        <w:pStyle w:val="23"/>
        <w:spacing w:before="0" w:after="60" w:line="257" w:lineRule="auto"/>
        <w:ind w:left="360" w:hanging="173"/>
      </w:pPr>
      <w:r>
        <w:rPr>
          <w:rFonts w:ascii="Arial" w:hAnsi="Arial" w:eastAsia="Arial"/>
          <w:b w:val="0"/>
          <w:i w:val="0"/>
          <w:color w:val="1A1A1A"/>
          <w:sz w:val="20"/>
        </w:rPr>
        <w:t>Code 1 Property Listings commission account and buyer/seller commission sub-ledgers.</w:t>
      </w:r>
    </w:p>
    <w:p w14:paraId="381037FD">
      <w:pPr>
        <w:pStyle w:val="23"/>
        <w:spacing w:before="0" w:after="60" w:line="257" w:lineRule="auto"/>
        <w:ind w:left="360" w:hanging="173"/>
      </w:pPr>
      <w:r>
        <w:rPr>
          <w:rFonts w:ascii="Arial" w:hAnsi="Arial" w:eastAsia="Arial"/>
          <w:b w:val="0"/>
          <w:i w:val="0"/>
          <w:color w:val="1A1A1A"/>
          <w:sz w:val="20"/>
        </w:rPr>
        <w:t>Code 2 Due Diligence account and service-specific sub-codes.</w:t>
      </w:r>
    </w:p>
    <w:p w14:paraId="3DB1F623">
      <w:pPr>
        <w:pStyle w:val="23"/>
        <w:spacing w:before="0" w:after="60" w:line="257" w:lineRule="auto"/>
        <w:ind w:left="360" w:hanging="173"/>
      </w:pPr>
      <w:r>
        <w:rPr>
          <w:rFonts w:ascii="Arial" w:hAnsi="Arial" w:eastAsia="Arial"/>
          <w:b w:val="0"/>
          <w:i w:val="0"/>
          <w:color w:val="1A1A1A"/>
          <w:sz w:val="20"/>
        </w:rPr>
        <w:t>Code 3 Escrow Account, customer/transaction sub-ledgers, inflows, releases, refunds and holds.</w:t>
      </w:r>
    </w:p>
    <w:p w14:paraId="350179D9">
      <w:pPr>
        <w:pStyle w:val="23"/>
        <w:spacing w:before="0" w:after="60" w:line="257" w:lineRule="auto"/>
        <w:ind w:left="360" w:hanging="173"/>
      </w:pPr>
      <w:r>
        <w:rPr>
          <w:rFonts w:ascii="Arial" w:hAnsi="Arial" w:eastAsia="Arial"/>
          <w:b w:val="0"/>
          <w:i w:val="0"/>
          <w:color w:val="1A1A1A"/>
          <w:sz w:val="20"/>
        </w:rPr>
        <w:t>Code 4 Professional commission account and professional-linked sub-ledgers.</w:t>
      </w:r>
    </w:p>
    <w:p w14:paraId="2EDFF530">
      <w:pPr>
        <w:pStyle w:val="23"/>
        <w:spacing w:before="0" w:after="60" w:line="257" w:lineRule="auto"/>
        <w:ind w:left="360" w:hanging="173"/>
      </w:pPr>
      <w:r>
        <w:rPr>
          <w:rFonts w:ascii="Arial" w:hAnsi="Arial" w:eastAsia="Arial"/>
          <w:b w:val="0"/>
          <w:i w:val="0"/>
          <w:color w:val="1A1A1A"/>
          <w:sz w:val="20"/>
        </w:rPr>
        <w:t>Code 5 Operations boundary: multiple operating accounts remain external to the customer-facing application.</w:t>
      </w:r>
    </w:p>
    <w:p w14:paraId="711A6A08">
      <w:pPr>
        <w:pStyle w:val="23"/>
        <w:spacing w:before="0" w:after="60" w:line="257" w:lineRule="auto"/>
        <w:ind w:left="360" w:hanging="173"/>
      </w:pPr>
      <w:r>
        <w:rPr>
          <w:rFonts w:ascii="Arial" w:hAnsi="Arial" w:eastAsia="Arial"/>
          <w:b w:val="0"/>
          <w:i w:val="0"/>
          <w:color w:val="1A1A1A"/>
          <w:sz w:val="20"/>
        </w:rPr>
        <w:t>Central VAT account and VAT liability tracking at the business-approved 7.5% rate.</w:t>
      </w:r>
    </w:p>
    <w:p w14:paraId="77DC2C64">
      <w:pPr>
        <w:pStyle w:val="23"/>
        <w:spacing w:before="0" w:after="60" w:line="257" w:lineRule="auto"/>
        <w:ind w:left="360" w:hanging="173"/>
      </w:pPr>
      <w:r>
        <w:rPr>
          <w:rFonts w:ascii="Arial" w:hAnsi="Arial" w:eastAsia="Arial"/>
          <w:b w:val="0"/>
          <w:i w:val="0"/>
          <w:color w:val="1A1A1A"/>
          <w:sz w:val="20"/>
        </w:rPr>
        <w:t>System-generated buyer, seller, property, transaction, due-diligence, escrow and professional identifiers.</w:t>
      </w:r>
    </w:p>
    <w:p w14:paraId="5AEFC8FF">
      <w:pPr>
        <w:pStyle w:val="23"/>
        <w:spacing w:before="0" w:after="60" w:line="257" w:lineRule="auto"/>
        <w:ind w:left="360" w:hanging="173"/>
      </w:pPr>
      <w:r>
        <w:rPr>
          <w:rFonts w:ascii="Arial" w:hAnsi="Arial" w:eastAsia="Arial"/>
          <w:b w:val="0"/>
          <w:i w:val="0"/>
          <w:color w:val="1A1A1A"/>
          <w:sz w:val="20"/>
        </w:rPr>
        <w:t>Finance dashboard, search, statements, audit logs, reconciliation and role-based approvals.</w:t>
      </w:r>
    </w:p>
    <w:p w14:paraId="11A11096">
      <w:pPr>
        <w:pStyle w:val="3"/>
        <w:keepNext/>
        <w:pageBreakBefore w:val="0"/>
      </w:pPr>
      <w:r>
        <w:t>1.2 Approved Build Decisions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2F0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5C1949"/>
            <w:tcMar>
              <w:top w:w="100" w:type="dxa"/>
              <w:left w:w="120" w:type="dxa"/>
              <w:bottom w:w="100" w:type="dxa"/>
              <w:right w:w="120" w:type="dxa"/>
            </w:tcMar>
            <w:vAlign w:val="center"/>
          </w:tcPr>
          <w:p w14:paraId="1E0A66A6">
            <w:pPr>
              <w:keepLines/>
              <w:spacing w:before="0" w:after="0" w:line="240" w:lineRule="auto"/>
              <w:jc w:val="center"/>
            </w:pPr>
            <w:r>
              <w:rPr>
                <w:rFonts w:ascii="Arial" w:hAnsi="Arial" w:eastAsia="Arial"/>
                <w:b/>
                <w:color w:val="FFFFFF"/>
                <w:sz w:val="17"/>
              </w:rPr>
              <w:t>Decision</w:t>
            </w:r>
          </w:p>
        </w:tc>
        <w:tc>
          <w:tcPr>
            <w:tcW w:w="6912" w:type="dxa"/>
            <w:shd w:val="clear" w:color="auto" w:fill="5C1949"/>
            <w:tcMar>
              <w:top w:w="100" w:type="dxa"/>
              <w:left w:w="120" w:type="dxa"/>
              <w:bottom w:w="100" w:type="dxa"/>
              <w:right w:w="120" w:type="dxa"/>
            </w:tcMar>
            <w:vAlign w:val="center"/>
          </w:tcPr>
          <w:p w14:paraId="2AD59244">
            <w:pPr>
              <w:keepLines/>
              <w:spacing w:before="0" w:after="0" w:line="240" w:lineRule="auto"/>
              <w:jc w:val="center"/>
            </w:pPr>
            <w:r>
              <w:rPr>
                <w:rFonts w:ascii="Arial" w:hAnsi="Arial" w:eastAsia="Arial"/>
                <w:b/>
                <w:color w:val="FFFFFF"/>
                <w:sz w:val="17"/>
              </w:rPr>
              <w:t>Required implementation</w:t>
            </w:r>
          </w:p>
        </w:tc>
      </w:tr>
      <w:tr w14:paraId="5B6D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7A785560">
            <w:pPr>
              <w:keepLines/>
              <w:spacing w:before="0" w:after="0" w:line="240" w:lineRule="auto"/>
              <w:jc w:val="left"/>
            </w:pPr>
            <w:r>
              <w:rPr>
                <w:rFonts w:ascii="Arial" w:hAnsi="Arial" w:eastAsia="Arial"/>
                <w:b/>
                <w:color w:val="1A1A1A"/>
                <w:sz w:val="17"/>
              </w:rPr>
              <w:t>One bank account per main financial code</w:t>
            </w:r>
          </w:p>
        </w:tc>
        <w:tc>
          <w:tcPr>
            <w:tcW w:w="6912" w:type="dxa"/>
            <w:tcMar>
              <w:top w:w="90" w:type="dxa"/>
              <w:left w:w="120" w:type="dxa"/>
              <w:bottom w:w="90" w:type="dxa"/>
              <w:right w:w="120" w:type="dxa"/>
            </w:tcMar>
            <w:vAlign w:val="center"/>
          </w:tcPr>
          <w:p w14:paraId="7FE6FF39">
            <w:pPr>
              <w:keepLines/>
              <w:spacing w:before="0" w:after="0" w:line="240" w:lineRule="auto"/>
              <w:jc w:val="left"/>
            </w:pPr>
            <w:r>
              <w:rPr>
                <w:rFonts w:ascii="Arial" w:hAnsi="Arial" w:eastAsia="Arial"/>
                <w:b w:val="0"/>
                <w:color w:val="1A1A1A"/>
                <w:sz w:val="17"/>
              </w:rPr>
              <w:t>Codes 1, 2, 3 and 4 each map to a designated bank/settlement account record. The VAT account is maintained centrally. Operations accounts remain externally managed.</w:t>
            </w:r>
          </w:p>
        </w:tc>
      </w:tr>
      <w:tr w14:paraId="2E00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69FE55FB">
            <w:pPr>
              <w:keepLines/>
              <w:spacing w:before="0" w:after="0" w:line="240" w:lineRule="auto"/>
              <w:jc w:val="left"/>
            </w:pPr>
            <w:r>
              <w:rPr>
                <w:rFonts w:ascii="Arial" w:hAnsi="Arial" w:eastAsia="Arial"/>
                <w:b/>
                <w:color w:val="1A1A1A"/>
                <w:sz w:val="17"/>
              </w:rPr>
              <w:t>Sub-codes are application ledgers</w:t>
            </w:r>
          </w:p>
        </w:tc>
        <w:tc>
          <w:tcPr>
            <w:tcW w:w="6912" w:type="dxa"/>
            <w:shd w:val="clear" w:color="auto" w:fill="FBFBFB"/>
            <w:tcMar>
              <w:top w:w="90" w:type="dxa"/>
              <w:left w:w="120" w:type="dxa"/>
              <w:bottom w:w="90" w:type="dxa"/>
              <w:right w:w="120" w:type="dxa"/>
            </w:tcMar>
            <w:vAlign w:val="center"/>
          </w:tcPr>
          <w:p w14:paraId="731533F6">
            <w:pPr>
              <w:keepLines/>
              <w:spacing w:before="0" w:after="0" w:line="240" w:lineRule="auto"/>
              <w:jc w:val="left"/>
            </w:pPr>
            <w:r>
              <w:rPr>
                <w:rFonts w:ascii="Arial" w:hAnsi="Arial" w:eastAsia="Arial"/>
                <w:b w:val="0"/>
                <w:color w:val="1A1A1A"/>
                <w:sz w:val="17"/>
              </w:rPr>
              <w:t>A sub-code or sub-ledger identifies the source and purpose of a transaction within a main account. It is not necessarily a separate bank account.</w:t>
            </w:r>
          </w:p>
        </w:tc>
      </w:tr>
      <w:tr w14:paraId="619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2B1DD9C9">
            <w:pPr>
              <w:keepLines/>
              <w:spacing w:before="0" w:after="0" w:line="240" w:lineRule="auto"/>
              <w:jc w:val="left"/>
            </w:pPr>
            <w:r>
              <w:rPr>
                <w:rFonts w:ascii="Arial" w:hAnsi="Arial" w:eastAsia="Arial"/>
                <w:b/>
                <w:color w:val="1A1A1A"/>
                <w:sz w:val="17"/>
              </w:rPr>
              <w:t>Transaction reference is mandatory</w:t>
            </w:r>
          </w:p>
        </w:tc>
        <w:tc>
          <w:tcPr>
            <w:tcW w:w="6912" w:type="dxa"/>
            <w:tcMar>
              <w:top w:w="90" w:type="dxa"/>
              <w:left w:w="120" w:type="dxa"/>
              <w:bottom w:w="90" w:type="dxa"/>
              <w:right w:w="120" w:type="dxa"/>
            </w:tcMar>
            <w:vAlign w:val="center"/>
          </w:tcPr>
          <w:p w14:paraId="14EA52CB">
            <w:pPr>
              <w:keepLines/>
              <w:spacing w:before="0" w:after="0" w:line="240" w:lineRule="auto"/>
              <w:jc w:val="left"/>
            </w:pPr>
            <w:r>
              <w:rPr>
                <w:rFonts w:ascii="Arial" w:hAnsi="Arial" w:eastAsia="Arial"/>
                <w:b w:val="0"/>
                <w:color w:val="1A1A1A"/>
                <w:sz w:val="17"/>
              </w:rPr>
              <w:t>Every receipt, release, refund, commission, VAT allocation and professional commission must carry a unique SafeBuy reference.</w:t>
            </w:r>
          </w:p>
        </w:tc>
      </w:tr>
      <w:tr w14:paraId="4AB8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7B61D87D">
            <w:pPr>
              <w:keepLines/>
              <w:spacing w:before="0" w:after="0" w:line="240" w:lineRule="auto"/>
              <w:jc w:val="left"/>
            </w:pPr>
            <w:r>
              <w:rPr>
                <w:rFonts w:ascii="Arial" w:hAnsi="Arial" w:eastAsia="Arial"/>
                <w:b/>
                <w:color w:val="1A1A1A"/>
                <w:sz w:val="17"/>
              </w:rPr>
              <w:t>Escrow is inflow/outflow</w:t>
            </w:r>
          </w:p>
        </w:tc>
        <w:tc>
          <w:tcPr>
            <w:tcW w:w="6912" w:type="dxa"/>
            <w:shd w:val="clear" w:color="auto" w:fill="FBFBFB"/>
            <w:tcMar>
              <w:top w:w="90" w:type="dxa"/>
              <w:left w:w="120" w:type="dxa"/>
              <w:bottom w:w="90" w:type="dxa"/>
              <w:right w:w="120" w:type="dxa"/>
            </w:tcMar>
            <w:vAlign w:val="center"/>
          </w:tcPr>
          <w:p w14:paraId="7085788F">
            <w:pPr>
              <w:keepLines/>
              <w:spacing w:before="0" w:after="0" w:line="240" w:lineRule="auto"/>
              <w:jc w:val="left"/>
            </w:pPr>
            <w:r>
              <w:rPr>
                <w:rFonts w:ascii="Arial" w:hAnsi="Arial" w:eastAsia="Arial"/>
                <w:b w:val="0"/>
                <w:color w:val="1A1A1A"/>
                <w:sz w:val="17"/>
              </w:rPr>
              <w:t xml:space="preserve">The same escrow and parent transaction IDs must link buyer inflow to seller release, buyer refund or </w:t>
            </w:r>
            <w:r>
              <w:rPr>
                <w:rFonts w:eastAsia="Arial"/>
                <w:b w:val="0"/>
                <w:color w:val="1A1A1A"/>
                <w:sz w:val="17"/>
                <w:lang w:val="en-GB"/>
              </w:rPr>
              <w:t>authorized</w:t>
            </w:r>
            <w:r>
              <w:rPr>
                <w:rFonts w:ascii="Arial" w:hAnsi="Arial" w:eastAsia="Arial"/>
                <w:b w:val="0"/>
                <w:color w:val="1A1A1A"/>
                <w:sz w:val="17"/>
              </w:rPr>
              <w:t xml:space="preserve"> reversal.</w:t>
            </w:r>
          </w:p>
        </w:tc>
      </w:tr>
      <w:tr w14:paraId="25CC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54DB0D1D">
            <w:pPr>
              <w:keepLines/>
              <w:spacing w:before="0" w:after="0" w:line="240" w:lineRule="auto"/>
              <w:jc w:val="left"/>
            </w:pPr>
            <w:r>
              <w:rPr>
                <w:rFonts w:ascii="Arial" w:hAnsi="Arial" w:eastAsia="Arial"/>
                <w:b/>
                <w:color w:val="1A1A1A"/>
                <w:sz w:val="17"/>
              </w:rPr>
              <w:t>VAT is separate</w:t>
            </w:r>
          </w:p>
        </w:tc>
        <w:tc>
          <w:tcPr>
            <w:tcW w:w="6912" w:type="dxa"/>
            <w:tcMar>
              <w:top w:w="90" w:type="dxa"/>
              <w:left w:w="120" w:type="dxa"/>
              <w:bottom w:w="90" w:type="dxa"/>
              <w:right w:w="120" w:type="dxa"/>
            </w:tcMar>
            <w:vAlign w:val="center"/>
          </w:tcPr>
          <w:p w14:paraId="19266E6B">
            <w:pPr>
              <w:keepLines/>
              <w:spacing w:before="0" w:after="0" w:line="240" w:lineRule="auto"/>
              <w:jc w:val="left"/>
            </w:pPr>
            <w:r>
              <w:rPr>
                <w:rFonts w:ascii="Arial" w:hAnsi="Arial" w:eastAsia="Arial"/>
                <w:b w:val="0"/>
                <w:color w:val="1A1A1A"/>
                <w:sz w:val="17"/>
              </w:rPr>
              <w:t>VAT is calculated on commission/service-fee lines and posted to a central VAT liability/account; escrow principal is excluded.</w:t>
            </w:r>
          </w:p>
        </w:tc>
      </w:tr>
      <w:tr w14:paraId="5598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36088B4D">
            <w:pPr>
              <w:keepLines/>
              <w:spacing w:before="0" w:after="0" w:line="240" w:lineRule="auto"/>
              <w:jc w:val="left"/>
            </w:pPr>
            <w:r>
              <w:rPr>
                <w:rFonts w:ascii="Arial" w:hAnsi="Arial" w:eastAsia="Arial"/>
                <w:b/>
                <w:color w:val="1A1A1A"/>
                <w:sz w:val="17"/>
              </w:rPr>
              <w:t>IDs are immutable</w:t>
            </w:r>
          </w:p>
        </w:tc>
        <w:tc>
          <w:tcPr>
            <w:tcW w:w="6912" w:type="dxa"/>
            <w:shd w:val="clear" w:color="auto" w:fill="FBFBFB"/>
            <w:tcMar>
              <w:top w:w="90" w:type="dxa"/>
              <w:left w:w="120" w:type="dxa"/>
              <w:bottom w:w="90" w:type="dxa"/>
              <w:right w:w="120" w:type="dxa"/>
            </w:tcMar>
            <w:vAlign w:val="center"/>
          </w:tcPr>
          <w:p w14:paraId="35E28CE8">
            <w:pPr>
              <w:keepLines/>
              <w:spacing w:before="0" w:after="0" w:line="240" w:lineRule="auto"/>
              <w:jc w:val="left"/>
            </w:pPr>
            <w:r>
              <w:rPr>
                <w:rFonts w:ascii="Arial" w:hAnsi="Arial" w:eastAsia="Arial"/>
                <w:b w:val="0"/>
                <w:color w:val="1A1A1A"/>
                <w:sz w:val="17"/>
              </w:rPr>
              <w:t>System-generated IDs cannot be edited, reused or silently replaced after creation.</w:t>
            </w:r>
          </w:p>
        </w:tc>
      </w:tr>
    </w:tbl>
    <w:p w14:paraId="39DADFB6">
      <w:pPr>
        <w:spacing w:after="20"/>
      </w:pPr>
    </w:p>
    <w:p w14:paraId="76FD5CA9">
      <w:pPr>
        <w:pStyle w:val="3"/>
        <w:keepNext/>
        <w:pageBreakBefore w:val="0"/>
      </w:pPr>
      <w:r>
        <w:t>1.3 Required Normalisation of the Source Note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B4E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5C1949"/>
            <w:tcMar>
              <w:top w:w="100" w:type="dxa"/>
              <w:left w:w="120" w:type="dxa"/>
              <w:bottom w:w="100" w:type="dxa"/>
              <w:right w:w="120" w:type="dxa"/>
            </w:tcMar>
            <w:vAlign w:val="center"/>
          </w:tcPr>
          <w:p w14:paraId="01AF365E">
            <w:pPr>
              <w:keepLines/>
              <w:spacing w:before="0" w:after="0" w:line="240" w:lineRule="auto"/>
              <w:jc w:val="center"/>
            </w:pPr>
            <w:r>
              <w:rPr>
                <w:rFonts w:ascii="Arial" w:hAnsi="Arial" w:eastAsia="Arial"/>
                <w:b/>
                <w:color w:val="FFFFFF"/>
                <w:sz w:val="17"/>
              </w:rPr>
              <w:t>Source issue</w:t>
            </w:r>
          </w:p>
        </w:tc>
        <w:tc>
          <w:tcPr>
            <w:tcW w:w="6048" w:type="dxa"/>
            <w:shd w:val="clear" w:color="auto" w:fill="5C1949"/>
            <w:tcMar>
              <w:top w:w="100" w:type="dxa"/>
              <w:left w:w="120" w:type="dxa"/>
              <w:bottom w:w="100" w:type="dxa"/>
              <w:right w:w="120" w:type="dxa"/>
            </w:tcMar>
            <w:vAlign w:val="center"/>
          </w:tcPr>
          <w:p w14:paraId="775518C6">
            <w:pPr>
              <w:keepLines/>
              <w:spacing w:before="0" w:after="0" w:line="240" w:lineRule="auto"/>
              <w:jc w:val="center"/>
            </w:pPr>
            <w:r>
              <w:rPr>
                <w:rFonts w:ascii="Arial" w:hAnsi="Arial" w:eastAsia="Arial"/>
                <w:b/>
                <w:color w:val="FFFFFF"/>
                <w:sz w:val="17"/>
              </w:rPr>
              <w:t>Implementation rule</w:t>
            </w:r>
          </w:p>
        </w:tc>
      </w:tr>
      <w:tr w14:paraId="04E7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Mar>
              <w:top w:w="90" w:type="dxa"/>
              <w:left w:w="120" w:type="dxa"/>
              <w:bottom w:w="90" w:type="dxa"/>
              <w:right w:w="120" w:type="dxa"/>
            </w:tcMar>
            <w:vAlign w:val="center"/>
          </w:tcPr>
          <w:p w14:paraId="36EB78A1">
            <w:pPr>
              <w:keepLines/>
              <w:spacing w:before="0" w:after="0" w:line="240" w:lineRule="auto"/>
              <w:jc w:val="left"/>
            </w:pPr>
            <w:r>
              <w:rPr>
                <w:rFonts w:ascii="Arial" w:hAnsi="Arial" w:eastAsia="Arial"/>
                <w:b/>
                <w:color w:val="1A1A1A"/>
                <w:sz w:val="17"/>
              </w:rPr>
              <w:t>Sub-code 23 appears twice under Code 2</w:t>
            </w:r>
          </w:p>
        </w:tc>
        <w:tc>
          <w:tcPr>
            <w:tcW w:w="6048" w:type="dxa"/>
            <w:tcMar>
              <w:top w:w="90" w:type="dxa"/>
              <w:left w:w="120" w:type="dxa"/>
              <w:bottom w:w="90" w:type="dxa"/>
              <w:right w:w="120" w:type="dxa"/>
            </w:tcMar>
            <w:vAlign w:val="center"/>
          </w:tcPr>
          <w:p w14:paraId="6B0BD20B">
            <w:pPr>
              <w:keepLines/>
              <w:spacing w:before="0" w:after="0" w:line="240" w:lineRule="auto"/>
              <w:jc w:val="left"/>
            </w:pPr>
            <w:r>
              <w:rPr>
                <w:rFonts w:ascii="Arial" w:hAnsi="Arial" w:eastAsia="Arial"/>
                <w:b w:val="0"/>
                <w:color w:val="1A1A1A"/>
                <w:sz w:val="17"/>
              </w:rPr>
              <w:t>Use 23 for Physical Due Diligence and 24 for Security Due Diligence.</w:t>
            </w:r>
          </w:p>
        </w:tc>
      </w:tr>
      <w:tr w14:paraId="09BDA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shd w:val="clear" w:color="auto" w:fill="FBFBFB"/>
            <w:tcMar>
              <w:top w:w="90" w:type="dxa"/>
              <w:left w:w="120" w:type="dxa"/>
              <w:bottom w:w="90" w:type="dxa"/>
              <w:right w:w="120" w:type="dxa"/>
            </w:tcMar>
            <w:vAlign w:val="center"/>
          </w:tcPr>
          <w:p w14:paraId="2A4C6B52">
            <w:pPr>
              <w:keepLines/>
              <w:spacing w:before="0" w:after="0" w:line="240" w:lineRule="auto"/>
              <w:jc w:val="left"/>
            </w:pPr>
            <w:r>
              <w:rPr>
                <w:rFonts w:ascii="Arial" w:hAnsi="Arial" w:eastAsia="Arial"/>
                <w:b/>
                <w:color w:val="1A1A1A"/>
                <w:sz w:val="17"/>
              </w:rPr>
              <w:t>Sub-code 42 appears twice under Code 4</w:t>
            </w:r>
          </w:p>
        </w:tc>
        <w:tc>
          <w:tcPr>
            <w:tcW w:w="6048" w:type="dxa"/>
            <w:shd w:val="clear" w:color="auto" w:fill="FBFBFB"/>
            <w:tcMar>
              <w:top w:w="90" w:type="dxa"/>
              <w:left w:w="120" w:type="dxa"/>
              <w:bottom w:w="90" w:type="dxa"/>
              <w:right w:w="120" w:type="dxa"/>
            </w:tcMar>
            <w:vAlign w:val="center"/>
          </w:tcPr>
          <w:p w14:paraId="34924233">
            <w:pPr>
              <w:keepLines/>
              <w:spacing w:before="0" w:after="0" w:line="240" w:lineRule="auto"/>
              <w:jc w:val="left"/>
            </w:pPr>
            <w:r>
              <w:rPr>
                <w:rFonts w:ascii="Arial" w:hAnsi="Arial" w:eastAsia="Arial"/>
                <w:b w:val="0"/>
                <w:color w:val="1A1A1A"/>
                <w:sz w:val="17"/>
              </w:rPr>
              <w:t>Do not hard-code individual professionals to 41/42/43. Use a dynamic professional sub-ledger linked to the official Professional ID.</w:t>
            </w:r>
          </w:p>
        </w:tc>
      </w:tr>
      <w:tr w14:paraId="372C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Mar>
              <w:top w:w="90" w:type="dxa"/>
              <w:left w:w="120" w:type="dxa"/>
              <w:bottom w:w="90" w:type="dxa"/>
              <w:right w:w="120" w:type="dxa"/>
            </w:tcMar>
            <w:vAlign w:val="center"/>
          </w:tcPr>
          <w:p w14:paraId="436F8134">
            <w:pPr>
              <w:keepLines/>
              <w:spacing w:before="0" w:after="0" w:line="240" w:lineRule="auto"/>
              <w:jc w:val="left"/>
            </w:pPr>
            <w:r>
              <w:rPr>
                <w:rFonts w:ascii="Arial" w:hAnsi="Arial" w:eastAsia="Arial"/>
                <w:b/>
                <w:color w:val="1A1A1A"/>
                <w:sz w:val="17"/>
              </w:rPr>
              <w:t>Code 3 lists Customer 1, 2, 3</w:t>
            </w:r>
          </w:p>
        </w:tc>
        <w:tc>
          <w:tcPr>
            <w:tcW w:w="6048" w:type="dxa"/>
            <w:tcMar>
              <w:top w:w="90" w:type="dxa"/>
              <w:left w:w="120" w:type="dxa"/>
              <w:bottom w:w="90" w:type="dxa"/>
              <w:right w:w="120" w:type="dxa"/>
            </w:tcMar>
            <w:vAlign w:val="center"/>
          </w:tcPr>
          <w:p w14:paraId="4636B7F1">
            <w:pPr>
              <w:keepLines/>
              <w:spacing w:before="0" w:after="0" w:line="240" w:lineRule="auto"/>
              <w:jc w:val="left"/>
            </w:pPr>
            <w:r>
              <w:rPr>
                <w:rFonts w:ascii="Arial" w:hAnsi="Arial" w:eastAsia="Arial"/>
                <w:b w:val="0"/>
                <w:color w:val="1A1A1A"/>
                <w:sz w:val="17"/>
              </w:rPr>
              <w:t>Use a dynamic escrow sub-ledger sequence and an official SBR-ESC identifier per transaction; do not create a separate bank account for every customer.</w:t>
            </w:r>
          </w:p>
        </w:tc>
      </w:tr>
      <w:tr w14:paraId="0BB5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shd w:val="clear" w:color="auto" w:fill="FBFBFB"/>
            <w:tcMar>
              <w:top w:w="90" w:type="dxa"/>
              <w:left w:w="120" w:type="dxa"/>
              <w:bottom w:w="90" w:type="dxa"/>
              <w:right w:w="120" w:type="dxa"/>
            </w:tcMar>
            <w:vAlign w:val="center"/>
          </w:tcPr>
          <w:p w14:paraId="5668C2A1">
            <w:pPr>
              <w:keepLines/>
              <w:spacing w:before="0" w:after="0" w:line="240" w:lineRule="auto"/>
              <w:jc w:val="left"/>
            </w:pPr>
            <w:r>
              <w:rPr>
                <w:rFonts w:ascii="Arial" w:hAnsi="Arial" w:eastAsia="Arial"/>
                <w:b/>
                <w:color w:val="1A1A1A"/>
                <w:sz w:val="17"/>
              </w:rPr>
              <w:t>“Income” used for escrow inflow</w:t>
            </w:r>
          </w:p>
        </w:tc>
        <w:tc>
          <w:tcPr>
            <w:tcW w:w="6048" w:type="dxa"/>
            <w:shd w:val="clear" w:color="auto" w:fill="FBFBFB"/>
            <w:tcMar>
              <w:top w:w="90" w:type="dxa"/>
              <w:left w:w="120" w:type="dxa"/>
              <w:bottom w:w="90" w:type="dxa"/>
              <w:right w:w="120" w:type="dxa"/>
            </w:tcMar>
            <w:vAlign w:val="center"/>
          </w:tcPr>
          <w:p w14:paraId="21F5316D">
            <w:pPr>
              <w:keepLines/>
              <w:spacing w:before="0" w:after="0" w:line="240" w:lineRule="auto"/>
              <w:jc w:val="left"/>
            </w:pPr>
            <w:r>
              <w:rPr>
                <w:rFonts w:ascii="Arial" w:hAnsi="Arial" w:eastAsia="Arial"/>
                <w:b w:val="0"/>
                <w:color w:val="1A1A1A"/>
                <w:sz w:val="17"/>
              </w:rPr>
              <w:t>Escrow principal must be recorded as client funds/liability, not SafeBuy revenue.</w:t>
            </w:r>
          </w:p>
        </w:tc>
      </w:tr>
    </w:tbl>
    <w:p w14:paraId="7C51F335">
      <w:pPr>
        <w:spacing w:after="20"/>
      </w:pPr>
    </w:p>
    <w:p w14:paraId="6E672948">
      <w:pPr>
        <w:pStyle w:val="2"/>
        <w:keepNext/>
        <w:pageBreakBefore w:val="0"/>
      </w:pPr>
      <w:r>
        <w:t>2. Core Account and Bank-Account Architecture</w:t>
      </w:r>
    </w:p>
    <w:p w14:paraId="24DEEB2D">
      <w:pPr>
        <w:pStyle w:val="13"/>
        <w:spacing w:before="0" w:after="120" w:line="269" w:lineRule="auto"/>
      </w:pPr>
      <w:r>
        <w:rPr>
          <w:rFonts w:ascii="Arial" w:hAnsi="Arial" w:eastAsia="Arial"/>
          <w:color w:val="1A1A1A"/>
          <w:sz w:val="20"/>
        </w:rPr>
        <w:t>The application must distinguish physical bank/settlement accounts from logical sub-ledgers. The main account determines where funds are received or held. The sub-ledger and unique identifiers determine whose transaction it is, why it was received and how it must be treated.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4054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8" w:type="dxa"/>
            <w:shd w:val="clear" w:color="auto" w:fill="5C1949"/>
            <w:tcMar>
              <w:top w:w="100" w:type="dxa"/>
              <w:left w:w="120" w:type="dxa"/>
              <w:bottom w:w="100" w:type="dxa"/>
              <w:right w:w="120" w:type="dxa"/>
            </w:tcMar>
            <w:vAlign w:val="center"/>
          </w:tcPr>
          <w:p w14:paraId="20D5FACE">
            <w:pPr>
              <w:keepLines/>
              <w:spacing w:before="0" w:after="0" w:line="240" w:lineRule="auto"/>
              <w:jc w:val="center"/>
            </w:pPr>
            <w:r>
              <w:rPr>
                <w:rFonts w:ascii="Arial" w:hAnsi="Arial" w:eastAsia="Arial"/>
                <w:b/>
                <w:color w:val="FFFFFF"/>
                <w:sz w:val="17"/>
              </w:rPr>
              <w:t>Main Code</w:t>
            </w:r>
          </w:p>
        </w:tc>
        <w:tc>
          <w:tcPr>
            <w:tcW w:w="2376" w:type="dxa"/>
            <w:shd w:val="clear" w:color="auto" w:fill="5C1949"/>
            <w:tcMar>
              <w:top w:w="100" w:type="dxa"/>
              <w:left w:w="120" w:type="dxa"/>
              <w:bottom w:w="100" w:type="dxa"/>
              <w:right w:w="120" w:type="dxa"/>
            </w:tcMar>
            <w:vAlign w:val="center"/>
          </w:tcPr>
          <w:p w14:paraId="79382D33">
            <w:pPr>
              <w:keepLines/>
              <w:spacing w:before="0" w:after="0" w:line="240" w:lineRule="auto"/>
              <w:jc w:val="center"/>
            </w:pPr>
            <w:r>
              <w:rPr>
                <w:rFonts w:ascii="Arial" w:hAnsi="Arial" w:eastAsia="Arial"/>
                <w:b/>
                <w:color w:val="FFFFFF"/>
                <w:sz w:val="17"/>
              </w:rPr>
              <w:t>Account Name</w:t>
            </w:r>
          </w:p>
        </w:tc>
        <w:tc>
          <w:tcPr>
            <w:tcW w:w="1656" w:type="dxa"/>
            <w:shd w:val="clear" w:color="auto" w:fill="5C1949"/>
            <w:tcMar>
              <w:top w:w="100" w:type="dxa"/>
              <w:left w:w="120" w:type="dxa"/>
              <w:bottom w:w="100" w:type="dxa"/>
              <w:right w:w="120" w:type="dxa"/>
            </w:tcMar>
            <w:vAlign w:val="center"/>
          </w:tcPr>
          <w:p w14:paraId="08C13CF3">
            <w:pPr>
              <w:keepLines/>
              <w:spacing w:before="0" w:after="0" w:line="240" w:lineRule="auto"/>
              <w:jc w:val="center"/>
            </w:pPr>
            <w:r>
              <w:rPr>
                <w:rFonts w:ascii="Arial" w:hAnsi="Arial" w:eastAsia="Arial"/>
                <w:b/>
                <w:color w:val="FFFFFF"/>
                <w:sz w:val="17"/>
              </w:rPr>
              <w:t>Nature</w:t>
            </w:r>
          </w:p>
        </w:tc>
        <w:tc>
          <w:tcPr>
            <w:tcW w:w="4752" w:type="dxa"/>
            <w:shd w:val="clear" w:color="auto" w:fill="5C1949"/>
            <w:tcMar>
              <w:top w:w="100" w:type="dxa"/>
              <w:left w:w="120" w:type="dxa"/>
              <w:bottom w:w="100" w:type="dxa"/>
              <w:right w:w="120" w:type="dxa"/>
            </w:tcMar>
            <w:vAlign w:val="center"/>
          </w:tcPr>
          <w:p w14:paraId="38147548">
            <w:pPr>
              <w:keepLines/>
              <w:spacing w:before="0" w:after="0" w:line="240" w:lineRule="auto"/>
              <w:jc w:val="center"/>
            </w:pPr>
            <w:r>
              <w:rPr>
                <w:rFonts w:ascii="Arial" w:hAnsi="Arial" w:eastAsia="Arial"/>
                <w:b/>
                <w:color w:val="FFFFFF"/>
                <w:sz w:val="17"/>
              </w:rPr>
              <w:t>Application treatment</w:t>
            </w:r>
          </w:p>
        </w:tc>
      </w:tr>
      <w:tr w14:paraId="3D0F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90" w:type="dxa"/>
              <w:left w:w="120" w:type="dxa"/>
              <w:bottom w:w="90" w:type="dxa"/>
              <w:right w:w="120" w:type="dxa"/>
            </w:tcMar>
            <w:vAlign w:val="center"/>
          </w:tcPr>
          <w:p w14:paraId="56EC1DB7">
            <w:pPr>
              <w:keepLines/>
              <w:spacing w:before="0" w:after="0" w:line="240" w:lineRule="auto"/>
              <w:jc w:val="center"/>
            </w:pPr>
            <w:r>
              <w:rPr>
                <w:rFonts w:ascii="Arial" w:hAnsi="Arial" w:eastAsia="Arial"/>
                <w:b/>
                <w:color w:val="1A1A1A"/>
                <w:sz w:val="17"/>
              </w:rPr>
              <w:t>1</w:t>
            </w:r>
          </w:p>
        </w:tc>
        <w:tc>
          <w:tcPr>
            <w:tcW w:w="2376" w:type="dxa"/>
            <w:tcMar>
              <w:top w:w="90" w:type="dxa"/>
              <w:left w:w="120" w:type="dxa"/>
              <w:bottom w:w="90" w:type="dxa"/>
              <w:right w:w="120" w:type="dxa"/>
            </w:tcMar>
            <w:vAlign w:val="center"/>
          </w:tcPr>
          <w:p w14:paraId="0EC92626">
            <w:pPr>
              <w:keepLines/>
              <w:spacing w:before="0" w:after="0" w:line="240" w:lineRule="auto"/>
              <w:jc w:val="left"/>
            </w:pPr>
            <w:r>
              <w:rPr>
                <w:rFonts w:ascii="Arial" w:hAnsi="Arial" w:eastAsia="Arial"/>
                <w:b w:val="0"/>
                <w:color w:val="1A1A1A"/>
                <w:sz w:val="17"/>
              </w:rPr>
              <w:t>Property Listings Commission Account</w:t>
            </w:r>
          </w:p>
        </w:tc>
        <w:tc>
          <w:tcPr>
            <w:tcW w:w="1656" w:type="dxa"/>
            <w:tcMar>
              <w:top w:w="90" w:type="dxa"/>
              <w:left w:w="120" w:type="dxa"/>
              <w:bottom w:w="90" w:type="dxa"/>
              <w:right w:w="120" w:type="dxa"/>
            </w:tcMar>
            <w:vAlign w:val="center"/>
          </w:tcPr>
          <w:p w14:paraId="535A689A">
            <w:pPr>
              <w:keepLines/>
              <w:spacing w:before="0" w:after="0" w:line="240" w:lineRule="auto"/>
              <w:jc w:val="left"/>
            </w:pPr>
            <w:r>
              <w:rPr>
                <w:rFonts w:ascii="Arial" w:hAnsi="Arial" w:eastAsia="Arial"/>
                <w:b w:val="0"/>
                <w:color w:val="1A1A1A"/>
                <w:sz w:val="17"/>
              </w:rPr>
              <w:t>Inflow</w:t>
            </w:r>
          </w:p>
        </w:tc>
        <w:tc>
          <w:tcPr>
            <w:tcW w:w="4752" w:type="dxa"/>
            <w:tcMar>
              <w:top w:w="90" w:type="dxa"/>
              <w:left w:w="120" w:type="dxa"/>
              <w:bottom w:w="90" w:type="dxa"/>
              <w:right w:w="120" w:type="dxa"/>
            </w:tcMar>
            <w:vAlign w:val="center"/>
          </w:tcPr>
          <w:p w14:paraId="1056634B">
            <w:pPr>
              <w:keepLines/>
              <w:spacing w:before="0" w:after="0" w:line="240" w:lineRule="auto"/>
              <w:jc w:val="left"/>
            </w:pPr>
            <w:r>
              <w:rPr>
                <w:rFonts w:ascii="Arial" w:hAnsi="Arial" w:eastAsia="Arial"/>
                <w:b w:val="0"/>
                <w:color w:val="1A1A1A"/>
                <w:sz w:val="17"/>
              </w:rPr>
              <w:t>Receives buyer and seller commissions. Each receipt is tagged with sub-code 11 or 12 and the transaction IDs.</w:t>
            </w:r>
          </w:p>
        </w:tc>
      </w:tr>
      <w:tr w14:paraId="0263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shd w:val="clear" w:color="auto" w:fill="FBFBFB"/>
            <w:tcMar>
              <w:top w:w="90" w:type="dxa"/>
              <w:left w:w="120" w:type="dxa"/>
              <w:bottom w:w="90" w:type="dxa"/>
              <w:right w:w="120" w:type="dxa"/>
            </w:tcMar>
            <w:vAlign w:val="center"/>
          </w:tcPr>
          <w:p w14:paraId="6A26EF54">
            <w:pPr>
              <w:keepLines/>
              <w:spacing w:before="0" w:after="0" w:line="240" w:lineRule="auto"/>
              <w:jc w:val="center"/>
            </w:pPr>
            <w:r>
              <w:rPr>
                <w:rFonts w:ascii="Arial" w:hAnsi="Arial" w:eastAsia="Arial"/>
                <w:b/>
                <w:color w:val="1A1A1A"/>
                <w:sz w:val="17"/>
              </w:rPr>
              <w:t>2</w:t>
            </w:r>
          </w:p>
        </w:tc>
        <w:tc>
          <w:tcPr>
            <w:tcW w:w="2376" w:type="dxa"/>
            <w:shd w:val="clear" w:color="auto" w:fill="FBFBFB"/>
            <w:tcMar>
              <w:top w:w="90" w:type="dxa"/>
              <w:left w:w="120" w:type="dxa"/>
              <w:bottom w:w="90" w:type="dxa"/>
              <w:right w:w="120" w:type="dxa"/>
            </w:tcMar>
            <w:vAlign w:val="center"/>
          </w:tcPr>
          <w:p w14:paraId="4171D3B3">
            <w:pPr>
              <w:keepLines/>
              <w:spacing w:before="0" w:after="0" w:line="240" w:lineRule="auto"/>
              <w:jc w:val="left"/>
            </w:pPr>
            <w:r>
              <w:rPr>
                <w:rFonts w:ascii="Arial" w:hAnsi="Arial" w:eastAsia="Arial"/>
                <w:b w:val="0"/>
                <w:color w:val="1A1A1A"/>
                <w:sz w:val="17"/>
              </w:rPr>
              <w:t>Due Diligence Account</w:t>
            </w:r>
          </w:p>
        </w:tc>
        <w:tc>
          <w:tcPr>
            <w:tcW w:w="1656" w:type="dxa"/>
            <w:shd w:val="clear" w:color="auto" w:fill="FBFBFB"/>
            <w:tcMar>
              <w:top w:w="90" w:type="dxa"/>
              <w:left w:w="120" w:type="dxa"/>
              <w:bottom w:w="90" w:type="dxa"/>
              <w:right w:w="120" w:type="dxa"/>
            </w:tcMar>
            <w:vAlign w:val="center"/>
          </w:tcPr>
          <w:p w14:paraId="64E4BAE7">
            <w:pPr>
              <w:keepLines/>
              <w:spacing w:before="0" w:after="0" w:line="240" w:lineRule="auto"/>
              <w:jc w:val="left"/>
            </w:pPr>
            <w:r>
              <w:rPr>
                <w:rFonts w:ascii="Arial" w:hAnsi="Arial" w:eastAsia="Arial"/>
                <w:b w:val="0"/>
                <w:color w:val="1A1A1A"/>
                <w:sz w:val="17"/>
              </w:rPr>
              <w:t>Inflow</w:t>
            </w:r>
          </w:p>
        </w:tc>
        <w:tc>
          <w:tcPr>
            <w:tcW w:w="4752" w:type="dxa"/>
            <w:shd w:val="clear" w:color="auto" w:fill="FBFBFB"/>
            <w:tcMar>
              <w:top w:w="90" w:type="dxa"/>
              <w:left w:w="120" w:type="dxa"/>
              <w:bottom w:w="90" w:type="dxa"/>
              <w:right w:w="120" w:type="dxa"/>
            </w:tcMar>
            <w:vAlign w:val="center"/>
          </w:tcPr>
          <w:p w14:paraId="6FF1AEE7">
            <w:pPr>
              <w:keepLines/>
              <w:spacing w:before="0" w:after="0" w:line="240" w:lineRule="auto"/>
              <w:jc w:val="left"/>
            </w:pPr>
            <w:r>
              <w:rPr>
                <w:rFonts w:ascii="Arial" w:hAnsi="Arial" w:eastAsia="Arial"/>
                <w:b w:val="0"/>
                <w:color w:val="1A1A1A"/>
                <w:sz w:val="17"/>
              </w:rPr>
              <w:t>Receives legal, environmental, physical, security and other approved due-diligence fees.</w:t>
            </w:r>
          </w:p>
        </w:tc>
      </w:tr>
      <w:tr w14:paraId="36A1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90" w:type="dxa"/>
              <w:left w:w="120" w:type="dxa"/>
              <w:bottom w:w="90" w:type="dxa"/>
              <w:right w:w="120" w:type="dxa"/>
            </w:tcMar>
            <w:vAlign w:val="center"/>
          </w:tcPr>
          <w:p w14:paraId="4FF7572A">
            <w:pPr>
              <w:keepLines/>
              <w:spacing w:before="0" w:after="0" w:line="240" w:lineRule="auto"/>
              <w:jc w:val="center"/>
            </w:pPr>
            <w:r>
              <w:rPr>
                <w:rFonts w:ascii="Arial" w:hAnsi="Arial" w:eastAsia="Arial"/>
                <w:b/>
                <w:color w:val="1A1A1A"/>
                <w:sz w:val="17"/>
              </w:rPr>
              <w:t>3</w:t>
            </w:r>
          </w:p>
        </w:tc>
        <w:tc>
          <w:tcPr>
            <w:tcW w:w="2376" w:type="dxa"/>
            <w:tcMar>
              <w:top w:w="90" w:type="dxa"/>
              <w:left w:w="120" w:type="dxa"/>
              <w:bottom w:w="90" w:type="dxa"/>
              <w:right w:w="120" w:type="dxa"/>
            </w:tcMar>
            <w:vAlign w:val="center"/>
          </w:tcPr>
          <w:p w14:paraId="44A788FB">
            <w:pPr>
              <w:keepLines/>
              <w:spacing w:before="0" w:after="0" w:line="240" w:lineRule="auto"/>
              <w:jc w:val="left"/>
            </w:pPr>
            <w:r>
              <w:rPr>
                <w:rFonts w:ascii="Arial" w:hAnsi="Arial" w:eastAsia="Arial"/>
                <w:b w:val="0"/>
                <w:color w:val="1A1A1A"/>
                <w:sz w:val="17"/>
              </w:rPr>
              <w:t>Escrow Account</w:t>
            </w:r>
          </w:p>
        </w:tc>
        <w:tc>
          <w:tcPr>
            <w:tcW w:w="1656" w:type="dxa"/>
            <w:tcMar>
              <w:top w:w="90" w:type="dxa"/>
              <w:left w:w="120" w:type="dxa"/>
              <w:bottom w:w="90" w:type="dxa"/>
              <w:right w:w="120" w:type="dxa"/>
            </w:tcMar>
            <w:vAlign w:val="center"/>
          </w:tcPr>
          <w:p w14:paraId="7F8B5EEA">
            <w:pPr>
              <w:keepLines/>
              <w:spacing w:before="0" w:after="0" w:line="240" w:lineRule="auto"/>
              <w:jc w:val="left"/>
            </w:pPr>
            <w:r>
              <w:rPr>
                <w:rFonts w:ascii="Arial" w:hAnsi="Arial" w:eastAsia="Arial"/>
                <w:b w:val="0"/>
                <w:color w:val="1A1A1A"/>
                <w:sz w:val="17"/>
              </w:rPr>
              <w:t>Inflow and outflow</w:t>
            </w:r>
          </w:p>
        </w:tc>
        <w:tc>
          <w:tcPr>
            <w:tcW w:w="4752" w:type="dxa"/>
            <w:tcMar>
              <w:top w:w="90" w:type="dxa"/>
              <w:left w:w="120" w:type="dxa"/>
              <w:bottom w:w="90" w:type="dxa"/>
              <w:right w:w="120" w:type="dxa"/>
            </w:tcMar>
            <w:vAlign w:val="center"/>
          </w:tcPr>
          <w:p w14:paraId="1C6D54A9">
            <w:pPr>
              <w:keepLines/>
              <w:spacing w:before="0" w:after="0" w:line="240" w:lineRule="auto"/>
              <w:jc w:val="left"/>
            </w:pPr>
            <w:r>
              <w:rPr>
                <w:rFonts w:ascii="Arial" w:hAnsi="Arial" w:eastAsia="Arial"/>
                <w:b w:val="0"/>
                <w:color w:val="1A1A1A"/>
                <w:sz w:val="17"/>
              </w:rPr>
              <w:t>Holds transaction-specific buyer funds and records seller releases, refunds, holds, reversals and balances.</w:t>
            </w:r>
          </w:p>
        </w:tc>
      </w:tr>
      <w:tr w14:paraId="65A7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shd w:val="clear" w:color="auto" w:fill="FBFBFB"/>
            <w:tcMar>
              <w:top w:w="90" w:type="dxa"/>
              <w:left w:w="120" w:type="dxa"/>
              <w:bottom w:w="90" w:type="dxa"/>
              <w:right w:w="120" w:type="dxa"/>
            </w:tcMar>
            <w:vAlign w:val="center"/>
          </w:tcPr>
          <w:p w14:paraId="0D0E3719">
            <w:pPr>
              <w:keepLines/>
              <w:spacing w:before="0" w:after="0" w:line="240" w:lineRule="auto"/>
              <w:jc w:val="center"/>
            </w:pPr>
            <w:r>
              <w:rPr>
                <w:rFonts w:ascii="Arial" w:hAnsi="Arial" w:eastAsia="Arial"/>
                <w:b/>
                <w:color w:val="1A1A1A"/>
                <w:sz w:val="17"/>
              </w:rPr>
              <w:t>4</w:t>
            </w:r>
          </w:p>
        </w:tc>
        <w:tc>
          <w:tcPr>
            <w:tcW w:w="2376" w:type="dxa"/>
            <w:shd w:val="clear" w:color="auto" w:fill="FBFBFB"/>
            <w:tcMar>
              <w:top w:w="90" w:type="dxa"/>
              <w:left w:w="120" w:type="dxa"/>
              <w:bottom w:w="90" w:type="dxa"/>
              <w:right w:w="120" w:type="dxa"/>
            </w:tcMar>
            <w:vAlign w:val="center"/>
          </w:tcPr>
          <w:p w14:paraId="2353D27E">
            <w:pPr>
              <w:keepLines/>
              <w:spacing w:before="0" w:after="0" w:line="240" w:lineRule="auto"/>
              <w:jc w:val="left"/>
            </w:pPr>
            <w:r>
              <w:rPr>
                <w:rFonts w:ascii="Arial" w:hAnsi="Arial" w:eastAsia="Arial"/>
                <w:b w:val="0"/>
                <w:color w:val="1A1A1A"/>
                <w:sz w:val="17"/>
              </w:rPr>
              <w:t>Professional Commission Account</w:t>
            </w:r>
          </w:p>
        </w:tc>
        <w:tc>
          <w:tcPr>
            <w:tcW w:w="1656" w:type="dxa"/>
            <w:shd w:val="clear" w:color="auto" w:fill="FBFBFB"/>
            <w:tcMar>
              <w:top w:w="90" w:type="dxa"/>
              <w:left w:w="120" w:type="dxa"/>
              <w:bottom w:w="90" w:type="dxa"/>
              <w:right w:w="120" w:type="dxa"/>
            </w:tcMar>
            <w:vAlign w:val="center"/>
          </w:tcPr>
          <w:p w14:paraId="3027D230">
            <w:pPr>
              <w:keepLines/>
              <w:spacing w:before="0" w:after="0" w:line="240" w:lineRule="auto"/>
              <w:jc w:val="left"/>
            </w:pPr>
            <w:r>
              <w:rPr>
                <w:rFonts w:ascii="Arial" w:hAnsi="Arial" w:eastAsia="Arial"/>
                <w:b w:val="0"/>
                <w:color w:val="1A1A1A"/>
                <w:sz w:val="17"/>
              </w:rPr>
              <w:t>Inflow</w:t>
            </w:r>
          </w:p>
        </w:tc>
        <w:tc>
          <w:tcPr>
            <w:tcW w:w="4752" w:type="dxa"/>
            <w:shd w:val="clear" w:color="auto" w:fill="FBFBFB"/>
            <w:tcMar>
              <w:top w:w="90" w:type="dxa"/>
              <w:left w:w="120" w:type="dxa"/>
              <w:bottom w:w="90" w:type="dxa"/>
              <w:right w:w="120" w:type="dxa"/>
            </w:tcMar>
            <w:vAlign w:val="center"/>
          </w:tcPr>
          <w:p w14:paraId="2AF2C134">
            <w:pPr>
              <w:keepLines/>
              <w:spacing w:before="0" w:after="0" w:line="240" w:lineRule="auto"/>
              <w:jc w:val="left"/>
            </w:pPr>
            <w:r>
              <w:rPr>
                <w:rFonts w:ascii="Arial" w:hAnsi="Arial" w:eastAsia="Arial"/>
                <w:b w:val="0"/>
                <w:color w:val="1A1A1A"/>
                <w:sz w:val="17"/>
              </w:rPr>
              <w:t>Receives SafeBuy commission earned from completed professional transactions.</w:t>
            </w:r>
          </w:p>
        </w:tc>
      </w:tr>
      <w:tr w14:paraId="68E9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90" w:type="dxa"/>
              <w:left w:w="120" w:type="dxa"/>
              <w:bottom w:w="90" w:type="dxa"/>
              <w:right w:w="120" w:type="dxa"/>
            </w:tcMar>
            <w:vAlign w:val="center"/>
          </w:tcPr>
          <w:p w14:paraId="563606F2">
            <w:pPr>
              <w:keepLines/>
              <w:spacing w:before="0" w:after="0" w:line="240" w:lineRule="auto"/>
              <w:jc w:val="center"/>
            </w:pPr>
            <w:r>
              <w:rPr>
                <w:rFonts w:ascii="Arial" w:hAnsi="Arial" w:eastAsia="Arial"/>
                <w:b/>
                <w:color w:val="1A1A1A"/>
                <w:sz w:val="17"/>
              </w:rPr>
              <w:t>5</w:t>
            </w:r>
          </w:p>
        </w:tc>
        <w:tc>
          <w:tcPr>
            <w:tcW w:w="2376" w:type="dxa"/>
            <w:tcMar>
              <w:top w:w="90" w:type="dxa"/>
              <w:left w:w="120" w:type="dxa"/>
              <w:bottom w:w="90" w:type="dxa"/>
              <w:right w:w="120" w:type="dxa"/>
            </w:tcMar>
            <w:vAlign w:val="center"/>
          </w:tcPr>
          <w:p w14:paraId="1EC83133">
            <w:pPr>
              <w:keepLines/>
              <w:spacing w:before="0" w:after="0" w:line="240" w:lineRule="auto"/>
              <w:jc w:val="left"/>
            </w:pPr>
            <w:r>
              <w:rPr>
                <w:rFonts w:ascii="Arial" w:hAnsi="Arial" w:eastAsia="Arial"/>
                <w:b w:val="0"/>
                <w:color w:val="1A1A1A"/>
                <w:sz w:val="17"/>
              </w:rPr>
              <w:t>Operations Accounts</w:t>
            </w:r>
          </w:p>
        </w:tc>
        <w:tc>
          <w:tcPr>
            <w:tcW w:w="1656" w:type="dxa"/>
            <w:tcMar>
              <w:top w:w="90" w:type="dxa"/>
              <w:left w:w="120" w:type="dxa"/>
              <w:bottom w:w="90" w:type="dxa"/>
              <w:right w:w="120" w:type="dxa"/>
            </w:tcMar>
            <w:vAlign w:val="center"/>
          </w:tcPr>
          <w:p w14:paraId="420A5C53">
            <w:pPr>
              <w:keepLines/>
              <w:spacing w:before="0" w:after="0" w:line="240" w:lineRule="auto"/>
              <w:jc w:val="left"/>
            </w:pPr>
            <w:r>
              <w:rPr>
                <w:rFonts w:ascii="Arial" w:hAnsi="Arial" w:eastAsia="Arial"/>
                <w:b w:val="0"/>
                <w:color w:val="1A1A1A"/>
                <w:sz w:val="17"/>
              </w:rPr>
              <w:t>External / multiple</w:t>
            </w:r>
          </w:p>
        </w:tc>
        <w:tc>
          <w:tcPr>
            <w:tcW w:w="4752" w:type="dxa"/>
            <w:tcMar>
              <w:top w:w="90" w:type="dxa"/>
              <w:left w:w="120" w:type="dxa"/>
              <w:bottom w:w="90" w:type="dxa"/>
              <w:right w:w="120" w:type="dxa"/>
            </w:tcMar>
            <w:vAlign w:val="center"/>
          </w:tcPr>
          <w:p w14:paraId="4D1AD042">
            <w:pPr>
              <w:keepLines/>
              <w:spacing w:before="0" w:after="0" w:line="240" w:lineRule="auto"/>
              <w:jc w:val="left"/>
            </w:pPr>
            <w:r>
              <w:rPr>
                <w:rFonts w:ascii="Arial" w:hAnsi="Arial" w:eastAsia="Arial"/>
                <w:b w:val="0"/>
                <w:color w:val="1A1A1A"/>
                <w:sz w:val="17"/>
              </w:rPr>
              <w:t>Remain outside the customer-facing application. The finance module may store references or approved summary journals only.</w:t>
            </w:r>
          </w:p>
        </w:tc>
      </w:tr>
      <w:tr w14:paraId="634A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shd w:val="clear" w:color="auto" w:fill="FBFBFB"/>
            <w:tcMar>
              <w:top w:w="90" w:type="dxa"/>
              <w:left w:w="120" w:type="dxa"/>
              <w:bottom w:w="90" w:type="dxa"/>
              <w:right w:w="120" w:type="dxa"/>
            </w:tcMar>
            <w:vAlign w:val="center"/>
          </w:tcPr>
          <w:p w14:paraId="16B5E00B">
            <w:pPr>
              <w:keepLines/>
              <w:spacing w:before="0" w:after="0" w:line="240" w:lineRule="auto"/>
              <w:jc w:val="center"/>
            </w:pPr>
            <w:r>
              <w:rPr>
                <w:rFonts w:ascii="Arial" w:hAnsi="Arial" w:eastAsia="Arial"/>
                <w:b/>
                <w:color w:val="1A1A1A"/>
                <w:sz w:val="17"/>
              </w:rPr>
              <w:t>6</w:t>
            </w:r>
          </w:p>
        </w:tc>
        <w:tc>
          <w:tcPr>
            <w:tcW w:w="2376" w:type="dxa"/>
            <w:shd w:val="clear" w:color="auto" w:fill="FBFBFB"/>
            <w:tcMar>
              <w:top w:w="90" w:type="dxa"/>
              <w:left w:w="120" w:type="dxa"/>
              <w:bottom w:w="90" w:type="dxa"/>
              <w:right w:w="120" w:type="dxa"/>
            </w:tcMar>
            <w:vAlign w:val="center"/>
          </w:tcPr>
          <w:p w14:paraId="4F5B8F1D">
            <w:pPr>
              <w:keepLines/>
              <w:spacing w:before="0" w:after="0" w:line="240" w:lineRule="auto"/>
              <w:jc w:val="left"/>
            </w:pPr>
            <w:r>
              <w:rPr>
                <w:rFonts w:ascii="Arial" w:hAnsi="Arial" w:eastAsia="Arial"/>
                <w:b w:val="0"/>
                <w:color w:val="1A1A1A"/>
                <w:sz w:val="17"/>
              </w:rPr>
              <w:t>Central VAT Account</w:t>
            </w:r>
          </w:p>
        </w:tc>
        <w:tc>
          <w:tcPr>
            <w:tcW w:w="1656" w:type="dxa"/>
            <w:shd w:val="clear" w:color="auto" w:fill="FBFBFB"/>
            <w:tcMar>
              <w:top w:w="90" w:type="dxa"/>
              <w:left w:w="120" w:type="dxa"/>
              <w:bottom w:w="90" w:type="dxa"/>
              <w:right w:w="120" w:type="dxa"/>
            </w:tcMar>
            <w:vAlign w:val="center"/>
          </w:tcPr>
          <w:p w14:paraId="40CCC0A5">
            <w:pPr>
              <w:keepLines/>
              <w:spacing w:before="0" w:after="0" w:line="240" w:lineRule="auto"/>
              <w:jc w:val="left"/>
            </w:pPr>
            <w:r>
              <w:rPr>
                <w:rFonts w:ascii="Arial" w:hAnsi="Arial" w:eastAsia="Arial"/>
                <w:b w:val="0"/>
                <w:color w:val="1A1A1A"/>
                <w:sz w:val="17"/>
              </w:rPr>
              <w:t>Inflow / liability settlement</w:t>
            </w:r>
          </w:p>
        </w:tc>
        <w:tc>
          <w:tcPr>
            <w:tcW w:w="4752" w:type="dxa"/>
            <w:shd w:val="clear" w:color="auto" w:fill="FBFBFB"/>
            <w:tcMar>
              <w:top w:w="90" w:type="dxa"/>
              <w:left w:w="120" w:type="dxa"/>
              <w:bottom w:w="90" w:type="dxa"/>
              <w:right w:w="120" w:type="dxa"/>
            </w:tcMar>
            <w:vAlign w:val="center"/>
          </w:tcPr>
          <w:p w14:paraId="1E7E3747">
            <w:pPr>
              <w:keepLines/>
              <w:spacing w:before="0" w:after="0" w:line="240" w:lineRule="auto"/>
              <w:jc w:val="left"/>
            </w:pPr>
            <w:r>
              <w:rPr>
                <w:rFonts w:ascii="Arial" w:hAnsi="Arial" w:eastAsia="Arial"/>
                <w:b w:val="0"/>
                <w:color w:val="1A1A1A"/>
                <w:sz w:val="17"/>
              </w:rPr>
              <w:t>Receives or represents VAT collected on taxable commissions and service fees.</w:t>
            </w:r>
          </w:p>
        </w:tc>
      </w:tr>
    </w:tbl>
    <w:p w14:paraId="00DD6F2B">
      <w:pPr>
        <w:spacing w:after="20"/>
      </w:pPr>
    </w:p>
    <w:p w14:paraId="7FBF97F3">
      <w:pPr>
        <w:pStyle w:val="3"/>
        <w:keepNext/>
        <w:pageBreakBefore w:val="0"/>
      </w:pPr>
      <w:r>
        <w:t>2.1 Main Account Rules</w:t>
      </w:r>
    </w:p>
    <w:p w14:paraId="48F4E10A">
      <w:pPr>
        <w:pStyle w:val="23"/>
        <w:spacing w:before="0" w:after="60" w:line="257" w:lineRule="auto"/>
        <w:ind w:left="360" w:hanging="173"/>
      </w:pPr>
      <w:r>
        <w:rPr>
          <w:rFonts w:ascii="Arial" w:hAnsi="Arial" w:eastAsia="Arial"/>
          <w:b w:val="0"/>
          <w:i w:val="0"/>
          <w:color w:val="1A1A1A"/>
          <w:sz w:val="20"/>
        </w:rPr>
        <w:t>Every integrated main account must have a unique internal bank-account record, account status, approved purpose and responsible finance owner.</w:t>
      </w:r>
    </w:p>
    <w:p w14:paraId="42163243">
      <w:pPr>
        <w:pStyle w:val="23"/>
        <w:spacing w:before="0" w:after="60" w:line="257" w:lineRule="auto"/>
        <w:ind w:left="360" w:hanging="173"/>
      </w:pPr>
      <w:r>
        <w:rPr>
          <w:rFonts w:ascii="Arial" w:hAnsi="Arial" w:eastAsia="Arial"/>
          <w:b w:val="0"/>
          <w:i w:val="0"/>
          <w:color w:val="1A1A1A"/>
          <w:sz w:val="20"/>
        </w:rPr>
        <w:t>Funds must not be posted to a main account without a transaction reference or placed in the Unidentified Receipts queue.</w:t>
      </w:r>
    </w:p>
    <w:p w14:paraId="7DE7B70C">
      <w:pPr>
        <w:pStyle w:val="23"/>
        <w:spacing w:before="0" w:after="60" w:line="257" w:lineRule="auto"/>
        <w:ind w:left="360" w:hanging="173"/>
      </w:pPr>
      <w:r>
        <w:rPr>
          <w:rFonts w:ascii="Arial" w:hAnsi="Arial" w:eastAsia="Arial"/>
          <w:b w:val="0"/>
          <w:i w:val="0"/>
          <w:color w:val="1A1A1A"/>
          <w:sz w:val="20"/>
        </w:rPr>
        <w:t xml:space="preserve">The website must display masked account details to </w:t>
      </w:r>
      <w:r>
        <w:rPr>
          <w:rFonts w:eastAsia="Arial"/>
          <w:b w:val="0"/>
          <w:i w:val="0"/>
          <w:color w:val="1A1A1A"/>
          <w:sz w:val="20"/>
          <w:lang w:val="en-GB"/>
        </w:rPr>
        <w:t>authorized</w:t>
      </w:r>
      <w:r>
        <w:rPr>
          <w:rFonts w:ascii="Arial" w:hAnsi="Arial" w:eastAsia="Arial"/>
          <w:b w:val="0"/>
          <w:i w:val="0"/>
          <w:color w:val="1A1A1A"/>
          <w:sz w:val="20"/>
        </w:rPr>
        <w:t xml:space="preserve"> users only.</w:t>
      </w:r>
    </w:p>
    <w:p w14:paraId="2C3E1926">
      <w:pPr>
        <w:pStyle w:val="23"/>
        <w:spacing w:before="0" w:after="60" w:line="257" w:lineRule="auto"/>
        <w:ind w:left="360" w:hanging="173"/>
      </w:pPr>
      <w:r>
        <w:rPr>
          <w:rFonts w:ascii="Arial" w:hAnsi="Arial" w:eastAsia="Arial"/>
          <w:b w:val="0"/>
          <w:i w:val="0"/>
          <w:color w:val="1A1A1A"/>
          <w:sz w:val="20"/>
        </w:rPr>
        <w:t>Escrow balances, VAT balances and company revenue balances must not be combined in reporting.</w:t>
      </w:r>
    </w:p>
    <w:p w14:paraId="15858167">
      <w:pPr>
        <w:pStyle w:val="23"/>
        <w:spacing w:before="0" w:after="60" w:line="257" w:lineRule="auto"/>
        <w:ind w:left="360" w:hanging="173"/>
      </w:pPr>
      <w:r>
        <w:rPr>
          <w:rFonts w:ascii="Arial" w:hAnsi="Arial" w:eastAsia="Arial"/>
          <w:b w:val="0"/>
          <w:i w:val="0"/>
          <w:color w:val="1A1A1A"/>
          <w:sz w:val="20"/>
        </w:rPr>
        <w:t>Operations accounts must not be exposed in the customer portal or used as a fallback account for integrated transactions.</w:t>
      </w:r>
    </w:p>
    <w:p w14:paraId="4F2DAFBD">
      <w:pPr>
        <w:pStyle w:val="3"/>
        <w:keepNext/>
        <w:pageBreakBefore w:val="0"/>
      </w:pPr>
      <w:r>
        <w:t>2.2 Logical Flow</w:t>
      </w:r>
    </w:p>
    <w:p w14:paraId="6AF4CE5D">
      <w:pPr>
        <w:spacing w:before="20" w:after="60" w:line="259" w:lineRule="auto"/>
      </w:pPr>
      <w:r>
        <w:rPr>
          <w:rFonts w:ascii="Arial" w:hAnsi="Arial" w:eastAsia="Arial"/>
          <w:b/>
          <w:i w:val="0"/>
          <w:color w:val="0F6B77"/>
          <w:sz w:val="19"/>
        </w:rPr>
        <w:t>Required traceability chain</w:t>
      </w:r>
    </w:p>
    <w:tbl>
      <w:tblPr>
        <w:tblStyle w:val="12"/>
        <w:tblW w:w="0" w:type="auto"/>
        <w:jc w:val="center"/>
        <w:tblLayout w:type="fixed"/>
        <w:tblCellMar>
          <w:top w:w="0" w:type="dxa"/>
          <w:left w:w="108" w:type="dxa"/>
          <w:bottom w:w="0" w:type="dxa"/>
          <w:right w:w="108" w:type="dxa"/>
        </w:tblCellMar>
      </w:tblPr>
      <w:tblGrid>
        <w:gridCol w:w="10166"/>
      </w:tblGrid>
      <w:tr w14:paraId="10309670">
        <w:tblPrEx>
          <w:tblCellMar>
            <w:top w:w="0" w:type="dxa"/>
            <w:left w:w="108" w:type="dxa"/>
            <w:bottom w:w="0" w:type="dxa"/>
            <w:right w:w="108" w:type="dxa"/>
          </w:tblCellMar>
        </w:tblPrEx>
        <w:trPr>
          <w:jc w:val="center"/>
        </w:trPr>
        <w:tc>
          <w:tcPr>
            <w:tcW w:w="10166" w:type="dxa"/>
            <w:tcBorders>
              <w:top w:val="single" w:color="C9CDD0" w:sz="6" w:space="0"/>
              <w:left w:val="single" w:color="C9CDD0" w:sz="6" w:space="0"/>
              <w:bottom w:val="single" w:color="C9CDD0" w:sz="6" w:space="0"/>
              <w:right w:val="single" w:color="C9CDD0" w:sz="6" w:space="0"/>
            </w:tcBorders>
            <w:shd w:val="clear" w:color="auto" w:fill="F7F7F7"/>
            <w:tcMar>
              <w:top w:w="130" w:type="dxa"/>
              <w:left w:w="160" w:type="dxa"/>
              <w:bottom w:w="130" w:type="dxa"/>
              <w:right w:w="160" w:type="dxa"/>
            </w:tcMar>
          </w:tcPr>
          <w:p w14:paraId="3E46D02E">
            <w:pPr>
              <w:keepLines/>
              <w:spacing w:before="0" w:after="0" w:line="240" w:lineRule="auto"/>
            </w:pPr>
            <w:r>
              <w:rPr>
                <w:rFonts w:ascii="Courier New" w:hAnsi="Courier New" w:eastAsia="Courier New"/>
                <w:color w:val="1A1A1A"/>
                <w:sz w:val="17"/>
              </w:rPr>
              <w:t>Customer payment / bank event</w:t>
            </w:r>
            <w:r>
              <w:rPr>
                <w:rFonts w:ascii="Arial" w:hAnsi="Arial" w:eastAsia="Arial"/>
                <w:sz w:val="18"/>
              </w:rPr>
              <w:br w:type="textWrapping"/>
            </w:r>
            <w:r>
              <w:rPr>
                <w:rFonts w:ascii="Courier New" w:hAnsi="Courier New" w:eastAsia="Courier New"/>
                <w:color w:val="1A1A1A"/>
                <w:sz w:val="17"/>
              </w:rPr>
              <w:t xml:space="preserve">    -&gt; Main account code</w:t>
            </w:r>
            <w:r>
              <w:rPr>
                <w:rFonts w:ascii="Arial" w:hAnsi="Arial" w:eastAsia="Arial"/>
                <w:sz w:val="18"/>
              </w:rPr>
              <w:br w:type="textWrapping"/>
            </w:r>
            <w:r>
              <w:rPr>
                <w:rFonts w:ascii="Courier New" w:hAnsi="Courier New" w:eastAsia="Courier New"/>
                <w:color w:val="1A1A1A"/>
                <w:sz w:val="17"/>
              </w:rPr>
              <w:t xml:space="preserve">    -&gt; Sub-code or dynamic sub-ledger</w:t>
            </w:r>
            <w:r>
              <w:rPr>
                <w:rFonts w:ascii="Arial" w:hAnsi="Arial" w:eastAsia="Arial"/>
                <w:sz w:val="18"/>
              </w:rPr>
              <w:br w:type="textWrapping"/>
            </w:r>
            <w:r>
              <w:rPr>
                <w:rFonts w:ascii="Courier New" w:hAnsi="Courier New" w:eastAsia="Courier New"/>
                <w:color w:val="1A1A1A"/>
                <w:sz w:val="17"/>
              </w:rPr>
              <w:t xml:space="preserve">    -&gt; SafeBuy transaction / case / escrow ID</w:t>
            </w:r>
            <w:r>
              <w:rPr>
                <w:rFonts w:ascii="Arial" w:hAnsi="Arial" w:eastAsia="Arial"/>
                <w:sz w:val="18"/>
              </w:rPr>
              <w:br w:type="textWrapping"/>
            </w:r>
            <w:r>
              <w:rPr>
                <w:rFonts w:ascii="Courier New" w:hAnsi="Courier New" w:eastAsia="Courier New"/>
                <w:color w:val="1A1A1A"/>
                <w:sz w:val="17"/>
              </w:rPr>
              <w:t xml:space="preserve">    -&gt; Allocation: principal, commission, VAT, fee or refund</w:t>
            </w:r>
            <w:r>
              <w:rPr>
                <w:rFonts w:ascii="Arial" w:hAnsi="Arial" w:eastAsia="Arial"/>
                <w:sz w:val="18"/>
              </w:rPr>
              <w:br w:type="textWrapping"/>
            </w:r>
            <w:r>
              <w:rPr>
                <w:rFonts w:ascii="Courier New" w:hAnsi="Courier New" w:eastAsia="Courier New"/>
                <w:color w:val="1A1A1A"/>
                <w:sz w:val="17"/>
              </w:rPr>
              <w:t xml:space="preserve">    -&gt; Ledger posting</w:t>
            </w:r>
            <w:r>
              <w:rPr>
                <w:rFonts w:ascii="Arial" w:hAnsi="Arial" w:eastAsia="Arial"/>
                <w:sz w:val="18"/>
              </w:rPr>
              <w:br w:type="textWrapping"/>
            </w:r>
            <w:r>
              <w:rPr>
                <w:rFonts w:ascii="Courier New" w:hAnsi="Courier New" w:eastAsia="Courier New"/>
                <w:color w:val="1A1A1A"/>
                <w:sz w:val="17"/>
              </w:rPr>
              <w:t xml:space="preserve">    -&gt; Reconciliation and audit evidence</w:t>
            </w:r>
          </w:p>
        </w:tc>
      </w:tr>
    </w:tbl>
    <w:p w14:paraId="65789BE7">
      <w:pPr>
        <w:spacing w:after="20"/>
      </w:pPr>
    </w:p>
    <w:p w14:paraId="747AC4EE">
      <w:pPr>
        <w:pStyle w:val="2"/>
        <w:keepNext/>
        <w:pageBreakBefore w:val="0"/>
      </w:pPr>
      <w:r>
        <w:t>3. Operational Codes and Sub-Ledger Rules</w:t>
      </w:r>
    </w:p>
    <w:p w14:paraId="7336CAC0">
      <w:pPr>
        <w:pStyle w:val="3"/>
        <w:keepNext/>
        <w:pageBreakBefore w:val="0"/>
      </w:pPr>
      <w:r>
        <w:t>3.1 Code 1 - Property Listings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56E1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5C1949"/>
            <w:tcMar>
              <w:top w:w="100" w:type="dxa"/>
              <w:left w:w="120" w:type="dxa"/>
              <w:bottom w:w="100" w:type="dxa"/>
              <w:right w:w="120" w:type="dxa"/>
            </w:tcMar>
            <w:vAlign w:val="center"/>
          </w:tcPr>
          <w:p w14:paraId="291935EA">
            <w:pPr>
              <w:keepLines/>
              <w:spacing w:before="0" w:after="0" w:line="240" w:lineRule="auto"/>
              <w:jc w:val="center"/>
            </w:pPr>
            <w:r>
              <w:rPr>
                <w:rFonts w:ascii="Arial" w:hAnsi="Arial" w:eastAsia="Arial"/>
                <w:b/>
                <w:color w:val="FFFFFF"/>
                <w:sz w:val="17"/>
              </w:rPr>
              <w:t>Sub-code</w:t>
            </w:r>
          </w:p>
        </w:tc>
        <w:tc>
          <w:tcPr>
            <w:tcW w:w="3168" w:type="dxa"/>
            <w:shd w:val="clear" w:color="auto" w:fill="5C1949"/>
            <w:tcMar>
              <w:top w:w="100" w:type="dxa"/>
              <w:left w:w="120" w:type="dxa"/>
              <w:bottom w:w="100" w:type="dxa"/>
              <w:right w:w="120" w:type="dxa"/>
            </w:tcMar>
            <w:vAlign w:val="center"/>
          </w:tcPr>
          <w:p w14:paraId="2FF34FD0">
            <w:pPr>
              <w:keepLines/>
              <w:spacing w:before="0" w:after="0" w:line="240" w:lineRule="auto"/>
              <w:jc w:val="center"/>
            </w:pPr>
            <w:r>
              <w:rPr>
                <w:rFonts w:ascii="Arial" w:hAnsi="Arial" w:eastAsia="Arial"/>
                <w:b/>
                <w:color w:val="FFFFFF"/>
                <w:sz w:val="17"/>
              </w:rPr>
              <w:t>Description</w:t>
            </w:r>
          </w:p>
        </w:tc>
        <w:tc>
          <w:tcPr>
            <w:tcW w:w="5328" w:type="dxa"/>
            <w:shd w:val="clear" w:color="auto" w:fill="5C1949"/>
            <w:tcMar>
              <w:top w:w="100" w:type="dxa"/>
              <w:left w:w="120" w:type="dxa"/>
              <w:bottom w:w="100" w:type="dxa"/>
              <w:right w:w="120" w:type="dxa"/>
            </w:tcMar>
            <w:vAlign w:val="center"/>
          </w:tcPr>
          <w:p w14:paraId="4EE023A1">
            <w:pPr>
              <w:keepLines/>
              <w:spacing w:before="0" w:after="0" w:line="240" w:lineRule="auto"/>
              <w:jc w:val="center"/>
            </w:pPr>
            <w:r>
              <w:rPr>
                <w:rFonts w:ascii="Arial" w:hAnsi="Arial" w:eastAsia="Arial"/>
                <w:b/>
                <w:color w:val="FFFFFF"/>
                <w:sz w:val="17"/>
              </w:rPr>
              <w:t>Required links</w:t>
            </w:r>
          </w:p>
        </w:tc>
      </w:tr>
      <w:tr w14:paraId="0D0D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tcMar>
              <w:top w:w="90" w:type="dxa"/>
              <w:left w:w="120" w:type="dxa"/>
              <w:bottom w:w="90" w:type="dxa"/>
              <w:right w:w="120" w:type="dxa"/>
            </w:tcMar>
            <w:vAlign w:val="center"/>
          </w:tcPr>
          <w:p w14:paraId="046E9124">
            <w:pPr>
              <w:keepLines/>
              <w:spacing w:before="0" w:after="0" w:line="240" w:lineRule="auto"/>
              <w:jc w:val="center"/>
            </w:pPr>
            <w:r>
              <w:rPr>
                <w:rFonts w:ascii="Arial" w:hAnsi="Arial" w:eastAsia="Arial"/>
                <w:b/>
                <w:color w:val="1A1A1A"/>
                <w:sz w:val="17"/>
              </w:rPr>
              <w:t>11</w:t>
            </w:r>
          </w:p>
        </w:tc>
        <w:tc>
          <w:tcPr>
            <w:tcW w:w="3168" w:type="dxa"/>
            <w:tcMar>
              <w:top w:w="90" w:type="dxa"/>
              <w:left w:w="120" w:type="dxa"/>
              <w:bottom w:w="90" w:type="dxa"/>
              <w:right w:w="120" w:type="dxa"/>
            </w:tcMar>
            <w:vAlign w:val="center"/>
          </w:tcPr>
          <w:p w14:paraId="0DA05AAE">
            <w:pPr>
              <w:keepLines/>
              <w:spacing w:before="0" w:after="0" w:line="240" w:lineRule="auto"/>
              <w:jc w:val="left"/>
            </w:pPr>
            <w:r>
              <w:rPr>
                <w:rFonts w:ascii="Arial" w:hAnsi="Arial" w:eastAsia="Arial"/>
                <w:b w:val="0"/>
                <w:color w:val="1A1A1A"/>
                <w:sz w:val="17"/>
              </w:rPr>
              <w:t>Commission from Buyer</w:t>
            </w:r>
          </w:p>
        </w:tc>
        <w:tc>
          <w:tcPr>
            <w:tcW w:w="5328" w:type="dxa"/>
            <w:tcMar>
              <w:top w:w="90" w:type="dxa"/>
              <w:left w:w="120" w:type="dxa"/>
              <w:bottom w:w="90" w:type="dxa"/>
              <w:right w:w="120" w:type="dxa"/>
            </w:tcMar>
            <w:vAlign w:val="center"/>
          </w:tcPr>
          <w:p w14:paraId="7E0B1B12">
            <w:pPr>
              <w:keepLines/>
              <w:spacing w:before="0" w:after="0" w:line="240" w:lineRule="auto"/>
              <w:jc w:val="left"/>
            </w:pPr>
            <w:r>
              <w:rPr>
                <w:rFonts w:ascii="Arial" w:hAnsi="Arial" w:eastAsia="Arial"/>
                <w:b w:val="0"/>
                <w:color w:val="1A1A1A"/>
                <w:sz w:val="17"/>
              </w:rPr>
              <w:t>Buyer ID, Property ID, Transaction ID, invoice/receipt ID, payment reference</w:t>
            </w:r>
          </w:p>
        </w:tc>
      </w:tr>
      <w:tr w14:paraId="0C7C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96" w:type="dxa"/>
            <w:shd w:val="clear" w:color="auto" w:fill="FBFBFB"/>
            <w:tcMar>
              <w:top w:w="90" w:type="dxa"/>
              <w:left w:w="120" w:type="dxa"/>
              <w:bottom w:w="90" w:type="dxa"/>
              <w:right w:w="120" w:type="dxa"/>
            </w:tcMar>
            <w:vAlign w:val="center"/>
          </w:tcPr>
          <w:p w14:paraId="0E501FCA">
            <w:pPr>
              <w:keepLines/>
              <w:spacing w:before="0" w:after="0" w:line="240" w:lineRule="auto"/>
              <w:jc w:val="center"/>
            </w:pPr>
            <w:r>
              <w:rPr>
                <w:rFonts w:ascii="Arial" w:hAnsi="Arial" w:eastAsia="Arial"/>
                <w:b/>
                <w:color w:val="1A1A1A"/>
                <w:sz w:val="17"/>
              </w:rPr>
              <w:t>12</w:t>
            </w:r>
          </w:p>
        </w:tc>
        <w:tc>
          <w:tcPr>
            <w:tcW w:w="3168" w:type="dxa"/>
            <w:shd w:val="clear" w:color="auto" w:fill="FBFBFB"/>
            <w:tcMar>
              <w:top w:w="90" w:type="dxa"/>
              <w:left w:w="120" w:type="dxa"/>
              <w:bottom w:w="90" w:type="dxa"/>
              <w:right w:w="120" w:type="dxa"/>
            </w:tcMar>
            <w:vAlign w:val="center"/>
          </w:tcPr>
          <w:p w14:paraId="5E75C25E">
            <w:pPr>
              <w:keepLines/>
              <w:spacing w:before="0" w:after="0" w:line="240" w:lineRule="auto"/>
              <w:jc w:val="left"/>
            </w:pPr>
            <w:r>
              <w:rPr>
                <w:rFonts w:ascii="Arial" w:hAnsi="Arial" w:eastAsia="Arial"/>
                <w:b w:val="0"/>
                <w:color w:val="1A1A1A"/>
                <w:sz w:val="17"/>
              </w:rPr>
              <w:t>Commission from Seller</w:t>
            </w:r>
          </w:p>
        </w:tc>
        <w:tc>
          <w:tcPr>
            <w:tcW w:w="5328" w:type="dxa"/>
            <w:shd w:val="clear" w:color="auto" w:fill="FBFBFB"/>
            <w:tcMar>
              <w:top w:w="90" w:type="dxa"/>
              <w:left w:w="120" w:type="dxa"/>
              <w:bottom w:w="90" w:type="dxa"/>
              <w:right w:w="120" w:type="dxa"/>
            </w:tcMar>
            <w:vAlign w:val="center"/>
          </w:tcPr>
          <w:p w14:paraId="1ACE51D3">
            <w:pPr>
              <w:keepLines/>
              <w:spacing w:before="0" w:after="0" w:line="240" w:lineRule="auto"/>
              <w:jc w:val="left"/>
            </w:pPr>
            <w:r>
              <w:rPr>
                <w:rFonts w:ascii="Arial" w:hAnsi="Arial" w:eastAsia="Arial"/>
                <w:b w:val="0"/>
                <w:color w:val="1A1A1A"/>
                <w:sz w:val="17"/>
              </w:rPr>
              <w:t>Seller ID, Property ID, Transaction ID, escrow or payment allocation, invoice/receipt ID</w:t>
            </w:r>
          </w:p>
        </w:tc>
      </w:tr>
    </w:tbl>
    <w:p w14:paraId="329B2102">
      <w:pPr>
        <w:spacing w:after="20"/>
      </w:pPr>
    </w:p>
    <w:p w14:paraId="00F479A8">
      <w:pPr>
        <w:pStyle w:val="23"/>
        <w:spacing w:before="0" w:after="60" w:line="257" w:lineRule="auto"/>
        <w:ind w:left="360" w:hanging="173"/>
      </w:pPr>
      <w:r>
        <w:rPr>
          <w:rFonts w:ascii="Arial" w:hAnsi="Arial" w:eastAsia="Arial"/>
          <w:b w:val="0"/>
          <w:i w:val="0"/>
          <w:color w:val="1A1A1A"/>
          <w:sz w:val="20"/>
        </w:rPr>
        <w:t>Buyer and seller commissions may enter the same Code 1 bank account, but they must remain separately reportable by sub-code.</w:t>
      </w:r>
      <w:bookmarkStart w:id="0" w:name="_GoBack"/>
      <w:bookmarkEnd w:id="0"/>
    </w:p>
    <w:p w14:paraId="7202485D">
      <w:pPr>
        <w:pStyle w:val="23"/>
        <w:spacing w:before="0" w:after="60" w:line="257" w:lineRule="auto"/>
        <w:ind w:left="360" w:hanging="173"/>
      </w:pPr>
      <w:r>
        <w:rPr>
          <w:rFonts w:ascii="Arial" w:hAnsi="Arial" w:eastAsia="Arial"/>
          <w:b w:val="0"/>
          <w:i w:val="0"/>
          <w:color w:val="1A1A1A"/>
          <w:sz w:val="20"/>
        </w:rPr>
        <w:t>The application must identify each commission from the pooled bank balance using the unique payment/transaction reference.</w:t>
      </w:r>
    </w:p>
    <w:p w14:paraId="31BAA5B9">
      <w:pPr>
        <w:pStyle w:val="23"/>
        <w:spacing w:before="0" w:after="60" w:line="257" w:lineRule="auto"/>
        <w:ind w:left="360" w:hanging="173"/>
      </w:pPr>
      <w:r>
        <w:rPr>
          <w:rFonts w:ascii="Arial" w:hAnsi="Arial" w:eastAsia="Arial"/>
          <w:b w:val="0"/>
          <w:i w:val="0"/>
          <w:color w:val="1A1A1A"/>
          <w:sz w:val="20"/>
        </w:rPr>
        <w:t>Commission revenue is recognised only when the approved business event occurs; receiving property principal does not create Code 1 revenue.</w:t>
      </w:r>
    </w:p>
    <w:p w14:paraId="3717CB5A">
      <w:pPr>
        <w:pStyle w:val="3"/>
        <w:keepNext/>
        <w:pageBreakBefore w:val="0"/>
      </w:pPr>
      <w:r>
        <w:t>3.2 Code 2 - Due Diligence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326D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5C1949"/>
            <w:tcMar>
              <w:top w:w="100" w:type="dxa"/>
              <w:left w:w="120" w:type="dxa"/>
              <w:bottom w:w="100" w:type="dxa"/>
              <w:right w:w="120" w:type="dxa"/>
            </w:tcMar>
            <w:vAlign w:val="center"/>
          </w:tcPr>
          <w:p w14:paraId="4EE9D870">
            <w:pPr>
              <w:keepLines/>
              <w:spacing w:before="0" w:after="0" w:line="240" w:lineRule="auto"/>
              <w:jc w:val="center"/>
            </w:pPr>
            <w:r>
              <w:rPr>
                <w:rFonts w:ascii="Arial" w:hAnsi="Arial" w:eastAsia="Arial"/>
                <w:b/>
                <w:color w:val="FFFFFF"/>
                <w:sz w:val="17"/>
              </w:rPr>
              <w:t>Sub-code</w:t>
            </w:r>
          </w:p>
        </w:tc>
        <w:tc>
          <w:tcPr>
            <w:tcW w:w="3528" w:type="dxa"/>
            <w:shd w:val="clear" w:color="auto" w:fill="5C1949"/>
            <w:tcMar>
              <w:top w:w="100" w:type="dxa"/>
              <w:left w:w="120" w:type="dxa"/>
              <w:bottom w:w="100" w:type="dxa"/>
              <w:right w:w="120" w:type="dxa"/>
            </w:tcMar>
            <w:vAlign w:val="center"/>
          </w:tcPr>
          <w:p w14:paraId="6B623A3D">
            <w:pPr>
              <w:keepLines/>
              <w:spacing w:before="0" w:after="0" w:line="240" w:lineRule="auto"/>
              <w:jc w:val="center"/>
            </w:pPr>
            <w:r>
              <w:rPr>
                <w:rFonts w:ascii="Arial" w:hAnsi="Arial" w:eastAsia="Arial"/>
                <w:b/>
                <w:color w:val="FFFFFF"/>
                <w:sz w:val="17"/>
              </w:rPr>
              <w:t>Service</w:t>
            </w:r>
          </w:p>
        </w:tc>
        <w:tc>
          <w:tcPr>
            <w:tcW w:w="5112" w:type="dxa"/>
            <w:shd w:val="clear" w:color="auto" w:fill="5C1949"/>
            <w:tcMar>
              <w:top w:w="100" w:type="dxa"/>
              <w:left w:w="120" w:type="dxa"/>
              <w:bottom w:w="100" w:type="dxa"/>
              <w:right w:w="120" w:type="dxa"/>
            </w:tcMar>
            <w:vAlign w:val="center"/>
          </w:tcPr>
          <w:p w14:paraId="04654631">
            <w:pPr>
              <w:keepLines/>
              <w:spacing w:before="0" w:after="0" w:line="240" w:lineRule="auto"/>
              <w:jc w:val="center"/>
            </w:pPr>
            <w:r>
              <w:rPr>
                <w:rFonts w:ascii="Arial" w:hAnsi="Arial" w:eastAsia="Arial"/>
                <w:b/>
                <w:color w:val="FFFFFF"/>
                <w:sz w:val="17"/>
              </w:rPr>
              <w:t>Official linked ID</w:t>
            </w:r>
          </w:p>
        </w:tc>
      </w:tr>
      <w:tr w14:paraId="60DD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5993C7C7">
            <w:pPr>
              <w:keepLines/>
              <w:spacing w:before="0" w:after="0" w:line="240" w:lineRule="auto"/>
              <w:jc w:val="center"/>
            </w:pPr>
            <w:r>
              <w:rPr>
                <w:rFonts w:ascii="Arial" w:hAnsi="Arial" w:eastAsia="Arial"/>
                <w:b/>
                <w:color w:val="1A1A1A"/>
                <w:sz w:val="17"/>
              </w:rPr>
              <w:t>21</w:t>
            </w:r>
          </w:p>
        </w:tc>
        <w:tc>
          <w:tcPr>
            <w:tcW w:w="3528" w:type="dxa"/>
            <w:tcMar>
              <w:top w:w="90" w:type="dxa"/>
              <w:left w:w="120" w:type="dxa"/>
              <w:bottom w:w="90" w:type="dxa"/>
              <w:right w:w="120" w:type="dxa"/>
            </w:tcMar>
            <w:vAlign w:val="center"/>
          </w:tcPr>
          <w:p w14:paraId="574F8207">
            <w:pPr>
              <w:keepLines/>
              <w:spacing w:before="0" w:after="0" w:line="240" w:lineRule="auto"/>
              <w:jc w:val="left"/>
            </w:pPr>
            <w:r>
              <w:rPr>
                <w:rFonts w:ascii="Arial" w:hAnsi="Arial" w:eastAsia="Arial"/>
                <w:b w:val="0"/>
                <w:color w:val="1A1A1A"/>
                <w:sz w:val="17"/>
              </w:rPr>
              <w:t>Legal Due Diligence</w:t>
            </w:r>
          </w:p>
        </w:tc>
        <w:tc>
          <w:tcPr>
            <w:tcW w:w="5112" w:type="dxa"/>
            <w:tcMar>
              <w:top w:w="90" w:type="dxa"/>
              <w:left w:w="120" w:type="dxa"/>
              <w:bottom w:w="90" w:type="dxa"/>
              <w:right w:w="120" w:type="dxa"/>
            </w:tcMar>
            <w:vAlign w:val="center"/>
          </w:tcPr>
          <w:p w14:paraId="501D9F36">
            <w:pPr>
              <w:keepLines/>
              <w:spacing w:before="0" w:after="0" w:line="240" w:lineRule="auto"/>
              <w:jc w:val="left"/>
            </w:pPr>
            <w:r>
              <w:rPr>
                <w:rFonts w:ascii="Arial" w:hAnsi="Arial" w:eastAsia="Arial"/>
                <w:b w:val="0"/>
                <w:color w:val="1A1A1A"/>
                <w:sz w:val="17"/>
              </w:rPr>
              <w:t>SBR-CASE-LV-LOC-YYYYMMDD-NNN</w:t>
            </w:r>
          </w:p>
        </w:tc>
      </w:tr>
      <w:tr w14:paraId="6F00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63CD6F37">
            <w:pPr>
              <w:keepLines/>
              <w:spacing w:before="0" w:after="0" w:line="240" w:lineRule="auto"/>
              <w:jc w:val="center"/>
            </w:pPr>
            <w:r>
              <w:rPr>
                <w:rFonts w:ascii="Arial" w:hAnsi="Arial" w:eastAsia="Arial"/>
                <w:b/>
                <w:color w:val="1A1A1A"/>
                <w:sz w:val="17"/>
              </w:rPr>
              <w:t>22</w:t>
            </w:r>
          </w:p>
        </w:tc>
        <w:tc>
          <w:tcPr>
            <w:tcW w:w="3528" w:type="dxa"/>
            <w:shd w:val="clear" w:color="auto" w:fill="FBFBFB"/>
            <w:tcMar>
              <w:top w:w="90" w:type="dxa"/>
              <w:left w:w="120" w:type="dxa"/>
              <w:bottom w:w="90" w:type="dxa"/>
              <w:right w:w="120" w:type="dxa"/>
            </w:tcMar>
            <w:vAlign w:val="center"/>
          </w:tcPr>
          <w:p w14:paraId="44D28FA2">
            <w:pPr>
              <w:keepLines/>
              <w:spacing w:before="0" w:after="0" w:line="240" w:lineRule="auto"/>
              <w:jc w:val="left"/>
            </w:pPr>
            <w:r>
              <w:rPr>
                <w:rFonts w:ascii="Arial" w:hAnsi="Arial" w:eastAsia="Arial"/>
                <w:b w:val="0"/>
                <w:color w:val="1A1A1A"/>
                <w:sz w:val="17"/>
              </w:rPr>
              <w:t>Environmental Due Diligence</w:t>
            </w:r>
          </w:p>
        </w:tc>
        <w:tc>
          <w:tcPr>
            <w:tcW w:w="5112" w:type="dxa"/>
            <w:shd w:val="clear" w:color="auto" w:fill="FBFBFB"/>
            <w:tcMar>
              <w:top w:w="90" w:type="dxa"/>
              <w:left w:w="120" w:type="dxa"/>
              <w:bottom w:w="90" w:type="dxa"/>
              <w:right w:w="120" w:type="dxa"/>
            </w:tcMar>
            <w:vAlign w:val="center"/>
          </w:tcPr>
          <w:p w14:paraId="5DA19D60">
            <w:pPr>
              <w:keepLines/>
              <w:spacing w:before="0" w:after="0" w:line="240" w:lineRule="auto"/>
              <w:jc w:val="left"/>
            </w:pPr>
            <w:r>
              <w:rPr>
                <w:rFonts w:ascii="Arial" w:hAnsi="Arial" w:eastAsia="Arial"/>
                <w:b w:val="0"/>
                <w:color w:val="1A1A1A"/>
                <w:sz w:val="17"/>
              </w:rPr>
              <w:t>SBR-CASE-ENV-LOC-YYYYMMDD-NNN</w:t>
            </w:r>
          </w:p>
        </w:tc>
      </w:tr>
      <w:tr w14:paraId="4CB1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2FBC3717">
            <w:pPr>
              <w:keepLines/>
              <w:spacing w:before="0" w:after="0" w:line="240" w:lineRule="auto"/>
              <w:jc w:val="center"/>
            </w:pPr>
            <w:r>
              <w:rPr>
                <w:rFonts w:ascii="Arial" w:hAnsi="Arial" w:eastAsia="Arial"/>
                <w:b/>
                <w:color w:val="1A1A1A"/>
                <w:sz w:val="17"/>
              </w:rPr>
              <w:t>23</w:t>
            </w:r>
          </w:p>
        </w:tc>
        <w:tc>
          <w:tcPr>
            <w:tcW w:w="3528" w:type="dxa"/>
            <w:tcMar>
              <w:top w:w="90" w:type="dxa"/>
              <w:left w:w="120" w:type="dxa"/>
              <w:bottom w:w="90" w:type="dxa"/>
              <w:right w:w="120" w:type="dxa"/>
            </w:tcMar>
            <w:vAlign w:val="center"/>
          </w:tcPr>
          <w:p w14:paraId="091AAADC">
            <w:pPr>
              <w:keepLines/>
              <w:spacing w:before="0" w:after="0" w:line="240" w:lineRule="auto"/>
              <w:jc w:val="left"/>
            </w:pPr>
            <w:r>
              <w:rPr>
                <w:rFonts w:ascii="Arial" w:hAnsi="Arial" w:eastAsia="Arial"/>
                <w:b w:val="0"/>
                <w:color w:val="1A1A1A"/>
                <w:sz w:val="17"/>
              </w:rPr>
              <w:t>Physical Due Diligence / Inspection</w:t>
            </w:r>
          </w:p>
        </w:tc>
        <w:tc>
          <w:tcPr>
            <w:tcW w:w="5112" w:type="dxa"/>
            <w:tcMar>
              <w:top w:w="90" w:type="dxa"/>
              <w:left w:w="120" w:type="dxa"/>
              <w:bottom w:w="90" w:type="dxa"/>
              <w:right w:w="120" w:type="dxa"/>
            </w:tcMar>
            <w:vAlign w:val="center"/>
          </w:tcPr>
          <w:p w14:paraId="0D8751FC">
            <w:pPr>
              <w:keepLines/>
              <w:spacing w:before="0" w:after="0" w:line="240" w:lineRule="auto"/>
              <w:jc w:val="left"/>
            </w:pPr>
            <w:r>
              <w:rPr>
                <w:rFonts w:ascii="Arial" w:hAnsi="Arial" w:eastAsia="Arial"/>
                <w:b w:val="0"/>
                <w:color w:val="1A1A1A"/>
                <w:sz w:val="17"/>
              </w:rPr>
              <w:t>SBR-INSP-LOC-YYYYMMDD-NNN</w:t>
            </w:r>
          </w:p>
        </w:tc>
      </w:tr>
      <w:tr w14:paraId="0EC7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5D7BEF92">
            <w:pPr>
              <w:keepLines/>
              <w:spacing w:before="0" w:after="0" w:line="240" w:lineRule="auto"/>
              <w:jc w:val="center"/>
            </w:pPr>
            <w:r>
              <w:rPr>
                <w:rFonts w:ascii="Arial" w:hAnsi="Arial" w:eastAsia="Arial"/>
                <w:b/>
                <w:color w:val="1A1A1A"/>
                <w:sz w:val="17"/>
              </w:rPr>
              <w:t>24</w:t>
            </w:r>
          </w:p>
        </w:tc>
        <w:tc>
          <w:tcPr>
            <w:tcW w:w="3528" w:type="dxa"/>
            <w:shd w:val="clear" w:color="auto" w:fill="FBFBFB"/>
            <w:tcMar>
              <w:top w:w="90" w:type="dxa"/>
              <w:left w:w="120" w:type="dxa"/>
              <w:bottom w:w="90" w:type="dxa"/>
              <w:right w:w="120" w:type="dxa"/>
            </w:tcMar>
            <w:vAlign w:val="center"/>
          </w:tcPr>
          <w:p w14:paraId="08DD4E0D">
            <w:pPr>
              <w:keepLines/>
              <w:spacing w:before="0" w:after="0" w:line="240" w:lineRule="auto"/>
              <w:jc w:val="left"/>
            </w:pPr>
            <w:r>
              <w:rPr>
                <w:rFonts w:ascii="Arial" w:hAnsi="Arial" w:eastAsia="Arial"/>
                <w:b w:val="0"/>
                <w:color w:val="1A1A1A"/>
                <w:sz w:val="17"/>
              </w:rPr>
              <w:t>Security Due Diligence</w:t>
            </w:r>
          </w:p>
        </w:tc>
        <w:tc>
          <w:tcPr>
            <w:tcW w:w="5112" w:type="dxa"/>
            <w:shd w:val="clear" w:color="auto" w:fill="FBFBFB"/>
            <w:tcMar>
              <w:top w:w="90" w:type="dxa"/>
              <w:left w:w="120" w:type="dxa"/>
              <w:bottom w:w="90" w:type="dxa"/>
              <w:right w:w="120" w:type="dxa"/>
            </w:tcMar>
            <w:vAlign w:val="center"/>
          </w:tcPr>
          <w:p w14:paraId="74D0E465">
            <w:pPr>
              <w:keepLines/>
              <w:spacing w:before="0" w:after="0" w:line="240" w:lineRule="auto"/>
              <w:jc w:val="left"/>
            </w:pPr>
            <w:r>
              <w:rPr>
                <w:rFonts w:ascii="Arial" w:hAnsi="Arial" w:eastAsia="Arial"/>
                <w:b w:val="0"/>
                <w:color w:val="1A1A1A"/>
                <w:sz w:val="17"/>
              </w:rPr>
              <w:t>SBR-CASE-SEC-LOC-YYYYMMDD-NNN</w:t>
            </w:r>
          </w:p>
        </w:tc>
      </w:tr>
      <w:tr w14:paraId="7796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716F13BD">
            <w:pPr>
              <w:keepLines/>
              <w:spacing w:before="0" w:after="0" w:line="240" w:lineRule="auto"/>
              <w:jc w:val="center"/>
            </w:pPr>
            <w:r>
              <w:rPr>
                <w:rFonts w:ascii="Arial" w:hAnsi="Arial" w:eastAsia="Arial"/>
                <w:b/>
                <w:color w:val="1A1A1A"/>
                <w:sz w:val="17"/>
              </w:rPr>
              <w:t>25</w:t>
            </w:r>
          </w:p>
        </w:tc>
        <w:tc>
          <w:tcPr>
            <w:tcW w:w="3528" w:type="dxa"/>
            <w:tcMar>
              <w:top w:w="90" w:type="dxa"/>
              <w:left w:w="120" w:type="dxa"/>
              <w:bottom w:w="90" w:type="dxa"/>
              <w:right w:w="120" w:type="dxa"/>
            </w:tcMar>
            <w:vAlign w:val="center"/>
          </w:tcPr>
          <w:p w14:paraId="640E879E">
            <w:pPr>
              <w:keepLines/>
              <w:spacing w:before="0" w:after="0" w:line="240" w:lineRule="auto"/>
              <w:jc w:val="left"/>
            </w:pPr>
            <w:r>
              <w:rPr>
                <w:rFonts w:ascii="Arial" w:hAnsi="Arial" w:eastAsia="Arial"/>
                <w:b w:val="0"/>
                <w:color w:val="1A1A1A"/>
                <w:sz w:val="17"/>
              </w:rPr>
              <w:t>Survey / Valuation / Specialist Verification</w:t>
            </w:r>
          </w:p>
        </w:tc>
        <w:tc>
          <w:tcPr>
            <w:tcW w:w="5112" w:type="dxa"/>
            <w:tcMar>
              <w:top w:w="90" w:type="dxa"/>
              <w:left w:w="120" w:type="dxa"/>
              <w:bottom w:w="90" w:type="dxa"/>
              <w:right w:w="120" w:type="dxa"/>
            </w:tcMar>
            <w:vAlign w:val="center"/>
          </w:tcPr>
          <w:p w14:paraId="3D9BD75C">
            <w:pPr>
              <w:keepLines/>
              <w:spacing w:before="0" w:after="0" w:line="240" w:lineRule="auto"/>
              <w:jc w:val="left"/>
            </w:pPr>
            <w:r>
              <w:rPr>
                <w:rFonts w:ascii="Arial" w:hAnsi="Arial" w:eastAsia="Arial"/>
                <w:b w:val="0"/>
                <w:color w:val="1A1A1A"/>
                <w:sz w:val="17"/>
              </w:rPr>
              <w:t>Professional assignment ID plus DD Case ID</w:t>
            </w:r>
          </w:p>
        </w:tc>
      </w:tr>
      <w:tr w14:paraId="1D0E8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3E472F5E">
            <w:pPr>
              <w:keepLines/>
              <w:spacing w:before="0" w:after="0" w:line="240" w:lineRule="auto"/>
              <w:jc w:val="center"/>
            </w:pPr>
            <w:r>
              <w:rPr>
                <w:rFonts w:ascii="Arial" w:hAnsi="Arial" w:eastAsia="Arial"/>
                <w:b/>
                <w:color w:val="1A1A1A"/>
                <w:sz w:val="17"/>
              </w:rPr>
              <w:t>26</w:t>
            </w:r>
          </w:p>
        </w:tc>
        <w:tc>
          <w:tcPr>
            <w:tcW w:w="3528" w:type="dxa"/>
            <w:shd w:val="clear" w:color="auto" w:fill="FBFBFB"/>
            <w:tcMar>
              <w:top w:w="90" w:type="dxa"/>
              <w:left w:w="120" w:type="dxa"/>
              <w:bottom w:w="90" w:type="dxa"/>
              <w:right w:w="120" w:type="dxa"/>
            </w:tcMar>
            <w:vAlign w:val="center"/>
          </w:tcPr>
          <w:p w14:paraId="3C7D2CCD">
            <w:pPr>
              <w:keepLines/>
              <w:spacing w:before="0" w:after="0" w:line="240" w:lineRule="auto"/>
              <w:jc w:val="left"/>
            </w:pPr>
            <w:r>
              <w:rPr>
                <w:rFonts w:ascii="Arial" w:hAnsi="Arial" w:eastAsia="Arial"/>
                <w:b w:val="0"/>
                <w:color w:val="1A1A1A"/>
                <w:sz w:val="17"/>
              </w:rPr>
              <w:t>Comprehensive Due Diligence Package</w:t>
            </w:r>
          </w:p>
        </w:tc>
        <w:tc>
          <w:tcPr>
            <w:tcW w:w="5112" w:type="dxa"/>
            <w:shd w:val="clear" w:color="auto" w:fill="FBFBFB"/>
            <w:tcMar>
              <w:top w:w="90" w:type="dxa"/>
              <w:left w:w="120" w:type="dxa"/>
              <w:bottom w:w="90" w:type="dxa"/>
              <w:right w:w="120" w:type="dxa"/>
            </w:tcMar>
            <w:vAlign w:val="center"/>
          </w:tcPr>
          <w:p w14:paraId="022BBBA1">
            <w:pPr>
              <w:keepLines/>
              <w:spacing w:before="0" w:after="0" w:line="240" w:lineRule="auto"/>
              <w:jc w:val="left"/>
            </w:pPr>
            <w:r>
              <w:rPr>
                <w:rFonts w:ascii="Arial" w:hAnsi="Arial" w:eastAsia="Arial"/>
                <w:b w:val="0"/>
                <w:color w:val="1A1A1A"/>
                <w:sz w:val="17"/>
              </w:rPr>
              <w:t>SBR-CASE-DD-LOC-YYYYMMDD-NNN</w:t>
            </w:r>
          </w:p>
        </w:tc>
      </w:tr>
    </w:tbl>
    <w:p w14:paraId="28687D6B">
      <w:pPr>
        <w:spacing w:after="20"/>
      </w:pPr>
    </w:p>
    <w:p w14:paraId="252E0F14">
      <w:pPr>
        <w:pStyle w:val="23"/>
        <w:spacing w:before="0" w:after="60" w:line="257" w:lineRule="auto"/>
        <w:ind w:left="360" w:hanging="173"/>
      </w:pPr>
      <w:r>
        <w:rPr>
          <w:rFonts w:ascii="Arial" w:hAnsi="Arial" w:eastAsia="Arial"/>
          <w:b w:val="0"/>
          <w:i w:val="0"/>
          <w:color w:val="1A1A1A"/>
          <w:sz w:val="20"/>
        </w:rPr>
        <w:t>Code 2 uses one main bank account while the application identifies the service source using sub-code, case ID and transaction reference.</w:t>
      </w:r>
    </w:p>
    <w:p w14:paraId="73C8C7E4">
      <w:pPr>
        <w:pStyle w:val="23"/>
        <w:spacing w:before="0" w:after="60" w:line="257" w:lineRule="auto"/>
        <w:ind w:left="360" w:hanging="173"/>
      </w:pPr>
      <w:r>
        <w:rPr>
          <w:rFonts w:ascii="Arial" w:hAnsi="Arial" w:eastAsia="Arial"/>
          <w:b w:val="0"/>
          <w:i w:val="0"/>
          <w:color w:val="1A1A1A"/>
          <w:sz w:val="20"/>
        </w:rPr>
        <w:t>A comprehensive package may allocate one payment across several due-diligence sub-codes while retaining one parent case ID.</w:t>
      </w:r>
    </w:p>
    <w:p w14:paraId="4400D3D6">
      <w:pPr>
        <w:pStyle w:val="23"/>
        <w:spacing w:before="0" w:after="60" w:line="257" w:lineRule="auto"/>
        <w:ind w:left="360" w:hanging="173"/>
      </w:pPr>
      <w:r>
        <w:rPr>
          <w:rFonts w:ascii="Arial" w:hAnsi="Arial" w:eastAsia="Arial"/>
          <w:b w:val="0"/>
          <w:i w:val="0"/>
          <w:color w:val="1A1A1A"/>
          <w:sz w:val="20"/>
        </w:rPr>
        <w:t>Every due-diligence receipt must link to the service request, client, property where applicable, invoice and assigned professional records.</w:t>
      </w:r>
    </w:p>
    <w:p w14:paraId="374E395C">
      <w:pPr>
        <w:pStyle w:val="3"/>
        <w:keepNext/>
        <w:pageBreakBefore w:val="0"/>
      </w:pPr>
      <w:r>
        <w:t>3.3 Code 3 - Escrow Account</w:t>
      </w:r>
    </w:p>
    <w:tbl>
      <w:tblPr>
        <w:tblStyle w:val="12"/>
        <w:tblW w:w="0" w:type="auto"/>
        <w:jc w:val="center"/>
        <w:tblLayout w:type="fixed"/>
        <w:tblCellMar>
          <w:top w:w="0" w:type="dxa"/>
          <w:left w:w="108" w:type="dxa"/>
          <w:bottom w:w="0" w:type="dxa"/>
          <w:right w:w="108" w:type="dxa"/>
        </w:tblCellMar>
      </w:tblPr>
      <w:tblGrid>
        <w:gridCol w:w="10080"/>
      </w:tblGrid>
      <w:tr w14:paraId="2E387987">
        <w:tblPrEx>
          <w:tblCellMar>
            <w:top w:w="0" w:type="dxa"/>
            <w:left w:w="108" w:type="dxa"/>
            <w:bottom w:w="0" w:type="dxa"/>
            <w:right w:w="108" w:type="dxa"/>
          </w:tblCellMar>
        </w:tblPrEx>
        <w:trPr>
          <w:jc w:val="center"/>
        </w:trPr>
        <w:tc>
          <w:tcPr>
            <w:tcW w:w="10166" w:type="dxa"/>
            <w:tcBorders>
              <w:top w:val="single" w:color="C6A027" w:sz="10" w:space="0"/>
              <w:left w:val="single" w:color="C6A027" w:sz="10" w:space="0"/>
              <w:bottom w:val="single" w:color="C6A027" w:sz="10" w:space="0"/>
              <w:right w:val="single" w:color="C6A027" w:sz="10" w:space="0"/>
            </w:tcBorders>
            <w:shd w:val="clear" w:color="auto" w:fill="F4EBCB"/>
            <w:tcMar>
              <w:top w:w="140" w:type="dxa"/>
              <w:left w:w="180" w:type="dxa"/>
              <w:bottom w:w="140" w:type="dxa"/>
              <w:right w:w="180" w:type="dxa"/>
            </w:tcMar>
          </w:tcPr>
          <w:p w14:paraId="5523AF4C">
            <w:pPr>
              <w:keepLines/>
              <w:spacing w:before="0" w:after="60" w:line="252" w:lineRule="auto"/>
            </w:pPr>
            <w:r>
              <w:rPr>
                <w:rFonts w:ascii="Arial" w:hAnsi="Arial" w:eastAsia="Arial"/>
                <w:b/>
                <w:i w:val="0"/>
                <w:color w:val="5C1949"/>
                <w:sz w:val="20"/>
              </w:rPr>
              <w:t>Escrow implementation rule</w:t>
            </w:r>
          </w:p>
          <w:p w14:paraId="671120F4">
            <w:pPr>
              <w:keepLines/>
              <w:spacing w:before="0" w:after="0" w:line="259" w:lineRule="auto"/>
            </w:pPr>
            <w:r>
              <w:rPr>
                <w:rFonts w:ascii="Arial" w:hAnsi="Arial" w:eastAsia="Arial"/>
                <w:b w:val="0"/>
                <w:i w:val="0"/>
                <w:color w:val="1A1A1A"/>
                <w:sz w:val="19"/>
              </w:rPr>
              <w:t>Code 3 is one ring-fenced Escrow Account with a separate logical sub-ledger for every customer/property transaction. The sub-ledger must be identified by the official SBR Escrow Transaction ID and linked to the parent SBR Transaction ID.</w:t>
            </w:r>
          </w:p>
        </w:tc>
      </w:tr>
    </w:tbl>
    <w:p w14:paraId="691B4C2E">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5C7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5C1949"/>
            <w:tcMar>
              <w:top w:w="100" w:type="dxa"/>
              <w:left w:w="120" w:type="dxa"/>
              <w:bottom w:w="100" w:type="dxa"/>
              <w:right w:w="120" w:type="dxa"/>
            </w:tcMar>
            <w:vAlign w:val="center"/>
          </w:tcPr>
          <w:p w14:paraId="4F896459">
            <w:pPr>
              <w:keepLines/>
              <w:spacing w:before="0" w:after="0" w:line="240" w:lineRule="auto"/>
              <w:jc w:val="center"/>
            </w:pPr>
            <w:r>
              <w:rPr>
                <w:rFonts w:ascii="Arial" w:hAnsi="Arial" w:eastAsia="Arial"/>
                <w:b/>
                <w:color w:val="FFFFFF"/>
                <w:sz w:val="17"/>
              </w:rPr>
              <w:t>Escrow event</w:t>
            </w:r>
          </w:p>
        </w:tc>
        <w:tc>
          <w:tcPr>
            <w:tcW w:w="2664" w:type="dxa"/>
            <w:shd w:val="clear" w:color="auto" w:fill="5C1949"/>
            <w:tcMar>
              <w:top w:w="100" w:type="dxa"/>
              <w:left w:w="120" w:type="dxa"/>
              <w:bottom w:w="100" w:type="dxa"/>
              <w:right w:w="120" w:type="dxa"/>
            </w:tcMar>
            <w:vAlign w:val="center"/>
          </w:tcPr>
          <w:p w14:paraId="0635DFB7">
            <w:pPr>
              <w:keepLines/>
              <w:spacing w:before="0" w:after="0" w:line="240" w:lineRule="auto"/>
              <w:jc w:val="center"/>
            </w:pPr>
            <w:r>
              <w:rPr>
                <w:rFonts w:ascii="Arial" w:hAnsi="Arial" w:eastAsia="Arial"/>
                <w:b/>
                <w:color w:val="FFFFFF"/>
                <w:sz w:val="17"/>
              </w:rPr>
              <w:t>Application classification</w:t>
            </w:r>
          </w:p>
        </w:tc>
        <w:tc>
          <w:tcPr>
            <w:tcW w:w="5040" w:type="dxa"/>
            <w:shd w:val="clear" w:color="auto" w:fill="5C1949"/>
            <w:tcMar>
              <w:top w:w="100" w:type="dxa"/>
              <w:left w:w="120" w:type="dxa"/>
              <w:bottom w:w="100" w:type="dxa"/>
              <w:right w:w="120" w:type="dxa"/>
            </w:tcMar>
            <w:vAlign w:val="center"/>
          </w:tcPr>
          <w:p w14:paraId="13AD6115">
            <w:pPr>
              <w:keepLines/>
              <w:spacing w:before="0" w:after="0" w:line="240" w:lineRule="auto"/>
              <w:jc w:val="center"/>
            </w:pPr>
            <w:r>
              <w:rPr>
                <w:rFonts w:ascii="Arial" w:hAnsi="Arial" w:eastAsia="Arial"/>
                <w:b/>
                <w:color w:val="FFFFFF"/>
                <w:sz w:val="17"/>
              </w:rPr>
              <w:t>Required result</w:t>
            </w:r>
          </w:p>
        </w:tc>
      </w:tr>
      <w:tr w14:paraId="2244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0B8FAC3E">
            <w:pPr>
              <w:keepLines/>
              <w:spacing w:before="0" w:after="0" w:line="240" w:lineRule="auto"/>
              <w:jc w:val="center"/>
            </w:pPr>
            <w:r>
              <w:rPr>
                <w:rFonts w:ascii="Arial" w:hAnsi="Arial" w:eastAsia="Arial"/>
                <w:b/>
                <w:color w:val="1A1A1A"/>
                <w:sz w:val="17"/>
              </w:rPr>
              <w:t>Buyer inflow</w:t>
            </w:r>
          </w:p>
        </w:tc>
        <w:tc>
          <w:tcPr>
            <w:tcW w:w="2664" w:type="dxa"/>
            <w:tcMar>
              <w:top w:w="90" w:type="dxa"/>
              <w:left w:w="120" w:type="dxa"/>
              <w:bottom w:w="90" w:type="dxa"/>
              <w:right w:w="120" w:type="dxa"/>
            </w:tcMar>
            <w:vAlign w:val="center"/>
          </w:tcPr>
          <w:p w14:paraId="151D2128">
            <w:pPr>
              <w:keepLines/>
              <w:spacing w:before="0" w:after="0" w:line="240" w:lineRule="auto"/>
              <w:jc w:val="left"/>
            </w:pPr>
            <w:r>
              <w:rPr>
                <w:rFonts w:ascii="Arial" w:hAnsi="Arial" w:eastAsia="Arial"/>
                <w:b w:val="0"/>
                <w:color w:val="1A1A1A"/>
                <w:sz w:val="17"/>
              </w:rPr>
              <w:t>Escrow deposit</w:t>
            </w:r>
          </w:p>
        </w:tc>
        <w:tc>
          <w:tcPr>
            <w:tcW w:w="5040" w:type="dxa"/>
            <w:tcMar>
              <w:top w:w="90" w:type="dxa"/>
              <w:left w:w="120" w:type="dxa"/>
              <w:bottom w:w="90" w:type="dxa"/>
              <w:right w:w="120" w:type="dxa"/>
            </w:tcMar>
            <w:vAlign w:val="center"/>
          </w:tcPr>
          <w:p w14:paraId="75455059">
            <w:pPr>
              <w:keepLines/>
              <w:spacing w:before="0" w:after="0" w:line="240" w:lineRule="auto"/>
              <w:jc w:val="left"/>
            </w:pPr>
            <w:r>
              <w:rPr>
                <w:rFonts w:ascii="Arial" w:hAnsi="Arial" w:eastAsia="Arial"/>
                <w:b w:val="0"/>
                <w:color w:val="1A1A1A"/>
                <w:sz w:val="17"/>
              </w:rPr>
              <w:t>Increase transaction escrow balance; do not recognise revenue.</w:t>
            </w:r>
          </w:p>
        </w:tc>
      </w:tr>
      <w:tr w14:paraId="3902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FBFBFB"/>
            <w:tcMar>
              <w:top w:w="90" w:type="dxa"/>
              <w:left w:w="120" w:type="dxa"/>
              <w:bottom w:w="90" w:type="dxa"/>
              <w:right w:w="120" w:type="dxa"/>
            </w:tcMar>
            <w:vAlign w:val="center"/>
          </w:tcPr>
          <w:p w14:paraId="026FF213">
            <w:pPr>
              <w:keepLines/>
              <w:spacing w:before="0" w:after="0" w:line="240" w:lineRule="auto"/>
              <w:jc w:val="center"/>
            </w:pPr>
            <w:r>
              <w:rPr>
                <w:rFonts w:ascii="Arial" w:hAnsi="Arial" w:eastAsia="Arial"/>
                <w:b/>
                <w:color w:val="1A1A1A"/>
                <w:sz w:val="17"/>
              </w:rPr>
              <w:t>Commission allocation</w:t>
            </w:r>
          </w:p>
        </w:tc>
        <w:tc>
          <w:tcPr>
            <w:tcW w:w="2664" w:type="dxa"/>
            <w:shd w:val="clear" w:color="auto" w:fill="FBFBFB"/>
            <w:tcMar>
              <w:top w:w="90" w:type="dxa"/>
              <w:left w:w="120" w:type="dxa"/>
              <w:bottom w:w="90" w:type="dxa"/>
              <w:right w:w="120" w:type="dxa"/>
            </w:tcMar>
            <w:vAlign w:val="center"/>
          </w:tcPr>
          <w:p w14:paraId="74ECB723">
            <w:pPr>
              <w:keepLines/>
              <w:spacing w:before="0" w:after="0" w:line="240" w:lineRule="auto"/>
              <w:jc w:val="left"/>
            </w:pPr>
            <w:r>
              <w:rPr>
                <w:rFonts w:ascii="Arial" w:hAnsi="Arial" w:eastAsia="Arial"/>
                <w:b w:val="0"/>
                <w:color w:val="1A1A1A"/>
                <w:sz w:val="17"/>
              </w:rPr>
              <w:t>Authorised deduction</w:t>
            </w:r>
          </w:p>
        </w:tc>
        <w:tc>
          <w:tcPr>
            <w:tcW w:w="5040" w:type="dxa"/>
            <w:shd w:val="clear" w:color="auto" w:fill="FBFBFB"/>
            <w:tcMar>
              <w:top w:w="90" w:type="dxa"/>
              <w:left w:w="120" w:type="dxa"/>
              <w:bottom w:w="90" w:type="dxa"/>
              <w:right w:w="120" w:type="dxa"/>
            </w:tcMar>
            <w:vAlign w:val="center"/>
          </w:tcPr>
          <w:p w14:paraId="67E3421B">
            <w:pPr>
              <w:keepLines/>
              <w:spacing w:before="0" w:after="0" w:line="240" w:lineRule="auto"/>
              <w:jc w:val="left"/>
            </w:pPr>
            <w:r>
              <w:rPr>
                <w:rFonts w:ascii="Arial" w:hAnsi="Arial" w:eastAsia="Arial"/>
                <w:b w:val="0"/>
                <w:color w:val="1A1A1A"/>
                <w:sz w:val="17"/>
              </w:rPr>
              <w:t>Move the commission portion to the correct Code 1 sub-code after approval.</w:t>
            </w:r>
          </w:p>
        </w:tc>
      </w:tr>
      <w:tr w14:paraId="0373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5EF5112E">
            <w:pPr>
              <w:keepLines/>
              <w:spacing w:before="0" w:after="0" w:line="240" w:lineRule="auto"/>
              <w:jc w:val="center"/>
            </w:pPr>
            <w:r>
              <w:rPr>
                <w:rFonts w:ascii="Arial" w:hAnsi="Arial" w:eastAsia="Arial"/>
                <w:b/>
                <w:color w:val="1A1A1A"/>
                <w:sz w:val="17"/>
              </w:rPr>
              <w:t>VAT allocation</w:t>
            </w:r>
          </w:p>
        </w:tc>
        <w:tc>
          <w:tcPr>
            <w:tcW w:w="2664" w:type="dxa"/>
            <w:tcMar>
              <w:top w:w="90" w:type="dxa"/>
              <w:left w:w="120" w:type="dxa"/>
              <w:bottom w:w="90" w:type="dxa"/>
              <w:right w:w="120" w:type="dxa"/>
            </w:tcMar>
            <w:vAlign w:val="center"/>
          </w:tcPr>
          <w:p w14:paraId="57165528">
            <w:pPr>
              <w:keepLines/>
              <w:spacing w:before="0" w:after="0" w:line="240" w:lineRule="auto"/>
              <w:jc w:val="left"/>
            </w:pPr>
            <w:r>
              <w:rPr>
                <w:rFonts w:ascii="Arial" w:hAnsi="Arial" w:eastAsia="Arial"/>
                <w:b w:val="0"/>
                <w:color w:val="1A1A1A"/>
                <w:sz w:val="17"/>
              </w:rPr>
              <w:t>Tax liability</w:t>
            </w:r>
          </w:p>
        </w:tc>
        <w:tc>
          <w:tcPr>
            <w:tcW w:w="5040" w:type="dxa"/>
            <w:tcMar>
              <w:top w:w="90" w:type="dxa"/>
              <w:left w:w="120" w:type="dxa"/>
              <w:bottom w:w="90" w:type="dxa"/>
              <w:right w:w="120" w:type="dxa"/>
            </w:tcMar>
            <w:vAlign w:val="center"/>
          </w:tcPr>
          <w:p w14:paraId="61883B9C">
            <w:pPr>
              <w:keepLines/>
              <w:spacing w:before="0" w:after="0" w:line="240" w:lineRule="auto"/>
              <w:jc w:val="left"/>
            </w:pPr>
            <w:r>
              <w:rPr>
                <w:rFonts w:ascii="Arial" w:hAnsi="Arial" w:eastAsia="Arial"/>
                <w:b w:val="0"/>
                <w:color w:val="1A1A1A"/>
                <w:sz w:val="17"/>
              </w:rPr>
              <w:t>Record VAT separately and transfer/settle to the central VAT account as configured.</w:t>
            </w:r>
          </w:p>
        </w:tc>
      </w:tr>
      <w:tr w14:paraId="1C55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FBFBFB"/>
            <w:tcMar>
              <w:top w:w="90" w:type="dxa"/>
              <w:left w:w="120" w:type="dxa"/>
              <w:bottom w:w="90" w:type="dxa"/>
              <w:right w:w="120" w:type="dxa"/>
            </w:tcMar>
            <w:vAlign w:val="center"/>
          </w:tcPr>
          <w:p w14:paraId="33A5ABB7">
            <w:pPr>
              <w:keepLines/>
              <w:spacing w:before="0" w:after="0" w:line="240" w:lineRule="auto"/>
              <w:jc w:val="center"/>
            </w:pPr>
            <w:r>
              <w:rPr>
                <w:rFonts w:ascii="Arial" w:hAnsi="Arial" w:eastAsia="Arial"/>
                <w:b/>
                <w:color w:val="1A1A1A"/>
                <w:sz w:val="17"/>
              </w:rPr>
              <w:t>Seller release</w:t>
            </w:r>
          </w:p>
        </w:tc>
        <w:tc>
          <w:tcPr>
            <w:tcW w:w="2664" w:type="dxa"/>
            <w:shd w:val="clear" w:color="auto" w:fill="FBFBFB"/>
            <w:tcMar>
              <w:top w:w="90" w:type="dxa"/>
              <w:left w:w="120" w:type="dxa"/>
              <w:bottom w:w="90" w:type="dxa"/>
              <w:right w:w="120" w:type="dxa"/>
            </w:tcMar>
            <w:vAlign w:val="center"/>
          </w:tcPr>
          <w:p w14:paraId="0C77A842">
            <w:pPr>
              <w:keepLines/>
              <w:spacing w:before="0" w:after="0" w:line="240" w:lineRule="auto"/>
              <w:jc w:val="left"/>
            </w:pPr>
            <w:r>
              <w:rPr>
                <w:rFonts w:ascii="Arial" w:hAnsi="Arial" w:eastAsia="Arial"/>
                <w:b w:val="0"/>
                <w:color w:val="1A1A1A"/>
                <w:sz w:val="17"/>
              </w:rPr>
              <w:t>Escrow outflow</w:t>
            </w:r>
          </w:p>
        </w:tc>
        <w:tc>
          <w:tcPr>
            <w:tcW w:w="5040" w:type="dxa"/>
            <w:shd w:val="clear" w:color="auto" w:fill="FBFBFB"/>
            <w:tcMar>
              <w:top w:w="90" w:type="dxa"/>
              <w:left w:w="120" w:type="dxa"/>
              <w:bottom w:w="90" w:type="dxa"/>
              <w:right w:w="120" w:type="dxa"/>
            </w:tcMar>
            <w:vAlign w:val="center"/>
          </w:tcPr>
          <w:p w14:paraId="66376BB1">
            <w:pPr>
              <w:keepLines/>
              <w:spacing w:before="0" w:after="0" w:line="240" w:lineRule="auto"/>
              <w:jc w:val="left"/>
            </w:pPr>
            <w:r>
              <w:rPr>
                <w:rFonts w:ascii="Arial" w:hAnsi="Arial" w:eastAsia="Arial"/>
                <w:b w:val="0"/>
                <w:color w:val="1A1A1A"/>
                <w:sz w:val="17"/>
              </w:rPr>
              <w:t>Reduce seller payable and escrow balance; retain external confirmation.</w:t>
            </w:r>
          </w:p>
        </w:tc>
      </w:tr>
      <w:tr w14:paraId="7C6E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30E1B36A">
            <w:pPr>
              <w:keepLines/>
              <w:spacing w:before="0" w:after="0" w:line="240" w:lineRule="auto"/>
              <w:jc w:val="center"/>
            </w:pPr>
            <w:r>
              <w:rPr>
                <w:rFonts w:ascii="Arial" w:hAnsi="Arial" w:eastAsia="Arial"/>
                <w:b/>
                <w:color w:val="1A1A1A"/>
                <w:sz w:val="17"/>
              </w:rPr>
              <w:t>Buyer refund</w:t>
            </w:r>
          </w:p>
        </w:tc>
        <w:tc>
          <w:tcPr>
            <w:tcW w:w="2664" w:type="dxa"/>
            <w:tcMar>
              <w:top w:w="90" w:type="dxa"/>
              <w:left w:w="120" w:type="dxa"/>
              <w:bottom w:w="90" w:type="dxa"/>
              <w:right w:w="120" w:type="dxa"/>
            </w:tcMar>
            <w:vAlign w:val="center"/>
          </w:tcPr>
          <w:p w14:paraId="11F75E54">
            <w:pPr>
              <w:keepLines/>
              <w:spacing w:before="0" w:after="0" w:line="240" w:lineRule="auto"/>
              <w:jc w:val="left"/>
            </w:pPr>
            <w:r>
              <w:rPr>
                <w:rFonts w:ascii="Arial" w:hAnsi="Arial" w:eastAsia="Arial"/>
                <w:b w:val="0"/>
                <w:color w:val="1A1A1A"/>
                <w:sz w:val="17"/>
              </w:rPr>
              <w:t>Escrow outflow</w:t>
            </w:r>
          </w:p>
        </w:tc>
        <w:tc>
          <w:tcPr>
            <w:tcW w:w="5040" w:type="dxa"/>
            <w:tcMar>
              <w:top w:w="90" w:type="dxa"/>
              <w:left w:w="120" w:type="dxa"/>
              <w:bottom w:w="90" w:type="dxa"/>
              <w:right w:w="120" w:type="dxa"/>
            </w:tcMar>
            <w:vAlign w:val="center"/>
          </w:tcPr>
          <w:p w14:paraId="3E734505">
            <w:pPr>
              <w:keepLines/>
              <w:spacing w:before="0" w:after="0" w:line="240" w:lineRule="auto"/>
              <w:jc w:val="left"/>
            </w:pPr>
            <w:r>
              <w:rPr>
                <w:rFonts w:ascii="Arial" w:hAnsi="Arial" w:eastAsia="Arial"/>
                <w:b w:val="0"/>
                <w:color w:val="1A1A1A"/>
                <w:sz w:val="17"/>
              </w:rPr>
              <w:t>Reduce refundable balance and escrow balance; retain reason and approval.</w:t>
            </w:r>
          </w:p>
        </w:tc>
      </w:tr>
      <w:tr w14:paraId="5C97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FBFBFB"/>
            <w:tcMar>
              <w:top w:w="90" w:type="dxa"/>
              <w:left w:w="120" w:type="dxa"/>
              <w:bottom w:w="90" w:type="dxa"/>
              <w:right w:w="120" w:type="dxa"/>
            </w:tcMar>
            <w:vAlign w:val="center"/>
          </w:tcPr>
          <w:p w14:paraId="410F1A6A">
            <w:pPr>
              <w:keepLines/>
              <w:spacing w:before="0" w:after="0" w:line="240" w:lineRule="auto"/>
              <w:jc w:val="center"/>
            </w:pPr>
            <w:r>
              <w:rPr>
                <w:rFonts w:ascii="Arial" w:hAnsi="Arial" w:eastAsia="Arial"/>
                <w:b/>
                <w:color w:val="1A1A1A"/>
                <w:sz w:val="17"/>
              </w:rPr>
              <w:t>Legal/compliance hold</w:t>
            </w:r>
          </w:p>
        </w:tc>
        <w:tc>
          <w:tcPr>
            <w:tcW w:w="2664" w:type="dxa"/>
            <w:shd w:val="clear" w:color="auto" w:fill="FBFBFB"/>
            <w:tcMar>
              <w:top w:w="90" w:type="dxa"/>
              <w:left w:w="120" w:type="dxa"/>
              <w:bottom w:w="90" w:type="dxa"/>
              <w:right w:w="120" w:type="dxa"/>
            </w:tcMar>
            <w:vAlign w:val="center"/>
          </w:tcPr>
          <w:p w14:paraId="5C7D41CA">
            <w:pPr>
              <w:keepLines/>
              <w:spacing w:before="0" w:after="0" w:line="240" w:lineRule="auto"/>
              <w:jc w:val="left"/>
            </w:pPr>
            <w:r>
              <w:rPr>
                <w:rFonts w:ascii="Arial" w:hAnsi="Arial" w:eastAsia="Arial"/>
                <w:b w:val="0"/>
                <w:color w:val="1A1A1A"/>
                <w:sz w:val="17"/>
              </w:rPr>
              <w:t>Restricted balance</w:t>
            </w:r>
          </w:p>
        </w:tc>
        <w:tc>
          <w:tcPr>
            <w:tcW w:w="5040" w:type="dxa"/>
            <w:shd w:val="clear" w:color="auto" w:fill="FBFBFB"/>
            <w:tcMar>
              <w:top w:w="90" w:type="dxa"/>
              <w:left w:w="120" w:type="dxa"/>
              <w:bottom w:w="90" w:type="dxa"/>
              <w:right w:w="120" w:type="dxa"/>
            </w:tcMar>
            <w:vAlign w:val="center"/>
          </w:tcPr>
          <w:p w14:paraId="7ED3B476">
            <w:pPr>
              <w:keepLines/>
              <w:spacing w:before="0" w:after="0" w:line="240" w:lineRule="auto"/>
              <w:jc w:val="left"/>
            </w:pPr>
            <w:r>
              <w:rPr>
                <w:rFonts w:ascii="Arial" w:hAnsi="Arial" w:eastAsia="Arial"/>
                <w:b w:val="0"/>
                <w:color w:val="1A1A1A"/>
                <w:sz w:val="17"/>
              </w:rPr>
              <w:t>Prevent release or refund until authorised clearance.</w:t>
            </w:r>
          </w:p>
        </w:tc>
      </w:tr>
      <w:tr w14:paraId="30EC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3D767344">
            <w:pPr>
              <w:keepLines/>
              <w:spacing w:before="0" w:after="0" w:line="240" w:lineRule="auto"/>
              <w:jc w:val="center"/>
            </w:pPr>
            <w:r>
              <w:rPr>
                <w:rFonts w:ascii="Arial" w:hAnsi="Arial" w:eastAsia="Arial"/>
                <w:b/>
                <w:color w:val="1A1A1A"/>
                <w:sz w:val="17"/>
              </w:rPr>
              <w:t>Reversal/chargeback</w:t>
            </w:r>
          </w:p>
        </w:tc>
        <w:tc>
          <w:tcPr>
            <w:tcW w:w="2664" w:type="dxa"/>
            <w:tcMar>
              <w:top w:w="90" w:type="dxa"/>
              <w:left w:w="120" w:type="dxa"/>
              <w:bottom w:w="90" w:type="dxa"/>
              <w:right w:w="120" w:type="dxa"/>
            </w:tcMar>
            <w:vAlign w:val="center"/>
          </w:tcPr>
          <w:p w14:paraId="1A493323">
            <w:pPr>
              <w:keepLines/>
              <w:spacing w:before="0" w:after="0" w:line="240" w:lineRule="auto"/>
              <w:jc w:val="left"/>
            </w:pPr>
            <w:r>
              <w:rPr>
                <w:rFonts w:ascii="Arial" w:hAnsi="Arial" w:eastAsia="Arial"/>
                <w:b w:val="0"/>
                <w:color w:val="1A1A1A"/>
                <w:sz w:val="17"/>
              </w:rPr>
              <w:t>Exception</w:t>
            </w:r>
          </w:p>
        </w:tc>
        <w:tc>
          <w:tcPr>
            <w:tcW w:w="5040" w:type="dxa"/>
            <w:tcMar>
              <w:top w:w="90" w:type="dxa"/>
              <w:left w:w="120" w:type="dxa"/>
              <w:bottom w:w="90" w:type="dxa"/>
              <w:right w:w="120" w:type="dxa"/>
            </w:tcMar>
            <w:vAlign w:val="center"/>
          </w:tcPr>
          <w:p w14:paraId="54DAEDFA">
            <w:pPr>
              <w:keepLines/>
              <w:spacing w:before="0" w:after="0" w:line="240" w:lineRule="auto"/>
              <w:jc w:val="left"/>
            </w:pPr>
            <w:r>
              <w:rPr>
                <w:rFonts w:ascii="Arial" w:hAnsi="Arial" w:eastAsia="Arial"/>
                <w:b w:val="0"/>
                <w:color w:val="1A1A1A"/>
                <w:sz w:val="17"/>
              </w:rPr>
              <w:t>Record a compensating event; do not delete the original transaction.</w:t>
            </w:r>
          </w:p>
        </w:tc>
      </w:tr>
    </w:tbl>
    <w:p w14:paraId="4666353A">
      <w:pPr>
        <w:spacing w:after="20"/>
      </w:pPr>
    </w:p>
    <w:p w14:paraId="4EF6091C">
      <w:pPr>
        <w:pStyle w:val="13"/>
        <w:spacing w:before="0" w:after="120" w:line="269" w:lineRule="auto"/>
      </w:pPr>
      <w:r>
        <w:rPr>
          <w:rFonts w:ascii="Arial" w:hAnsi="Arial" w:eastAsia="Arial"/>
          <w:color w:val="1A1A1A"/>
          <w:sz w:val="20"/>
        </w:rPr>
        <w:t>The conceptual “31 Customer 1, 32 Customer 2, 33 Customer 3” model shall be implemented as a generated escrow sequence. A recommended internal display format is 3-000001, 3-000002, 3-000003, while the official business identifier remains the SBR-ESC reference.</w:t>
      </w:r>
    </w:p>
    <w:p w14:paraId="73D8DFBA">
      <w:pPr>
        <w:spacing w:before="20" w:after="60" w:line="259" w:lineRule="auto"/>
      </w:pPr>
      <w:r>
        <w:rPr>
          <w:rFonts w:ascii="Arial" w:hAnsi="Arial" w:eastAsia="Arial"/>
          <w:b/>
          <w:i w:val="0"/>
          <w:color w:val="0F6B77"/>
          <w:sz w:val="19"/>
        </w:rPr>
        <w:t>Example escrow sub-ledger identity</w:t>
      </w:r>
    </w:p>
    <w:tbl>
      <w:tblPr>
        <w:tblStyle w:val="12"/>
        <w:tblW w:w="0" w:type="auto"/>
        <w:jc w:val="center"/>
        <w:tblLayout w:type="fixed"/>
        <w:tblCellMar>
          <w:top w:w="0" w:type="dxa"/>
          <w:left w:w="108" w:type="dxa"/>
          <w:bottom w:w="0" w:type="dxa"/>
          <w:right w:w="108" w:type="dxa"/>
        </w:tblCellMar>
      </w:tblPr>
      <w:tblGrid>
        <w:gridCol w:w="10166"/>
      </w:tblGrid>
      <w:tr w14:paraId="154B8C51">
        <w:tblPrEx>
          <w:tblCellMar>
            <w:top w:w="0" w:type="dxa"/>
            <w:left w:w="108" w:type="dxa"/>
            <w:bottom w:w="0" w:type="dxa"/>
            <w:right w:w="108" w:type="dxa"/>
          </w:tblCellMar>
        </w:tblPrEx>
        <w:trPr>
          <w:jc w:val="center"/>
        </w:trPr>
        <w:tc>
          <w:tcPr>
            <w:tcW w:w="10166" w:type="dxa"/>
            <w:tcBorders>
              <w:top w:val="single" w:color="C9CDD0" w:sz="6" w:space="0"/>
              <w:left w:val="single" w:color="C9CDD0" w:sz="6" w:space="0"/>
              <w:bottom w:val="single" w:color="C9CDD0" w:sz="6" w:space="0"/>
              <w:right w:val="single" w:color="C9CDD0" w:sz="6" w:space="0"/>
            </w:tcBorders>
            <w:shd w:val="clear" w:color="auto" w:fill="F7F7F7"/>
            <w:tcMar>
              <w:top w:w="130" w:type="dxa"/>
              <w:left w:w="160" w:type="dxa"/>
              <w:bottom w:w="130" w:type="dxa"/>
              <w:right w:w="160" w:type="dxa"/>
            </w:tcMar>
          </w:tcPr>
          <w:p w14:paraId="63307FE7">
            <w:pPr>
              <w:keepLines/>
              <w:spacing w:before="0" w:after="0" w:line="240" w:lineRule="auto"/>
            </w:pPr>
            <w:r>
              <w:rPr>
                <w:rFonts w:ascii="Courier New" w:hAnsi="Courier New" w:eastAsia="Courier New"/>
                <w:color w:val="1A1A1A"/>
                <w:sz w:val="17"/>
              </w:rPr>
              <w:t>Main Code:         3</w:t>
            </w:r>
            <w:r>
              <w:rPr>
                <w:rFonts w:ascii="Arial" w:hAnsi="Arial" w:eastAsia="Arial"/>
                <w:sz w:val="18"/>
              </w:rPr>
              <w:br w:type="textWrapping"/>
            </w:r>
            <w:r>
              <w:rPr>
                <w:rFonts w:ascii="Courier New" w:hAnsi="Courier New" w:eastAsia="Courier New"/>
                <w:color w:val="1A1A1A"/>
                <w:sz w:val="17"/>
              </w:rPr>
              <w:t>Internal subledger: 3-000001</w:t>
            </w:r>
            <w:r>
              <w:rPr>
                <w:rFonts w:ascii="Arial" w:hAnsi="Arial" w:eastAsia="Arial"/>
                <w:sz w:val="18"/>
              </w:rPr>
              <w:br w:type="textWrapping"/>
            </w:r>
            <w:r>
              <w:rPr>
                <w:rFonts w:ascii="Courier New" w:hAnsi="Courier New" w:eastAsia="Courier New"/>
                <w:color w:val="1A1A1A"/>
                <w:sz w:val="17"/>
              </w:rPr>
              <w:t>Escrow ID:         SBR-ESC-LEK-20260803-001</w:t>
            </w:r>
            <w:r>
              <w:rPr>
                <w:rFonts w:ascii="Arial" w:hAnsi="Arial" w:eastAsia="Arial"/>
                <w:sz w:val="18"/>
              </w:rPr>
              <w:br w:type="textWrapping"/>
            </w:r>
            <w:r>
              <w:rPr>
                <w:rFonts w:ascii="Courier New" w:hAnsi="Courier New" w:eastAsia="Courier New"/>
                <w:color w:val="1A1A1A"/>
                <w:sz w:val="17"/>
              </w:rPr>
              <w:t>Parent Transaction: SBR-TXN-20260803-001</w:t>
            </w:r>
            <w:r>
              <w:rPr>
                <w:rFonts w:ascii="Arial" w:hAnsi="Arial" w:eastAsia="Arial"/>
                <w:sz w:val="18"/>
              </w:rPr>
              <w:br w:type="textWrapping"/>
            </w:r>
            <w:r>
              <w:rPr>
                <w:rFonts w:ascii="Courier New" w:hAnsi="Courier New" w:eastAsia="Courier New"/>
                <w:color w:val="1A1A1A"/>
                <w:sz w:val="17"/>
              </w:rPr>
              <w:t>Buyer ID:          SBR-BUY-LEK-20260803-001</w:t>
            </w:r>
            <w:r>
              <w:rPr>
                <w:rFonts w:ascii="Arial" w:hAnsi="Arial" w:eastAsia="Arial"/>
                <w:sz w:val="18"/>
              </w:rPr>
              <w:br w:type="textWrapping"/>
            </w:r>
            <w:r>
              <w:rPr>
                <w:rFonts w:ascii="Courier New" w:hAnsi="Courier New" w:eastAsia="Courier New"/>
                <w:color w:val="1A1A1A"/>
                <w:sz w:val="17"/>
              </w:rPr>
              <w:t>Seller ID:         SBR-SEL-LEK-20260803-001</w:t>
            </w:r>
            <w:r>
              <w:rPr>
                <w:rFonts w:ascii="Arial" w:hAnsi="Arial" w:eastAsia="Arial"/>
                <w:sz w:val="18"/>
              </w:rPr>
              <w:br w:type="textWrapping"/>
            </w:r>
            <w:r>
              <w:rPr>
                <w:rFonts w:ascii="Courier New" w:hAnsi="Courier New" w:eastAsia="Courier New"/>
                <w:color w:val="1A1A1A"/>
                <w:sz w:val="17"/>
              </w:rPr>
              <w:t>Property ID:       SBR-PROP-LEK-2026-00001</w:t>
            </w:r>
          </w:p>
        </w:tc>
      </w:tr>
    </w:tbl>
    <w:p w14:paraId="412D9FD1">
      <w:pPr>
        <w:spacing w:after="20"/>
      </w:pPr>
    </w:p>
    <w:p w14:paraId="34F8E84C">
      <w:pPr>
        <w:pStyle w:val="3"/>
        <w:keepNext/>
        <w:pageBreakBefore w:val="0"/>
      </w:pPr>
      <w:r>
        <w:t>3.4 Code 4 - Professional Commission</w:t>
      </w:r>
    </w:p>
    <w:p w14:paraId="0508BAE3">
      <w:pPr>
        <w:pStyle w:val="13"/>
        <w:spacing w:before="0" w:after="120" w:line="269" w:lineRule="auto"/>
      </w:pPr>
      <w:r>
        <w:rPr>
          <w:rFonts w:ascii="Arial" w:hAnsi="Arial" w:eastAsia="Arial"/>
          <w:color w:val="1A1A1A"/>
          <w:sz w:val="20"/>
        </w:rPr>
        <w:t>Code 4 is a pure SafeBuy commission inflow account for successful professional transactions. Each receipt must be linked to the relevant registered professional, service assignment, property or case and transaction reference.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84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12" w:type="dxa"/>
            <w:shd w:val="clear" w:color="auto" w:fill="5C1949"/>
            <w:tcMar>
              <w:top w:w="100" w:type="dxa"/>
              <w:left w:w="120" w:type="dxa"/>
              <w:bottom w:w="100" w:type="dxa"/>
              <w:right w:w="120" w:type="dxa"/>
            </w:tcMar>
            <w:vAlign w:val="center"/>
          </w:tcPr>
          <w:p w14:paraId="76F1B5D0">
            <w:pPr>
              <w:keepLines/>
              <w:spacing w:before="0" w:after="0" w:line="240" w:lineRule="auto"/>
              <w:jc w:val="center"/>
            </w:pPr>
            <w:r>
              <w:rPr>
                <w:rFonts w:ascii="Arial" w:hAnsi="Arial" w:eastAsia="Arial"/>
                <w:b/>
                <w:color w:val="FFFFFF"/>
                <w:sz w:val="17"/>
              </w:rPr>
              <w:t>Conceptual source entry</w:t>
            </w:r>
          </w:p>
        </w:tc>
        <w:tc>
          <w:tcPr>
            <w:tcW w:w="6480" w:type="dxa"/>
            <w:shd w:val="clear" w:color="auto" w:fill="5C1949"/>
            <w:tcMar>
              <w:top w:w="100" w:type="dxa"/>
              <w:left w:w="120" w:type="dxa"/>
              <w:bottom w:w="100" w:type="dxa"/>
              <w:right w:w="120" w:type="dxa"/>
            </w:tcMar>
            <w:vAlign w:val="center"/>
          </w:tcPr>
          <w:p w14:paraId="1BF2095F">
            <w:pPr>
              <w:keepLines/>
              <w:spacing w:before="0" w:after="0" w:line="240" w:lineRule="auto"/>
              <w:jc w:val="center"/>
            </w:pPr>
            <w:r>
              <w:rPr>
                <w:rFonts w:ascii="Arial" w:hAnsi="Arial" w:eastAsia="Arial"/>
                <w:b/>
                <w:color w:val="FFFFFF"/>
                <w:sz w:val="17"/>
              </w:rPr>
              <w:t>Scalable implementation</w:t>
            </w:r>
          </w:p>
        </w:tc>
      </w:tr>
      <w:tr w14:paraId="58C7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Mar>
              <w:top w:w="90" w:type="dxa"/>
              <w:left w:w="120" w:type="dxa"/>
              <w:bottom w:w="90" w:type="dxa"/>
              <w:right w:w="120" w:type="dxa"/>
            </w:tcMar>
            <w:vAlign w:val="center"/>
          </w:tcPr>
          <w:p w14:paraId="2B56448E">
            <w:pPr>
              <w:keepLines/>
              <w:spacing w:before="0" w:after="0" w:line="240" w:lineRule="auto"/>
              <w:jc w:val="left"/>
            </w:pPr>
            <w:r>
              <w:rPr>
                <w:rFonts w:ascii="Arial" w:hAnsi="Arial" w:eastAsia="Arial"/>
                <w:b/>
                <w:color w:val="1A1A1A"/>
                <w:sz w:val="17"/>
              </w:rPr>
              <w:t>41 - Professional 1</w:t>
            </w:r>
          </w:p>
        </w:tc>
        <w:tc>
          <w:tcPr>
            <w:tcW w:w="6480" w:type="dxa"/>
            <w:tcMar>
              <w:top w:w="90" w:type="dxa"/>
              <w:left w:w="120" w:type="dxa"/>
              <w:bottom w:w="90" w:type="dxa"/>
              <w:right w:w="120" w:type="dxa"/>
            </w:tcMar>
            <w:vAlign w:val="center"/>
          </w:tcPr>
          <w:p w14:paraId="79CD2460">
            <w:pPr>
              <w:keepLines/>
              <w:spacing w:before="0" w:after="0" w:line="240" w:lineRule="auto"/>
              <w:jc w:val="left"/>
            </w:pPr>
            <w:r>
              <w:rPr>
                <w:rFonts w:ascii="Arial" w:hAnsi="Arial" w:eastAsia="Arial"/>
                <w:b w:val="0"/>
                <w:color w:val="1A1A1A"/>
                <w:sz w:val="17"/>
              </w:rPr>
              <w:t>Dynamic professional sub-ledger linked to the first official Professional ID</w:t>
            </w:r>
          </w:p>
        </w:tc>
      </w:tr>
      <w:tr w14:paraId="336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BFBFB"/>
            <w:tcMar>
              <w:top w:w="90" w:type="dxa"/>
              <w:left w:w="120" w:type="dxa"/>
              <w:bottom w:w="90" w:type="dxa"/>
              <w:right w:w="120" w:type="dxa"/>
            </w:tcMar>
            <w:vAlign w:val="center"/>
          </w:tcPr>
          <w:p w14:paraId="3747D4DC">
            <w:pPr>
              <w:keepLines/>
              <w:spacing w:before="0" w:after="0" w:line="240" w:lineRule="auto"/>
              <w:jc w:val="left"/>
            </w:pPr>
            <w:r>
              <w:rPr>
                <w:rFonts w:ascii="Arial" w:hAnsi="Arial" w:eastAsia="Arial"/>
                <w:b/>
                <w:color w:val="1A1A1A"/>
                <w:sz w:val="17"/>
              </w:rPr>
              <w:t>42 - Professional 2</w:t>
            </w:r>
          </w:p>
        </w:tc>
        <w:tc>
          <w:tcPr>
            <w:tcW w:w="6480" w:type="dxa"/>
            <w:shd w:val="clear" w:color="auto" w:fill="FBFBFB"/>
            <w:tcMar>
              <w:top w:w="90" w:type="dxa"/>
              <w:left w:w="120" w:type="dxa"/>
              <w:bottom w:w="90" w:type="dxa"/>
              <w:right w:w="120" w:type="dxa"/>
            </w:tcMar>
            <w:vAlign w:val="center"/>
          </w:tcPr>
          <w:p w14:paraId="04283560">
            <w:pPr>
              <w:keepLines/>
              <w:spacing w:before="0" w:after="0" w:line="240" w:lineRule="auto"/>
              <w:jc w:val="left"/>
            </w:pPr>
            <w:r>
              <w:rPr>
                <w:rFonts w:ascii="Arial" w:hAnsi="Arial" w:eastAsia="Arial"/>
                <w:b w:val="0"/>
                <w:color w:val="1A1A1A"/>
                <w:sz w:val="17"/>
              </w:rPr>
              <w:t>Dynamic professional sub-ledger linked to the second official Professional ID</w:t>
            </w:r>
          </w:p>
        </w:tc>
      </w:tr>
      <w:tr w14:paraId="773B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Mar>
              <w:top w:w="90" w:type="dxa"/>
              <w:left w:w="120" w:type="dxa"/>
              <w:bottom w:w="90" w:type="dxa"/>
              <w:right w:w="120" w:type="dxa"/>
            </w:tcMar>
            <w:vAlign w:val="center"/>
          </w:tcPr>
          <w:p w14:paraId="14374441">
            <w:pPr>
              <w:keepLines/>
              <w:spacing w:before="0" w:after="0" w:line="240" w:lineRule="auto"/>
              <w:jc w:val="left"/>
            </w:pPr>
            <w:r>
              <w:rPr>
                <w:rFonts w:ascii="Arial" w:hAnsi="Arial" w:eastAsia="Arial"/>
                <w:b/>
                <w:color w:val="1A1A1A"/>
                <w:sz w:val="17"/>
              </w:rPr>
              <w:t>43 - Professional 3</w:t>
            </w:r>
          </w:p>
        </w:tc>
        <w:tc>
          <w:tcPr>
            <w:tcW w:w="6480" w:type="dxa"/>
            <w:tcMar>
              <w:top w:w="90" w:type="dxa"/>
              <w:left w:w="120" w:type="dxa"/>
              <w:bottom w:w="90" w:type="dxa"/>
              <w:right w:w="120" w:type="dxa"/>
            </w:tcMar>
            <w:vAlign w:val="center"/>
          </w:tcPr>
          <w:p w14:paraId="74E85E02">
            <w:pPr>
              <w:keepLines/>
              <w:spacing w:before="0" w:after="0" w:line="240" w:lineRule="auto"/>
              <w:jc w:val="left"/>
            </w:pPr>
            <w:r>
              <w:rPr>
                <w:rFonts w:ascii="Arial" w:hAnsi="Arial" w:eastAsia="Arial"/>
                <w:b w:val="0"/>
                <w:color w:val="1A1A1A"/>
                <w:sz w:val="17"/>
              </w:rPr>
              <w:t>Dynamic professional sub-ledger linked to the third official Professional ID</w:t>
            </w:r>
          </w:p>
        </w:tc>
      </w:tr>
      <w:tr w14:paraId="4696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BFBFB"/>
            <w:tcMar>
              <w:top w:w="90" w:type="dxa"/>
              <w:left w:w="120" w:type="dxa"/>
              <w:bottom w:w="90" w:type="dxa"/>
              <w:right w:w="120" w:type="dxa"/>
            </w:tcMar>
            <w:vAlign w:val="center"/>
          </w:tcPr>
          <w:p w14:paraId="65DFDED8">
            <w:pPr>
              <w:keepLines/>
              <w:spacing w:before="0" w:after="0" w:line="240" w:lineRule="auto"/>
              <w:jc w:val="left"/>
            </w:pPr>
            <w:r>
              <w:rPr>
                <w:rFonts w:ascii="Arial" w:hAnsi="Arial" w:eastAsia="Arial"/>
                <w:b/>
                <w:color w:val="1A1A1A"/>
                <w:sz w:val="17"/>
              </w:rPr>
              <w:t>Further professionals</w:t>
            </w:r>
          </w:p>
        </w:tc>
        <w:tc>
          <w:tcPr>
            <w:tcW w:w="6480" w:type="dxa"/>
            <w:shd w:val="clear" w:color="auto" w:fill="FBFBFB"/>
            <w:tcMar>
              <w:top w:w="90" w:type="dxa"/>
              <w:left w:w="120" w:type="dxa"/>
              <w:bottom w:w="90" w:type="dxa"/>
              <w:right w:w="120" w:type="dxa"/>
            </w:tcMar>
            <w:vAlign w:val="center"/>
          </w:tcPr>
          <w:p w14:paraId="09B384A4">
            <w:pPr>
              <w:keepLines/>
              <w:spacing w:before="0" w:after="0" w:line="240" w:lineRule="auto"/>
              <w:jc w:val="left"/>
            </w:pPr>
            <w:r>
              <w:rPr>
                <w:rFonts w:ascii="Arial" w:hAnsi="Arial" w:eastAsia="Arial"/>
                <w:b w:val="0"/>
                <w:color w:val="1A1A1A"/>
                <w:sz w:val="17"/>
              </w:rPr>
              <w:t>Continue through generated sequence; do not maintain a manually defined finite list</w:t>
            </w:r>
          </w:p>
        </w:tc>
      </w:tr>
    </w:tbl>
    <w:p w14:paraId="27E68C2D">
      <w:pPr>
        <w:spacing w:after="20"/>
      </w:pPr>
    </w:p>
    <w:p w14:paraId="212016DB">
      <w:pPr>
        <w:pStyle w:val="23"/>
        <w:spacing w:before="0" w:after="60" w:line="257" w:lineRule="auto"/>
        <w:ind w:left="360" w:hanging="173"/>
      </w:pPr>
      <w:r>
        <w:rPr>
          <w:rFonts w:ascii="Arial" w:hAnsi="Arial" w:eastAsia="Arial"/>
          <w:b w:val="0"/>
          <w:i w:val="0"/>
          <w:color w:val="1A1A1A"/>
          <w:sz w:val="20"/>
        </w:rPr>
        <w:t>The professional category prefix in the official ID identifies whether the record is a lawyer, surveyor, valuer, agent, architect, engineer or other approved category.</w:t>
      </w:r>
    </w:p>
    <w:p w14:paraId="632C5E73">
      <w:pPr>
        <w:pStyle w:val="23"/>
        <w:spacing w:before="0" w:after="60" w:line="257" w:lineRule="auto"/>
        <w:ind w:left="360" w:hanging="173"/>
      </w:pPr>
      <w:r>
        <w:rPr>
          <w:rFonts w:ascii="Arial" w:hAnsi="Arial" w:eastAsia="Arial"/>
          <w:b w:val="0"/>
          <w:i w:val="0"/>
          <w:color w:val="1A1A1A"/>
          <w:sz w:val="20"/>
        </w:rPr>
        <w:t>The platform must report professional commission by professional ID, category, transaction, location and date.</w:t>
      </w:r>
    </w:p>
    <w:p w14:paraId="5B357773">
      <w:pPr>
        <w:pStyle w:val="23"/>
        <w:spacing w:before="0" w:after="60" w:line="257" w:lineRule="auto"/>
        <w:ind w:left="360" w:hanging="173"/>
      </w:pPr>
      <w:r>
        <w:rPr>
          <w:rFonts w:ascii="Arial" w:hAnsi="Arial" w:eastAsia="Arial"/>
          <w:b w:val="0"/>
          <w:i w:val="0"/>
          <w:color w:val="1A1A1A"/>
          <w:sz w:val="20"/>
        </w:rPr>
        <w:t>If the platform ever receives the professional’s gross service fee, the professional’s share must be treated as a payable and not as SafeBuy revenue. That gross-collection model requires a separate approved workflow.</w:t>
      </w:r>
    </w:p>
    <w:p w14:paraId="7C79CA32">
      <w:pPr>
        <w:pStyle w:val="3"/>
        <w:keepNext/>
        <w:pageBreakBefore w:val="0"/>
      </w:pPr>
      <w:r>
        <w:t>3.5 Code 5 - Operations Boundary</w:t>
      </w:r>
    </w:p>
    <w:p w14:paraId="5F80EA1A">
      <w:pPr>
        <w:pStyle w:val="23"/>
        <w:spacing w:before="0" w:after="60" w:line="257" w:lineRule="auto"/>
        <w:ind w:left="360" w:hanging="173"/>
      </w:pPr>
      <w:r>
        <w:rPr>
          <w:rFonts w:ascii="Arial" w:hAnsi="Arial" w:eastAsia="Arial"/>
          <w:b w:val="0"/>
          <w:i w:val="0"/>
          <w:color w:val="1A1A1A"/>
          <w:sz w:val="20"/>
        </w:rPr>
        <w:t>Multiple operations accounts remain external to the customer-facing application.</w:t>
      </w:r>
    </w:p>
    <w:p w14:paraId="027E32A3">
      <w:pPr>
        <w:pStyle w:val="23"/>
        <w:spacing w:before="0" w:after="60" w:line="257" w:lineRule="auto"/>
        <w:ind w:left="360" w:hanging="173"/>
      </w:pPr>
      <w:r>
        <w:rPr>
          <w:rFonts w:ascii="Arial" w:hAnsi="Arial" w:eastAsia="Arial"/>
          <w:b w:val="0"/>
          <w:i w:val="0"/>
          <w:color w:val="1A1A1A"/>
          <w:sz w:val="20"/>
        </w:rPr>
        <w:t>The website must not display operations bank details to clients or route customer funds to them.</w:t>
      </w:r>
    </w:p>
    <w:p w14:paraId="3D2E59C9">
      <w:pPr>
        <w:pStyle w:val="23"/>
        <w:spacing w:before="0" w:after="60" w:line="257" w:lineRule="auto"/>
        <w:ind w:left="360" w:hanging="173"/>
      </w:pPr>
      <w:r>
        <w:rPr>
          <w:rFonts w:ascii="Arial" w:hAnsi="Arial" w:eastAsia="Arial"/>
          <w:b w:val="0"/>
          <w:i w:val="0"/>
          <w:color w:val="1A1A1A"/>
          <w:sz w:val="20"/>
        </w:rPr>
        <w:t>An authorised finance user may enter approved summary journals or import a controlled statement/report for management reporting.</w:t>
      </w:r>
    </w:p>
    <w:p w14:paraId="19DC661B">
      <w:pPr>
        <w:pStyle w:val="23"/>
        <w:spacing w:before="0" w:after="60" w:line="257" w:lineRule="auto"/>
        <w:ind w:left="360" w:hanging="173"/>
      </w:pPr>
      <w:r>
        <w:rPr>
          <w:rFonts w:ascii="Arial" w:hAnsi="Arial" w:eastAsia="Arial"/>
          <w:b w:val="0"/>
          <w:i w:val="0"/>
          <w:color w:val="1A1A1A"/>
          <w:sz w:val="20"/>
        </w:rPr>
        <w:t>Operations expenses must not reduce an escrow customer balance, VAT balance or professional payable.</w:t>
      </w:r>
    </w:p>
    <w:p w14:paraId="72E9F034">
      <w:pPr>
        <w:pStyle w:val="2"/>
        <w:keepNext/>
        <w:pageBreakBefore w:val="0"/>
      </w:pPr>
      <w:r>
        <w:t>4. VAT Account and Calculation Rules</w:t>
      </w:r>
    </w:p>
    <w:p w14:paraId="5AB9C754">
      <w:pPr>
        <w:pStyle w:val="13"/>
        <w:spacing w:before="0" w:after="120" w:line="269" w:lineRule="auto"/>
      </w:pPr>
      <w:r>
        <w:rPr>
          <w:rFonts w:ascii="Arial" w:hAnsi="Arial" w:eastAsia="Arial"/>
          <w:color w:val="1A1A1A"/>
          <w:sz w:val="20"/>
        </w:rPr>
        <w:t>The application must support a central VAT account and VAT liability register. The initial business-configured rate is 7.5%. The rate must be stored in configuration with effective dates rather than embedded permanently in page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AD7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5C1949"/>
            <w:tcMar>
              <w:top w:w="100" w:type="dxa"/>
              <w:left w:w="120" w:type="dxa"/>
              <w:bottom w:w="100" w:type="dxa"/>
              <w:right w:w="120" w:type="dxa"/>
            </w:tcMar>
            <w:vAlign w:val="center"/>
          </w:tcPr>
          <w:p w14:paraId="1940C72D">
            <w:pPr>
              <w:keepLines/>
              <w:spacing w:before="0" w:after="0" w:line="240" w:lineRule="auto"/>
              <w:jc w:val="center"/>
            </w:pPr>
            <w:r>
              <w:rPr>
                <w:rFonts w:ascii="Arial" w:hAnsi="Arial" w:eastAsia="Arial"/>
                <w:b/>
                <w:color w:val="FFFFFF"/>
                <w:sz w:val="17"/>
              </w:rPr>
              <w:t>Transaction component</w:t>
            </w:r>
          </w:p>
        </w:tc>
        <w:tc>
          <w:tcPr>
            <w:tcW w:w="6192" w:type="dxa"/>
            <w:shd w:val="clear" w:color="auto" w:fill="5C1949"/>
            <w:tcMar>
              <w:top w:w="100" w:type="dxa"/>
              <w:left w:w="120" w:type="dxa"/>
              <w:bottom w:w="100" w:type="dxa"/>
              <w:right w:w="120" w:type="dxa"/>
            </w:tcMar>
            <w:vAlign w:val="center"/>
          </w:tcPr>
          <w:p w14:paraId="24B7877B">
            <w:pPr>
              <w:keepLines/>
              <w:spacing w:before="0" w:after="0" w:line="240" w:lineRule="auto"/>
              <w:jc w:val="center"/>
            </w:pPr>
            <w:r>
              <w:rPr>
                <w:rFonts w:ascii="Arial" w:hAnsi="Arial" w:eastAsia="Arial"/>
                <w:b/>
                <w:color w:val="FFFFFF"/>
                <w:sz w:val="17"/>
              </w:rPr>
              <w:t>VAT treatment</w:t>
            </w:r>
          </w:p>
        </w:tc>
      </w:tr>
      <w:tr w14:paraId="1FBD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90" w:type="dxa"/>
              <w:left w:w="120" w:type="dxa"/>
              <w:bottom w:w="90" w:type="dxa"/>
              <w:right w:w="120" w:type="dxa"/>
            </w:tcMar>
            <w:vAlign w:val="center"/>
          </w:tcPr>
          <w:p w14:paraId="5965669F">
            <w:pPr>
              <w:keepLines/>
              <w:spacing w:before="0" w:after="0" w:line="240" w:lineRule="auto"/>
              <w:jc w:val="left"/>
            </w:pPr>
            <w:r>
              <w:rPr>
                <w:rFonts w:ascii="Arial" w:hAnsi="Arial" w:eastAsia="Arial"/>
                <w:b/>
                <w:color w:val="1A1A1A"/>
                <w:sz w:val="17"/>
              </w:rPr>
              <w:t>Buyer commission - Code 11</w:t>
            </w:r>
          </w:p>
        </w:tc>
        <w:tc>
          <w:tcPr>
            <w:tcW w:w="6192" w:type="dxa"/>
            <w:tcMar>
              <w:top w:w="90" w:type="dxa"/>
              <w:left w:w="120" w:type="dxa"/>
              <w:bottom w:w="90" w:type="dxa"/>
              <w:right w:w="120" w:type="dxa"/>
            </w:tcMar>
            <w:vAlign w:val="center"/>
          </w:tcPr>
          <w:p w14:paraId="184059F8">
            <w:pPr>
              <w:keepLines/>
              <w:spacing w:before="0" w:after="0" w:line="240" w:lineRule="auto"/>
              <w:jc w:val="left"/>
            </w:pPr>
            <w:r>
              <w:rPr>
                <w:rFonts w:ascii="Arial" w:hAnsi="Arial" w:eastAsia="Arial"/>
                <w:b w:val="0"/>
                <w:color w:val="1A1A1A"/>
                <w:sz w:val="17"/>
              </w:rPr>
              <w:t>Apply 7.5% VAT to the commission amount.</w:t>
            </w:r>
          </w:p>
        </w:tc>
      </w:tr>
      <w:tr w14:paraId="5985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shd w:val="clear" w:color="auto" w:fill="FBFBFB"/>
            <w:tcMar>
              <w:top w:w="90" w:type="dxa"/>
              <w:left w:w="120" w:type="dxa"/>
              <w:bottom w:w="90" w:type="dxa"/>
              <w:right w:w="120" w:type="dxa"/>
            </w:tcMar>
            <w:vAlign w:val="center"/>
          </w:tcPr>
          <w:p w14:paraId="76E39219">
            <w:pPr>
              <w:keepLines/>
              <w:spacing w:before="0" w:after="0" w:line="240" w:lineRule="auto"/>
              <w:jc w:val="left"/>
            </w:pPr>
            <w:r>
              <w:rPr>
                <w:rFonts w:ascii="Arial" w:hAnsi="Arial" w:eastAsia="Arial"/>
                <w:b/>
                <w:color w:val="1A1A1A"/>
                <w:sz w:val="17"/>
              </w:rPr>
              <w:t>Seller commission - Code 12</w:t>
            </w:r>
          </w:p>
        </w:tc>
        <w:tc>
          <w:tcPr>
            <w:tcW w:w="6192" w:type="dxa"/>
            <w:shd w:val="clear" w:color="auto" w:fill="FBFBFB"/>
            <w:tcMar>
              <w:top w:w="90" w:type="dxa"/>
              <w:left w:w="120" w:type="dxa"/>
              <w:bottom w:w="90" w:type="dxa"/>
              <w:right w:w="120" w:type="dxa"/>
            </w:tcMar>
            <w:vAlign w:val="center"/>
          </w:tcPr>
          <w:p w14:paraId="103AEE75">
            <w:pPr>
              <w:keepLines/>
              <w:spacing w:before="0" w:after="0" w:line="240" w:lineRule="auto"/>
              <w:jc w:val="left"/>
            </w:pPr>
            <w:r>
              <w:rPr>
                <w:rFonts w:ascii="Arial" w:hAnsi="Arial" w:eastAsia="Arial"/>
                <w:b w:val="0"/>
                <w:color w:val="1A1A1A"/>
                <w:sz w:val="17"/>
              </w:rPr>
              <w:t>Apply 7.5% VAT to the commission amount.</w:t>
            </w:r>
          </w:p>
        </w:tc>
      </w:tr>
      <w:tr w14:paraId="5715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90" w:type="dxa"/>
              <w:left w:w="120" w:type="dxa"/>
              <w:bottom w:w="90" w:type="dxa"/>
              <w:right w:w="120" w:type="dxa"/>
            </w:tcMar>
            <w:vAlign w:val="center"/>
          </w:tcPr>
          <w:p w14:paraId="1FF0ECBA">
            <w:pPr>
              <w:keepLines/>
              <w:spacing w:before="0" w:after="0" w:line="240" w:lineRule="auto"/>
              <w:jc w:val="left"/>
            </w:pPr>
            <w:r>
              <w:rPr>
                <w:rFonts w:ascii="Arial" w:hAnsi="Arial" w:eastAsia="Arial"/>
                <w:b/>
                <w:color w:val="1A1A1A"/>
                <w:sz w:val="17"/>
              </w:rPr>
              <w:t>Due-diligence fee - Code 2</w:t>
            </w:r>
          </w:p>
        </w:tc>
        <w:tc>
          <w:tcPr>
            <w:tcW w:w="6192" w:type="dxa"/>
            <w:tcMar>
              <w:top w:w="90" w:type="dxa"/>
              <w:left w:w="120" w:type="dxa"/>
              <w:bottom w:w="90" w:type="dxa"/>
              <w:right w:w="120" w:type="dxa"/>
            </w:tcMar>
            <w:vAlign w:val="center"/>
          </w:tcPr>
          <w:p w14:paraId="6E0EA53E">
            <w:pPr>
              <w:keepLines/>
              <w:spacing w:before="0" w:after="0" w:line="240" w:lineRule="auto"/>
              <w:jc w:val="left"/>
            </w:pPr>
            <w:r>
              <w:rPr>
                <w:rFonts w:ascii="Arial" w:hAnsi="Arial" w:eastAsia="Arial"/>
                <w:b w:val="0"/>
                <w:color w:val="1A1A1A"/>
                <w:sz w:val="17"/>
              </w:rPr>
              <w:t>Apply VAT where the configured service line is taxable.</w:t>
            </w:r>
          </w:p>
        </w:tc>
      </w:tr>
      <w:tr w14:paraId="3226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shd w:val="clear" w:color="auto" w:fill="FBFBFB"/>
            <w:tcMar>
              <w:top w:w="90" w:type="dxa"/>
              <w:left w:w="120" w:type="dxa"/>
              <w:bottom w:w="90" w:type="dxa"/>
              <w:right w:w="120" w:type="dxa"/>
            </w:tcMar>
            <w:vAlign w:val="center"/>
          </w:tcPr>
          <w:p w14:paraId="131BB4B3">
            <w:pPr>
              <w:keepLines/>
              <w:spacing w:before="0" w:after="0" w:line="240" w:lineRule="auto"/>
              <w:jc w:val="left"/>
            </w:pPr>
            <w:r>
              <w:rPr>
                <w:rFonts w:ascii="Arial" w:hAnsi="Arial" w:eastAsia="Arial"/>
                <w:b/>
                <w:color w:val="1A1A1A"/>
                <w:sz w:val="17"/>
              </w:rPr>
              <w:t>Professional commission - Code 4</w:t>
            </w:r>
          </w:p>
        </w:tc>
        <w:tc>
          <w:tcPr>
            <w:tcW w:w="6192" w:type="dxa"/>
            <w:shd w:val="clear" w:color="auto" w:fill="FBFBFB"/>
            <w:tcMar>
              <w:top w:w="90" w:type="dxa"/>
              <w:left w:w="120" w:type="dxa"/>
              <w:bottom w:w="90" w:type="dxa"/>
              <w:right w:w="120" w:type="dxa"/>
            </w:tcMar>
            <w:vAlign w:val="center"/>
          </w:tcPr>
          <w:p w14:paraId="4FDA7FF1">
            <w:pPr>
              <w:keepLines/>
              <w:spacing w:before="0" w:after="0" w:line="240" w:lineRule="auto"/>
              <w:jc w:val="left"/>
            </w:pPr>
            <w:r>
              <w:rPr>
                <w:rFonts w:ascii="Arial" w:hAnsi="Arial" w:eastAsia="Arial"/>
                <w:b w:val="0"/>
                <w:color w:val="1A1A1A"/>
                <w:sz w:val="17"/>
              </w:rPr>
              <w:t>Apply VAT where the SafeBuy commission line is taxable.</w:t>
            </w:r>
          </w:p>
        </w:tc>
      </w:tr>
      <w:tr w14:paraId="58F3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90" w:type="dxa"/>
              <w:left w:w="120" w:type="dxa"/>
              <w:bottom w:w="90" w:type="dxa"/>
              <w:right w:w="120" w:type="dxa"/>
            </w:tcMar>
            <w:vAlign w:val="center"/>
          </w:tcPr>
          <w:p w14:paraId="4F60E2D1">
            <w:pPr>
              <w:keepLines/>
              <w:spacing w:before="0" w:after="0" w:line="240" w:lineRule="auto"/>
              <w:jc w:val="left"/>
            </w:pPr>
            <w:r>
              <w:rPr>
                <w:rFonts w:ascii="Arial" w:hAnsi="Arial" w:eastAsia="Arial"/>
                <w:b/>
                <w:color w:val="1A1A1A"/>
                <w:sz w:val="17"/>
              </w:rPr>
              <w:t>Escrow deposit / property principal</w:t>
            </w:r>
          </w:p>
        </w:tc>
        <w:tc>
          <w:tcPr>
            <w:tcW w:w="6192" w:type="dxa"/>
            <w:tcMar>
              <w:top w:w="90" w:type="dxa"/>
              <w:left w:w="120" w:type="dxa"/>
              <w:bottom w:w="90" w:type="dxa"/>
              <w:right w:w="120" w:type="dxa"/>
            </w:tcMar>
            <w:vAlign w:val="center"/>
          </w:tcPr>
          <w:p w14:paraId="4FD89BE9">
            <w:pPr>
              <w:keepLines/>
              <w:spacing w:before="0" w:after="0" w:line="240" w:lineRule="auto"/>
              <w:jc w:val="left"/>
            </w:pPr>
            <w:r>
              <w:rPr>
                <w:rFonts w:ascii="Arial" w:hAnsi="Arial" w:eastAsia="Arial"/>
                <w:b w:val="0"/>
                <w:color w:val="1A1A1A"/>
                <w:sz w:val="17"/>
              </w:rPr>
              <w:t>No VAT on the escrow principal itself.</w:t>
            </w:r>
          </w:p>
        </w:tc>
      </w:tr>
      <w:tr w14:paraId="3034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shd w:val="clear" w:color="auto" w:fill="FBFBFB"/>
            <w:tcMar>
              <w:top w:w="90" w:type="dxa"/>
              <w:left w:w="120" w:type="dxa"/>
              <w:bottom w:w="90" w:type="dxa"/>
              <w:right w:w="120" w:type="dxa"/>
            </w:tcMar>
            <w:vAlign w:val="center"/>
          </w:tcPr>
          <w:p w14:paraId="1B77356F">
            <w:pPr>
              <w:keepLines/>
              <w:spacing w:before="0" w:after="0" w:line="240" w:lineRule="auto"/>
              <w:jc w:val="left"/>
            </w:pPr>
            <w:r>
              <w:rPr>
                <w:rFonts w:ascii="Arial" w:hAnsi="Arial" w:eastAsia="Arial"/>
                <w:b/>
                <w:color w:val="1A1A1A"/>
                <w:sz w:val="17"/>
              </w:rPr>
              <w:t>Seller escrow release / buyer refund</w:t>
            </w:r>
          </w:p>
        </w:tc>
        <w:tc>
          <w:tcPr>
            <w:tcW w:w="6192" w:type="dxa"/>
            <w:shd w:val="clear" w:color="auto" w:fill="FBFBFB"/>
            <w:tcMar>
              <w:top w:w="90" w:type="dxa"/>
              <w:left w:w="120" w:type="dxa"/>
              <w:bottom w:w="90" w:type="dxa"/>
              <w:right w:w="120" w:type="dxa"/>
            </w:tcMar>
            <w:vAlign w:val="center"/>
          </w:tcPr>
          <w:p w14:paraId="0E705815">
            <w:pPr>
              <w:keepLines/>
              <w:spacing w:before="0" w:after="0" w:line="240" w:lineRule="auto"/>
              <w:jc w:val="left"/>
            </w:pPr>
            <w:r>
              <w:rPr>
                <w:rFonts w:ascii="Arial" w:hAnsi="Arial" w:eastAsia="Arial"/>
                <w:b w:val="0"/>
                <w:color w:val="1A1A1A"/>
                <w:sz w:val="17"/>
              </w:rPr>
              <w:t>No VAT on the movement of principal; any commission line remains separately taxable.</w:t>
            </w:r>
          </w:p>
        </w:tc>
      </w:tr>
    </w:tbl>
    <w:p w14:paraId="1589F8AC">
      <w:pPr>
        <w:spacing w:after="20"/>
      </w:pPr>
    </w:p>
    <w:p w14:paraId="03DD147E">
      <w:pPr>
        <w:spacing w:before="20" w:after="60" w:line="259" w:lineRule="auto"/>
      </w:pPr>
      <w:r>
        <w:rPr>
          <w:rFonts w:ascii="Arial" w:hAnsi="Arial" w:eastAsia="Arial"/>
          <w:b/>
          <w:i w:val="0"/>
          <w:color w:val="0F6B77"/>
          <w:sz w:val="19"/>
        </w:rPr>
        <w:t>Server-side calculation rules</w:t>
      </w:r>
    </w:p>
    <w:tbl>
      <w:tblPr>
        <w:tblStyle w:val="12"/>
        <w:tblW w:w="0" w:type="auto"/>
        <w:jc w:val="center"/>
        <w:tblLayout w:type="fixed"/>
        <w:tblCellMar>
          <w:top w:w="0" w:type="dxa"/>
          <w:left w:w="108" w:type="dxa"/>
          <w:bottom w:w="0" w:type="dxa"/>
          <w:right w:w="108" w:type="dxa"/>
        </w:tblCellMar>
      </w:tblPr>
      <w:tblGrid>
        <w:gridCol w:w="10166"/>
      </w:tblGrid>
      <w:tr w14:paraId="0339E952">
        <w:tblPrEx>
          <w:tblCellMar>
            <w:top w:w="0" w:type="dxa"/>
            <w:left w:w="108" w:type="dxa"/>
            <w:bottom w:w="0" w:type="dxa"/>
            <w:right w:w="108" w:type="dxa"/>
          </w:tblCellMar>
        </w:tblPrEx>
        <w:trPr>
          <w:jc w:val="center"/>
        </w:trPr>
        <w:tc>
          <w:tcPr>
            <w:tcW w:w="10166" w:type="dxa"/>
            <w:tcBorders>
              <w:top w:val="single" w:color="C9CDD0" w:sz="6" w:space="0"/>
              <w:left w:val="single" w:color="C9CDD0" w:sz="6" w:space="0"/>
              <w:bottom w:val="single" w:color="C9CDD0" w:sz="6" w:space="0"/>
              <w:right w:val="single" w:color="C9CDD0" w:sz="6" w:space="0"/>
            </w:tcBorders>
            <w:shd w:val="clear" w:color="auto" w:fill="F7F7F7"/>
            <w:tcMar>
              <w:top w:w="130" w:type="dxa"/>
              <w:left w:w="160" w:type="dxa"/>
              <w:bottom w:w="130" w:type="dxa"/>
              <w:right w:w="160" w:type="dxa"/>
            </w:tcMar>
          </w:tcPr>
          <w:p w14:paraId="45A0BF81">
            <w:pPr>
              <w:keepLines/>
              <w:spacing w:before="0" w:after="0" w:line="240" w:lineRule="auto"/>
            </w:pPr>
            <w:r>
              <w:rPr>
                <w:rFonts w:ascii="Courier New" w:hAnsi="Courier New" w:eastAsia="Courier New"/>
                <w:color w:val="1A1A1A"/>
                <w:sz w:val="17"/>
              </w:rPr>
              <w:t>VAT amount = round(taxable fee or commission x 7.5%)</w:t>
            </w:r>
            <w:r>
              <w:rPr>
                <w:rFonts w:ascii="Arial" w:hAnsi="Arial" w:eastAsia="Arial"/>
                <w:sz w:val="18"/>
              </w:rPr>
              <w:br w:type="textWrapping"/>
            </w:r>
            <w:r>
              <w:rPr>
                <w:rFonts w:ascii="Courier New" w:hAnsi="Courier New" w:eastAsia="Courier New"/>
                <w:color w:val="1A1A1A"/>
                <w:sz w:val="17"/>
              </w:rPr>
              <w:t>Total client charge = taxable fee or commission + VAT</w:t>
            </w:r>
            <w:r>
              <w:rPr>
                <w:rFonts w:ascii="Arial" w:hAnsi="Arial" w:eastAsia="Arial"/>
                <w:sz w:val="18"/>
              </w:rPr>
              <w:br w:type="textWrapping"/>
            </w:r>
            <w:r>
              <w:rPr>
                <w:rFonts w:ascii="Courier New" w:hAnsi="Courier New" w:eastAsia="Courier New"/>
                <w:color w:val="1A1A1A"/>
                <w:sz w:val="17"/>
              </w:rPr>
              <w:t>Seller net release = property principal - seller commission - VAT on seller commission - approved deductions</w:t>
            </w:r>
          </w:p>
        </w:tc>
      </w:tr>
    </w:tbl>
    <w:p w14:paraId="689E37DC">
      <w:pPr>
        <w:spacing w:after="20"/>
      </w:pPr>
    </w:p>
    <w:p w14:paraId="66FE7AEC">
      <w:pPr>
        <w:pStyle w:val="3"/>
        <w:keepNext/>
        <w:pageBreakBefore w:val="0"/>
      </w:pPr>
      <w:r>
        <w:t>4.1 Central VAT Controls</w:t>
      </w:r>
    </w:p>
    <w:p w14:paraId="7F9AF877">
      <w:pPr>
        <w:pStyle w:val="23"/>
        <w:spacing w:before="0" w:after="60" w:line="257" w:lineRule="auto"/>
        <w:ind w:left="360" w:hanging="173"/>
      </w:pPr>
      <w:r>
        <w:rPr>
          <w:rFonts w:ascii="Arial" w:hAnsi="Arial" w:eastAsia="Arial"/>
          <w:b w:val="0"/>
          <w:i w:val="0"/>
          <w:color w:val="1A1A1A"/>
          <w:sz w:val="20"/>
        </w:rPr>
        <w:t>Each VAT line must reference the source transaction, main code, sub-code, client, invoice and effective tax rate.</w:t>
      </w:r>
    </w:p>
    <w:p w14:paraId="2527B3A5">
      <w:pPr>
        <w:pStyle w:val="23"/>
        <w:spacing w:before="0" w:after="60" w:line="257" w:lineRule="auto"/>
        <w:ind w:left="360" w:hanging="173"/>
      </w:pPr>
      <w:r>
        <w:rPr>
          <w:rFonts w:ascii="Arial" w:hAnsi="Arial" w:eastAsia="Arial"/>
          <w:b w:val="0"/>
          <w:i w:val="0"/>
          <w:color w:val="1A1A1A"/>
          <w:sz w:val="20"/>
        </w:rPr>
        <w:t>VAT must be shown separately on invoices, settlement statements and finance reports.</w:t>
      </w:r>
    </w:p>
    <w:p w14:paraId="034017F1">
      <w:pPr>
        <w:pStyle w:val="23"/>
        <w:spacing w:before="0" w:after="60" w:line="257" w:lineRule="auto"/>
        <w:ind w:left="360" w:hanging="173"/>
      </w:pPr>
      <w:r>
        <w:rPr>
          <w:rFonts w:ascii="Arial" w:hAnsi="Arial" w:eastAsia="Arial"/>
          <w:b w:val="0"/>
          <w:i w:val="0"/>
          <w:color w:val="1A1A1A"/>
          <w:sz w:val="20"/>
        </w:rPr>
        <w:t>The application must maintain VAT collected, adjusted, transferred/remitted and outstanding balances.</w:t>
      </w:r>
    </w:p>
    <w:p w14:paraId="21F48091">
      <w:pPr>
        <w:pStyle w:val="23"/>
        <w:spacing w:before="0" w:after="60" w:line="257" w:lineRule="auto"/>
        <w:ind w:left="360" w:hanging="173"/>
      </w:pPr>
      <w:r>
        <w:rPr>
          <w:rFonts w:ascii="Arial" w:hAnsi="Arial" w:eastAsia="Arial"/>
          <w:b w:val="0"/>
          <w:i w:val="0"/>
          <w:color w:val="1A1A1A"/>
          <w:sz w:val="20"/>
        </w:rPr>
        <w:t>A tax-rate change must create a new effective-dated configuration record and must not rewrite historical transactions.</w:t>
      </w:r>
    </w:p>
    <w:p w14:paraId="7376FD0C">
      <w:pPr>
        <w:pStyle w:val="2"/>
        <w:keepNext/>
        <w:pageBreakBefore w:val="0"/>
      </w:pPr>
      <w:r>
        <w:t>5. Official Identification and Numbering Integration</w:t>
      </w:r>
    </w:p>
    <w:p w14:paraId="6FF995BC">
      <w:pPr>
        <w:pStyle w:val="13"/>
        <w:spacing w:before="0" w:after="120" w:line="269" w:lineRule="auto"/>
      </w:pPr>
      <w:r>
        <w:rPr>
          <w:rFonts w:ascii="Arial" w:hAnsi="Arial" w:eastAsia="Arial"/>
          <w:color w:val="1A1A1A"/>
          <w:sz w:val="20"/>
        </w:rPr>
        <w:t>The website must implement the SafeBuy Realties Unique Identification &amp; Numbering Standard as the authoritative record-identification framework. IDs must be system generated, immutable, never reused and linked across financial and operational 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0E2F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shd w:val="clear" w:color="auto" w:fill="5C1949"/>
            <w:tcMar>
              <w:top w:w="100" w:type="dxa"/>
              <w:left w:w="120" w:type="dxa"/>
              <w:bottom w:w="100" w:type="dxa"/>
              <w:right w:w="120" w:type="dxa"/>
            </w:tcMar>
            <w:vAlign w:val="center"/>
          </w:tcPr>
          <w:p w14:paraId="5B5455BB">
            <w:pPr>
              <w:keepLines/>
              <w:spacing w:before="0" w:after="0" w:line="240" w:lineRule="auto"/>
              <w:jc w:val="center"/>
            </w:pPr>
            <w:r>
              <w:rPr>
                <w:rFonts w:ascii="Arial" w:hAnsi="Arial" w:eastAsia="Arial"/>
                <w:b/>
                <w:color w:val="FFFFFF"/>
                <w:sz w:val="17"/>
              </w:rPr>
              <w:t>Record</w:t>
            </w:r>
          </w:p>
        </w:tc>
        <w:tc>
          <w:tcPr>
            <w:tcW w:w="4104" w:type="dxa"/>
            <w:shd w:val="clear" w:color="auto" w:fill="5C1949"/>
            <w:tcMar>
              <w:top w:w="100" w:type="dxa"/>
              <w:left w:w="120" w:type="dxa"/>
              <w:bottom w:w="100" w:type="dxa"/>
              <w:right w:w="120" w:type="dxa"/>
            </w:tcMar>
            <w:vAlign w:val="center"/>
          </w:tcPr>
          <w:p w14:paraId="15470884">
            <w:pPr>
              <w:keepLines/>
              <w:spacing w:before="0" w:after="0" w:line="240" w:lineRule="auto"/>
              <w:jc w:val="center"/>
            </w:pPr>
            <w:r>
              <w:rPr>
                <w:rFonts w:ascii="Arial" w:hAnsi="Arial" w:eastAsia="Arial"/>
                <w:b/>
                <w:color w:val="FFFFFF"/>
                <w:sz w:val="17"/>
              </w:rPr>
              <w:t>Required format</w:t>
            </w:r>
          </w:p>
        </w:tc>
        <w:tc>
          <w:tcPr>
            <w:tcW w:w="3456" w:type="dxa"/>
            <w:shd w:val="clear" w:color="auto" w:fill="5C1949"/>
            <w:tcMar>
              <w:top w:w="100" w:type="dxa"/>
              <w:left w:w="120" w:type="dxa"/>
              <w:bottom w:w="100" w:type="dxa"/>
              <w:right w:w="120" w:type="dxa"/>
            </w:tcMar>
            <w:vAlign w:val="center"/>
          </w:tcPr>
          <w:p w14:paraId="1E7F2C03">
            <w:pPr>
              <w:keepLines/>
              <w:spacing w:before="0" w:after="0" w:line="240" w:lineRule="auto"/>
              <w:jc w:val="center"/>
            </w:pPr>
            <w:r>
              <w:rPr>
                <w:rFonts w:ascii="Arial" w:hAnsi="Arial" w:eastAsia="Arial"/>
                <w:b/>
                <w:color w:val="FFFFFF"/>
                <w:sz w:val="17"/>
              </w:rPr>
              <w:t>Example</w:t>
            </w:r>
          </w:p>
        </w:tc>
      </w:tr>
      <w:tr w14:paraId="6C86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90" w:type="dxa"/>
              <w:left w:w="120" w:type="dxa"/>
              <w:bottom w:w="90" w:type="dxa"/>
              <w:right w:w="120" w:type="dxa"/>
            </w:tcMar>
            <w:vAlign w:val="center"/>
          </w:tcPr>
          <w:p w14:paraId="262A69CA">
            <w:pPr>
              <w:keepLines/>
              <w:spacing w:before="0" w:after="0" w:line="240" w:lineRule="auto"/>
              <w:jc w:val="center"/>
            </w:pPr>
            <w:r>
              <w:rPr>
                <w:rFonts w:ascii="Arial" w:hAnsi="Arial" w:eastAsia="Arial"/>
                <w:b/>
                <w:color w:val="1A1A1A"/>
                <w:sz w:val="17"/>
              </w:rPr>
              <w:t>Buyer</w:t>
            </w:r>
          </w:p>
        </w:tc>
        <w:tc>
          <w:tcPr>
            <w:tcW w:w="4104" w:type="dxa"/>
            <w:tcMar>
              <w:top w:w="90" w:type="dxa"/>
              <w:left w:w="120" w:type="dxa"/>
              <w:bottom w:w="90" w:type="dxa"/>
              <w:right w:w="120" w:type="dxa"/>
            </w:tcMar>
            <w:vAlign w:val="center"/>
          </w:tcPr>
          <w:p w14:paraId="4D2E49DC">
            <w:pPr>
              <w:keepLines/>
              <w:spacing w:before="0" w:after="0" w:line="240" w:lineRule="auto"/>
              <w:jc w:val="left"/>
            </w:pPr>
            <w:r>
              <w:rPr>
                <w:rFonts w:ascii="Arial" w:hAnsi="Arial" w:eastAsia="Arial"/>
                <w:b w:val="0"/>
                <w:color w:val="1A1A1A"/>
                <w:sz w:val="17"/>
              </w:rPr>
              <w:t>SBR-BUY-LOC-YYYYMMDD-NNN</w:t>
            </w:r>
          </w:p>
        </w:tc>
        <w:tc>
          <w:tcPr>
            <w:tcW w:w="3456" w:type="dxa"/>
            <w:tcMar>
              <w:top w:w="90" w:type="dxa"/>
              <w:left w:w="120" w:type="dxa"/>
              <w:bottom w:w="90" w:type="dxa"/>
              <w:right w:w="120" w:type="dxa"/>
            </w:tcMar>
            <w:vAlign w:val="center"/>
          </w:tcPr>
          <w:p w14:paraId="793F455A">
            <w:pPr>
              <w:keepLines/>
              <w:spacing w:before="0" w:after="0" w:line="240" w:lineRule="auto"/>
              <w:jc w:val="left"/>
            </w:pPr>
            <w:r>
              <w:rPr>
                <w:rFonts w:ascii="Arial" w:hAnsi="Arial" w:eastAsia="Arial"/>
                <w:b w:val="0"/>
                <w:color w:val="1A1A1A"/>
                <w:sz w:val="17"/>
              </w:rPr>
              <w:t>SBR-BUY-IKD-20260803-001</w:t>
            </w:r>
          </w:p>
        </w:tc>
      </w:tr>
      <w:tr w14:paraId="7BEC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BFBFB"/>
            <w:tcMar>
              <w:top w:w="90" w:type="dxa"/>
              <w:left w:w="120" w:type="dxa"/>
              <w:bottom w:w="90" w:type="dxa"/>
              <w:right w:w="120" w:type="dxa"/>
            </w:tcMar>
            <w:vAlign w:val="center"/>
          </w:tcPr>
          <w:p w14:paraId="52459648">
            <w:pPr>
              <w:keepLines/>
              <w:spacing w:before="0" w:after="0" w:line="240" w:lineRule="auto"/>
              <w:jc w:val="center"/>
            </w:pPr>
            <w:r>
              <w:rPr>
                <w:rFonts w:ascii="Arial" w:hAnsi="Arial" w:eastAsia="Arial"/>
                <w:b/>
                <w:color w:val="1A1A1A"/>
                <w:sz w:val="17"/>
              </w:rPr>
              <w:t>Seller</w:t>
            </w:r>
          </w:p>
        </w:tc>
        <w:tc>
          <w:tcPr>
            <w:tcW w:w="4104" w:type="dxa"/>
            <w:shd w:val="clear" w:color="auto" w:fill="FBFBFB"/>
            <w:tcMar>
              <w:top w:w="90" w:type="dxa"/>
              <w:left w:w="120" w:type="dxa"/>
              <w:bottom w:w="90" w:type="dxa"/>
              <w:right w:w="120" w:type="dxa"/>
            </w:tcMar>
            <w:vAlign w:val="center"/>
          </w:tcPr>
          <w:p w14:paraId="68227711">
            <w:pPr>
              <w:keepLines/>
              <w:spacing w:before="0" w:after="0" w:line="240" w:lineRule="auto"/>
              <w:jc w:val="left"/>
            </w:pPr>
            <w:r>
              <w:rPr>
                <w:rFonts w:ascii="Arial" w:hAnsi="Arial" w:eastAsia="Arial"/>
                <w:b w:val="0"/>
                <w:color w:val="1A1A1A"/>
                <w:sz w:val="17"/>
              </w:rPr>
              <w:t>SBR-SEL-LOC-YYYYMMDD-NNN</w:t>
            </w:r>
          </w:p>
        </w:tc>
        <w:tc>
          <w:tcPr>
            <w:tcW w:w="3456" w:type="dxa"/>
            <w:shd w:val="clear" w:color="auto" w:fill="FBFBFB"/>
            <w:tcMar>
              <w:top w:w="90" w:type="dxa"/>
              <w:left w:w="120" w:type="dxa"/>
              <w:bottom w:w="90" w:type="dxa"/>
              <w:right w:w="120" w:type="dxa"/>
            </w:tcMar>
            <w:vAlign w:val="center"/>
          </w:tcPr>
          <w:p w14:paraId="05864D30">
            <w:pPr>
              <w:keepLines/>
              <w:spacing w:before="0" w:after="0" w:line="240" w:lineRule="auto"/>
              <w:jc w:val="left"/>
            </w:pPr>
            <w:r>
              <w:rPr>
                <w:rFonts w:ascii="Arial" w:hAnsi="Arial" w:eastAsia="Arial"/>
                <w:b w:val="0"/>
                <w:color w:val="1A1A1A"/>
                <w:sz w:val="17"/>
              </w:rPr>
              <w:t>SBR-SEL-LEK-20260803-001</w:t>
            </w:r>
          </w:p>
        </w:tc>
      </w:tr>
      <w:tr w14:paraId="0772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90" w:type="dxa"/>
              <w:left w:w="120" w:type="dxa"/>
              <w:bottom w:w="90" w:type="dxa"/>
              <w:right w:w="120" w:type="dxa"/>
            </w:tcMar>
            <w:vAlign w:val="center"/>
          </w:tcPr>
          <w:p w14:paraId="713C1742">
            <w:pPr>
              <w:keepLines/>
              <w:spacing w:before="0" w:after="0" w:line="240" w:lineRule="auto"/>
              <w:jc w:val="center"/>
            </w:pPr>
            <w:r>
              <w:rPr>
                <w:rFonts w:ascii="Arial" w:hAnsi="Arial" w:eastAsia="Arial"/>
                <w:b/>
                <w:color w:val="1A1A1A"/>
                <w:sz w:val="17"/>
              </w:rPr>
              <w:t>Property</w:t>
            </w:r>
          </w:p>
        </w:tc>
        <w:tc>
          <w:tcPr>
            <w:tcW w:w="4104" w:type="dxa"/>
            <w:tcMar>
              <w:top w:w="90" w:type="dxa"/>
              <w:left w:w="120" w:type="dxa"/>
              <w:bottom w:w="90" w:type="dxa"/>
              <w:right w:w="120" w:type="dxa"/>
            </w:tcMar>
            <w:vAlign w:val="center"/>
          </w:tcPr>
          <w:p w14:paraId="58AD62E5">
            <w:pPr>
              <w:keepLines/>
              <w:spacing w:before="0" w:after="0" w:line="240" w:lineRule="auto"/>
              <w:jc w:val="left"/>
            </w:pPr>
            <w:r>
              <w:rPr>
                <w:rFonts w:ascii="Arial" w:hAnsi="Arial" w:eastAsia="Arial"/>
                <w:b w:val="0"/>
                <w:color w:val="1A1A1A"/>
                <w:sz w:val="17"/>
              </w:rPr>
              <w:t>SBR-PROP-LOC-YYYY-NNNNN</w:t>
            </w:r>
          </w:p>
        </w:tc>
        <w:tc>
          <w:tcPr>
            <w:tcW w:w="3456" w:type="dxa"/>
            <w:tcMar>
              <w:top w:w="90" w:type="dxa"/>
              <w:left w:w="120" w:type="dxa"/>
              <w:bottom w:w="90" w:type="dxa"/>
              <w:right w:w="120" w:type="dxa"/>
            </w:tcMar>
            <w:vAlign w:val="center"/>
          </w:tcPr>
          <w:p w14:paraId="72C6EFC8">
            <w:pPr>
              <w:keepLines/>
              <w:spacing w:before="0" w:after="0" w:line="240" w:lineRule="auto"/>
              <w:jc w:val="left"/>
            </w:pPr>
            <w:r>
              <w:rPr>
                <w:rFonts w:ascii="Arial" w:hAnsi="Arial" w:eastAsia="Arial"/>
                <w:b w:val="0"/>
                <w:color w:val="1A1A1A"/>
                <w:sz w:val="17"/>
              </w:rPr>
              <w:t>SBR-PROP-LEK-2026-00001</w:t>
            </w:r>
          </w:p>
        </w:tc>
      </w:tr>
      <w:tr w14:paraId="4ACB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BFBFB"/>
            <w:tcMar>
              <w:top w:w="90" w:type="dxa"/>
              <w:left w:w="120" w:type="dxa"/>
              <w:bottom w:w="90" w:type="dxa"/>
              <w:right w:w="120" w:type="dxa"/>
            </w:tcMar>
            <w:vAlign w:val="center"/>
          </w:tcPr>
          <w:p w14:paraId="2B73B3AE">
            <w:pPr>
              <w:keepLines/>
              <w:spacing w:before="0" w:after="0" w:line="240" w:lineRule="auto"/>
              <w:jc w:val="center"/>
            </w:pPr>
            <w:r>
              <w:rPr>
                <w:rFonts w:ascii="Arial" w:hAnsi="Arial" w:eastAsia="Arial"/>
                <w:b/>
                <w:color w:val="1A1A1A"/>
                <w:sz w:val="17"/>
              </w:rPr>
              <w:t>Service Request</w:t>
            </w:r>
          </w:p>
        </w:tc>
        <w:tc>
          <w:tcPr>
            <w:tcW w:w="4104" w:type="dxa"/>
            <w:shd w:val="clear" w:color="auto" w:fill="FBFBFB"/>
            <w:tcMar>
              <w:top w:w="90" w:type="dxa"/>
              <w:left w:w="120" w:type="dxa"/>
              <w:bottom w:w="90" w:type="dxa"/>
              <w:right w:w="120" w:type="dxa"/>
            </w:tcMar>
            <w:vAlign w:val="center"/>
          </w:tcPr>
          <w:p w14:paraId="78A65EBC">
            <w:pPr>
              <w:keepLines/>
              <w:spacing w:before="0" w:after="0" w:line="240" w:lineRule="auto"/>
              <w:jc w:val="left"/>
            </w:pPr>
            <w:r>
              <w:rPr>
                <w:rFonts w:ascii="Arial" w:hAnsi="Arial" w:eastAsia="Arial"/>
                <w:b w:val="0"/>
                <w:color w:val="1A1A1A"/>
                <w:sz w:val="17"/>
              </w:rPr>
              <w:t>SBR-SRV-TYPE-YYYYMMDD-NNN</w:t>
            </w:r>
          </w:p>
        </w:tc>
        <w:tc>
          <w:tcPr>
            <w:tcW w:w="3456" w:type="dxa"/>
            <w:shd w:val="clear" w:color="auto" w:fill="FBFBFB"/>
            <w:tcMar>
              <w:top w:w="90" w:type="dxa"/>
              <w:left w:w="120" w:type="dxa"/>
              <w:bottom w:w="90" w:type="dxa"/>
              <w:right w:w="120" w:type="dxa"/>
            </w:tcMar>
            <w:vAlign w:val="center"/>
          </w:tcPr>
          <w:p w14:paraId="03BA63A5">
            <w:pPr>
              <w:keepLines/>
              <w:spacing w:before="0" w:after="0" w:line="240" w:lineRule="auto"/>
              <w:jc w:val="left"/>
            </w:pPr>
            <w:r>
              <w:rPr>
                <w:rFonts w:ascii="Arial" w:hAnsi="Arial" w:eastAsia="Arial"/>
                <w:b w:val="0"/>
                <w:color w:val="1A1A1A"/>
                <w:sz w:val="17"/>
              </w:rPr>
              <w:t>SBR-SRV-BUY-20260803-001</w:t>
            </w:r>
          </w:p>
        </w:tc>
      </w:tr>
      <w:tr w14:paraId="5960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90" w:type="dxa"/>
              <w:left w:w="120" w:type="dxa"/>
              <w:bottom w:w="90" w:type="dxa"/>
              <w:right w:w="120" w:type="dxa"/>
            </w:tcMar>
            <w:vAlign w:val="center"/>
          </w:tcPr>
          <w:p w14:paraId="26DA3A66">
            <w:pPr>
              <w:keepLines/>
              <w:spacing w:before="0" w:after="0" w:line="240" w:lineRule="auto"/>
              <w:jc w:val="center"/>
            </w:pPr>
            <w:r>
              <w:rPr>
                <w:rFonts w:ascii="Arial" w:hAnsi="Arial" w:eastAsia="Arial"/>
                <w:b/>
                <w:color w:val="1A1A1A"/>
                <w:sz w:val="17"/>
              </w:rPr>
              <w:t>Due Diligence Case</w:t>
            </w:r>
          </w:p>
        </w:tc>
        <w:tc>
          <w:tcPr>
            <w:tcW w:w="4104" w:type="dxa"/>
            <w:tcMar>
              <w:top w:w="90" w:type="dxa"/>
              <w:left w:w="120" w:type="dxa"/>
              <w:bottom w:w="90" w:type="dxa"/>
              <w:right w:w="120" w:type="dxa"/>
            </w:tcMar>
            <w:vAlign w:val="center"/>
          </w:tcPr>
          <w:p w14:paraId="0EBB7CE8">
            <w:pPr>
              <w:keepLines/>
              <w:spacing w:before="0" w:after="0" w:line="240" w:lineRule="auto"/>
              <w:jc w:val="left"/>
            </w:pPr>
            <w:r>
              <w:rPr>
                <w:rFonts w:ascii="Arial" w:hAnsi="Arial" w:eastAsia="Arial"/>
                <w:b w:val="0"/>
                <w:color w:val="1A1A1A"/>
                <w:sz w:val="17"/>
              </w:rPr>
              <w:t>SBR-CASE-DD-LOC-YYYYMMDD-NNN</w:t>
            </w:r>
          </w:p>
        </w:tc>
        <w:tc>
          <w:tcPr>
            <w:tcW w:w="3456" w:type="dxa"/>
            <w:tcMar>
              <w:top w:w="90" w:type="dxa"/>
              <w:left w:w="120" w:type="dxa"/>
              <w:bottom w:w="90" w:type="dxa"/>
              <w:right w:w="120" w:type="dxa"/>
            </w:tcMar>
            <w:vAlign w:val="center"/>
          </w:tcPr>
          <w:p w14:paraId="7BCE94B6">
            <w:pPr>
              <w:keepLines/>
              <w:spacing w:before="0" w:after="0" w:line="240" w:lineRule="auto"/>
              <w:jc w:val="left"/>
            </w:pPr>
            <w:r>
              <w:rPr>
                <w:rFonts w:ascii="Arial" w:hAnsi="Arial" w:eastAsia="Arial"/>
                <w:b w:val="0"/>
                <w:color w:val="1A1A1A"/>
                <w:sz w:val="17"/>
              </w:rPr>
              <w:t>SBR-CASE-DD-LEK-20260803-001</w:t>
            </w:r>
          </w:p>
        </w:tc>
      </w:tr>
      <w:tr w14:paraId="7B58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BFBFB"/>
            <w:tcMar>
              <w:top w:w="90" w:type="dxa"/>
              <w:left w:w="120" w:type="dxa"/>
              <w:bottom w:w="90" w:type="dxa"/>
              <w:right w:w="120" w:type="dxa"/>
            </w:tcMar>
            <w:vAlign w:val="center"/>
          </w:tcPr>
          <w:p w14:paraId="4E5BB35E">
            <w:pPr>
              <w:keepLines/>
              <w:spacing w:before="0" w:after="0" w:line="240" w:lineRule="auto"/>
              <w:jc w:val="center"/>
            </w:pPr>
            <w:r>
              <w:rPr>
                <w:rFonts w:ascii="Arial" w:hAnsi="Arial" w:eastAsia="Arial"/>
                <w:b/>
                <w:color w:val="1A1A1A"/>
                <w:sz w:val="17"/>
              </w:rPr>
              <w:t>Legal Verification</w:t>
            </w:r>
          </w:p>
        </w:tc>
        <w:tc>
          <w:tcPr>
            <w:tcW w:w="4104" w:type="dxa"/>
            <w:shd w:val="clear" w:color="auto" w:fill="FBFBFB"/>
            <w:tcMar>
              <w:top w:w="90" w:type="dxa"/>
              <w:left w:w="120" w:type="dxa"/>
              <w:bottom w:w="90" w:type="dxa"/>
              <w:right w:w="120" w:type="dxa"/>
            </w:tcMar>
            <w:vAlign w:val="center"/>
          </w:tcPr>
          <w:p w14:paraId="404C8104">
            <w:pPr>
              <w:keepLines/>
              <w:spacing w:before="0" w:after="0" w:line="240" w:lineRule="auto"/>
              <w:jc w:val="left"/>
            </w:pPr>
            <w:r>
              <w:rPr>
                <w:rFonts w:ascii="Arial" w:hAnsi="Arial" w:eastAsia="Arial"/>
                <w:b w:val="0"/>
                <w:color w:val="1A1A1A"/>
                <w:sz w:val="17"/>
              </w:rPr>
              <w:t>SBR-CASE-LV-LOC-YYYYMMDD-NNN</w:t>
            </w:r>
          </w:p>
        </w:tc>
        <w:tc>
          <w:tcPr>
            <w:tcW w:w="3456" w:type="dxa"/>
            <w:shd w:val="clear" w:color="auto" w:fill="FBFBFB"/>
            <w:tcMar>
              <w:top w:w="90" w:type="dxa"/>
              <w:left w:w="120" w:type="dxa"/>
              <w:bottom w:w="90" w:type="dxa"/>
              <w:right w:w="120" w:type="dxa"/>
            </w:tcMar>
            <w:vAlign w:val="center"/>
          </w:tcPr>
          <w:p w14:paraId="5C192030">
            <w:pPr>
              <w:keepLines/>
              <w:spacing w:before="0" w:after="0" w:line="240" w:lineRule="auto"/>
              <w:jc w:val="left"/>
            </w:pPr>
            <w:r>
              <w:rPr>
                <w:rFonts w:ascii="Arial" w:hAnsi="Arial" w:eastAsia="Arial"/>
                <w:b w:val="0"/>
                <w:color w:val="1A1A1A"/>
                <w:sz w:val="17"/>
              </w:rPr>
              <w:t>SBR-CASE-LV-LEK-20260803-001</w:t>
            </w:r>
          </w:p>
        </w:tc>
      </w:tr>
      <w:tr w14:paraId="75B2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90" w:type="dxa"/>
              <w:left w:w="120" w:type="dxa"/>
              <w:bottom w:w="90" w:type="dxa"/>
              <w:right w:w="120" w:type="dxa"/>
            </w:tcMar>
            <w:vAlign w:val="center"/>
          </w:tcPr>
          <w:p w14:paraId="5FB79EBB">
            <w:pPr>
              <w:keepLines/>
              <w:spacing w:before="0" w:after="0" w:line="240" w:lineRule="auto"/>
              <w:jc w:val="center"/>
            </w:pPr>
            <w:r>
              <w:rPr>
                <w:rFonts w:ascii="Arial" w:hAnsi="Arial" w:eastAsia="Arial"/>
                <w:b/>
                <w:color w:val="1A1A1A"/>
                <w:sz w:val="17"/>
              </w:rPr>
              <w:t>Environmental Review</w:t>
            </w:r>
          </w:p>
        </w:tc>
        <w:tc>
          <w:tcPr>
            <w:tcW w:w="4104" w:type="dxa"/>
            <w:tcMar>
              <w:top w:w="90" w:type="dxa"/>
              <w:left w:w="120" w:type="dxa"/>
              <w:bottom w:w="90" w:type="dxa"/>
              <w:right w:w="120" w:type="dxa"/>
            </w:tcMar>
            <w:vAlign w:val="center"/>
          </w:tcPr>
          <w:p w14:paraId="4AA3CC27">
            <w:pPr>
              <w:keepLines/>
              <w:spacing w:before="0" w:after="0" w:line="240" w:lineRule="auto"/>
              <w:jc w:val="left"/>
            </w:pPr>
            <w:r>
              <w:rPr>
                <w:rFonts w:ascii="Arial" w:hAnsi="Arial" w:eastAsia="Arial"/>
                <w:b w:val="0"/>
                <w:color w:val="1A1A1A"/>
                <w:sz w:val="17"/>
              </w:rPr>
              <w:t>SBR-CASE-ENV-LOC-YYYYMMDD-NNN</w:t>
            </w:r>
          </w:p>
        </w:tc>
        <w:tc>
          <w:tcPr>
            <w:tcW w:w="3456" w:type="dxa"/>
            <w:tcMar>
              <w:top w:w="90" w:type="dxa"/>
              <w:left w:w="120" w:type="dxa"/>
              <w:bottom w:w="90" w:type="dxa"/>
              <w:right w:w="120" w:type="dxa"/>
            </w:tcMar>
            <w:vAlign w:val="center"/>
          </w:tcPr>
          <w:p w14:paraId="1549A1AF">
            <w:pPr>
              <w:keepLines/>
              <w:spacing w:before="0" w:after="0" w:line="240" w:lineRule="auto"/>
              <w:jc w:val="left"/>
            </w:pPr>
            <w:r>
              <w:rPr>
                <w:rFonts w:ascii="Arial" w:hAnsi="Arial" w:eastAsia="Arial"/>
                <w:b w:val="0"/>
                <w:color w:val="1A1A1A"/>
                <w:sz w:val="17"/>
              </w:rPr>
              <w:t>SBR-CASE-ENV-AJH-20260803-001</w:t>
            </w:r>
          </w:p>
        </w:tc>
      </w:tr>
      <w:tr w14:paraId="6655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BFBFB"/>
            <w:tcMar>
              <w:top w:w="90" w:type="dxa"/>
              <w:left w:w="120" w:type="dxa"/>
              <w:bottom w:w="90" w:type="dxa"/>
              <w:right w:w="120" w:type="dxa"/>
            </w:tcMar>
            <w:vAlign w:val="center"/>
          </w:tcPr>
          <w:p w14:paraId="5C69FE24">
            <w:pPr>
              <w:keepLines/>
              <w:spacing w:before="0" w:after="0" w:line="240" w:lineRule="auto"/>
              <w:jc w:val="center"/>
            </w:pPr>
            <w:r>
              <w:rPr>
                <w:rFonts w:ascii="Arial" w:hAnsi="Arial" w:eastAsia="Arial"/>
                <w:b/>
                <w:color w:val="1A1A1A"/>
                <w:sz w:val="17"/>
              </w:rPr>
              <w:t>Security Verification</w:t>
            </w:r>
          </w:p>
        </w:tc>
        <w:tc>
          <w:tcPr>
            <w:tcW w:w="4104" w:type="dxa"/>
            <w:shd w:val="clear" w:color="auto" w:fill="FBFBFB"/>
            <w:tcMar>
              <w:top w:w="90" w:type="dxa"/>
              <w:left w:w="120" w:type="dxa"/>
              <w:bottom w:w="90" w:type="dxa"/>
              <w:right w:w="120" w:type="dxa"/>
            </w:tcMar>
            <w:vAlign w:val="center"/>
          </w:tcPr>
          <w:p w14:paraId="6C76B03D">
            <w:pPr>
              <w:keepLines/>
              <w:spacing w:before="0" w:after="0" w:line="240" w:lineRule="auto"/>
              <w:jc w:val="left"/>
            </w:pPr>
            <w:r>
              <w:rPr>
                <w:rFonts w:ascii="Arial" w:hAnsi="Arial" w:eastAsia="Arial"/>
                <w:b w:val="0"/>
                <w:color w:val="1A1A1A"/>
                <w:sz w:val="17"/>
              </w:rPr>
              <w:t>SBR-CASE-SEC-LOC-YYYYMMDD-NNN</w:t>
            </w:r>
          </w:p>
        </w:tc>
        <w:tc>
          <w:tcPr>
            <w:tcW w:w="3456" w:type="dxa"/>
            <w:shd w:val="clear" w:color="auto" w:fill="FBFBFB"/>
            <w:tcMar>
              <w:top w:w="90" w:type="dxa"/>
              <w:left w:w="120" w:type="dxa"/>
              <w:bottom w:w="90" w:type="dxa"/>
              <w:right w:w="120" w:type="dxa"/>
            </w:tcMar>
            <w:vAlign w:val="center"/>
          </w:tcPr>
          <w:p w14:paraId="7072434F">
            <w:pPr>
              <w:keepLines/>
              <w:spacing w:before="0" w:after="0" w:line="240" w:lineRule="auto"/>
              <w:jc w:val="left"/>
            </w:pPr>
            <w:r>
              <w:rPr>
                <w:rFonts w:ascii="Arial" w:hAnsi="Arial" w:eastAsia="Arial"/>
                <w:b w:val="0"/>
                <w:color w:val="1A1A1A"/>
                <w:sz w:val="17"/>
              </w:rPr>
              <w:t>SBR-CASE-SEC-VTI-20260803-001</w:t>
            </w:r>
          </w:p>
        </w:tc>
      </w:tr>
      <w:tr w14:paraId="497E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90" w:type="dxa"/>
              <w:left w:w="120" w:type="dxa"/>
              <w:bottom w:w="90" w:type="dxa"/>
              <w:right w:w="120" w:type="dxa"/>
            </w:tcMar>
            <w:vAlign w:val="center"/>
          </w:tcPr>
          <w:p w14:paraId="6B896D00">
            <w:pPr>
              <w:keepLines/>
              <w:spacing w:before="0" w:after="0" w:line="240" w:lineRule="auto"/>
              <w:jc w:val="center"/>
            </w:pPr>
            <w:r>
              <w:rPr>
                <w:rFonts w:ascii="Arial" w:hAnsi="Arial" w:eastAsia="Arial"/>
                <w:b/>
                <w:color w:val="1A1A1A"/>
                <w:sz w:val="17"/>
              </w:rPr>
              <w:t>Inspection</w:t>
            </w:r>
          </w:p>
        </w:tc>
        <w:tc>
          <w:tcPr>
            <w:tcW w:w="4104" w:type="dxa"/>
            <w:tcMar>
              <w:top w:w="90" w:type="dxa"/>
              <w:left w:w="120" w:type="dxa"/>
              <w:bottom w:w="90" w:type="dxa"/>
              <w:right w:w="120" w:type="dxa"/>
            </w:tcMar>
            <w:vAlign w:val="center"/>
          </w:tcPr>
          <w:p w14:paraId="274ADE14">
            <w:pPr>
              <w:keepLines/>
              <w:spacing w:before="0" w:after="0" w:line="240" w:lineRule="auto"/>
              <w:jc w:val="left"/>
            </w:pPr>
            <w:r>
              <w:rPr>
                <w:rFonts w:ascii="Arial" w:hAnsi="Arial" w:eastAsia="Arial"/>
                <w:b w:val="0"/>
                <w:color w:val="1A1A1A"/>
                <w:sz w:val="17"/>
              </w:rPr>
              <w:t>SBR-INSP-LOC-YYYYMMDD-NNN</w:t>
            </w:r>
          </w:p>
        </w:tc>
        <w:tc>
          <w:tcPr>
            <w:tcW w:w="3456" w:type="dxa"/>
            <w:tcMar>
              <w:top w:w="90" w:type="dxa"/>
              <w:left w:w="120" w:type="dxa"/>
              <w:bottom w:w="90" w:type="dxa"/>
              <w:right w:w="120" w:type="dxa"/>
            </w:tcMar>
            <w:vAlign w:val="center"/>
          </w:tcPr>
          <w:p w14:paraId="38A424D8">
            <w:pPr>
              <w:keepLines/>
              <w:spacing w:before="0" w:after="0" w:line="240" w:lineRule="auto"/>
              <w:jc w:val="left"/>
            </w:pPr>
            <w:r>
              <w:rPr>
                <w:rFonts w:ascii="Arial" w:hAnsi="Arial" w:eastAsia="Arial"/>
                <w:b w:val="0"/>
                <w:color w:val="1A1A1A"/>
                <w:sz w:val="17"/>
              </w:rPr>
              <w:t>SBR-INSP-LEK-20260803-001</w:t>
            </w:r>
          </w:p>
        </w:tc>
      </w:tr>
      <w:tr w14:paraId="1176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BFBFB"/>
            <w:tcMar>
              <w:top w:w="90" w:type="dxa"/>
              <w:left w:w="120" w:type="dxa"/>
              <w:bottom w:w="90" w:type="dxa"/>
              <w:right w:w="120" w:type="dxa"/>
            </w:tcMar>
            <w:vAlign w:val="center"/>
          </w:tcPr>
          <w:p w14:paraId="336C7662">
            <w:pPr>
              <w:keepLines/>
              <w:spacing w:before="0" w:after="0" w:line="240" w:lineRule="auto"/>
              <w:jc w:val="center"/>
            </w:pPr>
            <w:r>
              <w:rPr>
                <w:rFonts w:ascii="Arial" w:hAnsi="Arial" w:eastAsia="Arial"/>
                <w:b/>
                <w:color w:val="1A1A1A"/>
                <w:sz w:val="17"/>
              </w:rPr>
              <w:t>Escrow Transaction</w:t>
            </w:r>
          </w:p>
        </w:tc>
        <w:tc>
          <w:tcPr>
            <w:tcW w:w="4104" w:type="dxa"/>
            <w:shd w:val="clear" w:color="auto" w:fill="FBFBFB"/>
            <w:tcMar>
              <w:top w:w="90" w:type="dxa"/>
              <w:left w:w="120" w:type="dxa"/>
              <w:bottom w:w="90" w:type="dxa"/>
              <w:right w:w="120" w:type="dxa"/>
            </w:tcMar>
            <w:vAlign w:val="center"/>
          </w:tcPr>
          <w:p w14:paraId="03794FF1">
            <w:pPr>
              <w:keepLines/>
              <w:spacing w:before="0" w:after="0" w:line="240" w:lineRule="auto"/>
              <w:jc w:val="left"/>
            </w:pPr>
            <w:r>
              <w:rPr>
                <w:rFonts w:ascii="Arial" w:hAnsi="Arial" w:eastAsia="Arial"/>
                <w:b w:val="0"/>
                <w:color w:val="1A1A1A"/>
                <w:sz w:val="17"/>
              </w:rPr>
              <w:t>SBR-ESC-LOC-YYYYMMDD-NNN</w:t>
            </w:r>
          </w:p>
        </w:tc>
        <w:tc>
          <w:tcPr>
            <w:tcW w:w="3456" w:type="dxa"/>
            <w:shd w:val="clear" w:color="auto" w:fill="FBFBFB"/>
            <w:tcMar>
              <w:top w:w="90" w:type="dxa"/>
              <w:left w:w="120" w:type="dxa"/>
              <w:bottom w:w="90" w:type="dxa"/>
              <w:right w:w="120" w:type="dxa"/>
            </w:tcMar>
            <w:vAlign w:val="center"/>
          </w:tcPr>
          <w:p w14:paraId="428B5EAF">
            <w:pPr>
              <w:keepLines/>
              <w:spacing w:before="0" w:after="0" w:line="240" w:lineRule="auto"/>
              <w:jc w:val="left"/>
            </w:pPr>
            <w:r>
              <w:rPr>
                <w:rFonts w:ascii="Arial" w:hAnsi="Arial" w:eastAsia="Arial"/>
                <w:b w:val="0"/>
                <w:color w:val="1A1A1A"/>
                <w:sz w:val="17"/>
              </w:rPr>
              <w:t>SBR-ESC-LEK-20260803-001</w:t>
            </w:r>
          </w:p>
        </w:tc>
      </w:tr>
      <w:tr w14:paraId="792D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90" w:type="dxa"/>
              <w:left w:w="120" w:type="dxa"/>
              <w:bottom w:w="90" w:type="dxa"/>
              <w:right w:w="120" w:type="dxa"/>
            </w:tcMar>
            <w:vAlign w:val="center"/>
          </w:tcPr>
          <w:p w14:paraId="7EB41474">
            <w:pPr>
              <w:keepLines/>
              <w:spacing w:before="0" w:after="0" w:line="240" w:lineRule="auto"/>
              <w:jc w:val="center"/>
            </w:pPr>
            <w:r>
              <w:rPr>
                <w:rFonts w:ascii="Arial" w:hAnsi="Arial" w:eastAsia="Arial"/>
                <w:b/>
                <w:color w:val="1A1A1A"/>
                <w:sz w:val="17"/>
              </w:rPr>
              <w:t>Dispute</w:t>
            </w:r>
          </w:p>
        </w:tc>
        <w:tc>
          <w:tcPr>
            <w:tcW w:w="4104" w:type="dxa"/>
            <w:tcMar>
              <w:top w:w="90" w:type="dxa"/>
              <w:left w:w="120" w:type="dxa"/>
              <w:bottom w:w="90" w:type="dxa"/>
              <w:right w:w="120" w:type="dxa"/>
            </w:tcMar>
            <w:vAlign w:val="center"/>
          </w:tcPr>
          <w:p w14:paraId="21F0B91E">
            <w:pPr>
              <w:keepLines/>
              <w:spacing w:before="0" w:after="0" w:line="240" w:lineRule="auto"/>
              <w:jc w:val="left"/>
            </w:pPr>
            <w:r>
              <w:rPr>
                <w:rFonts w:ascii="Arial" w:hAnsi="Arial" w:eastAsia="Arial"/>
                <w:b w:val="0"/>
                <w:color w:val="1A1A1A"/>
                <w:sz w:val="17"/>
              </w:rPr>
              <w:t>SBR-DSP-LOC-YYYYMMDD-NNN</w:t>
            </w:r>
          </w:p>
        </w:tc>
        <w:tc>
          <w:tcPr>
            <w:tcW w:w="3456" w:type="dxa"/>
            <w:tcMar>
              <w:top w:w="90" w:type="dxa"/>
              <w:left w:w="120" w:type="dxa"/>
              <w:bottom w:w="90" w:type="dxa"/>
              <w:right w:w="120" w:type="dxa"/>
            </w:tcMar>
            <w:vAlign w:val="center"/>
          </w:tcPr>
          <w:p w14:paraId="20FF163E">
            <w:pPr>
              <w:keepLines/>
              <w:spacing w:before="0" w:after="0" w:line="240" w:lineRule="auto"/>
              <w:jc w:val="left"/>
            </w:pPr>
            <w:r>
              <w:rPr>
                <w:rFonts w:ascii="Arial" w:hAnsi="Arial" w:eastAsia="Arial"/>
                <w:b w:val="0"/>
                <w:color w:val="1A1A1A"/>
                <w:sz w:val="17"/>
              </w:rPr>
              <w:t>SBR-DSP-LEK-20260803-001</w:t>
            </w:r>
          </w:p>
        </w:tc>
      </w:tr>
      <w:tr w14:paraId="39F7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BFBFB"/>
            <w:tcMar>
              <w:top w:w="90" w:type="dxa"/>
              <w:left w:w="120" w:type="dxa"/>
              <w:bottom w:w="90" w:type="dxa"/>
              <w:right w:w="120" w:type="dxa"/>
            </w:tcMar>
            <w:vAlign w:val="center"/>
          </w:tcPr>
          <w:p w14:paraId="26198CE9">
            <w:pPr>
              <w:keepLines/>
              <w:spacing w:before="0" w:after="0" w:line="240" w:lineRule="auto"/>
              <w:jc w:val="center"/>
            </w:pPr>
            <w:r>
              <w:rPr>
                <w:rFonts w:ascii="Arial" w:hAnsi="Arial" w:eastAsia="Arial"/>
                <w:b/>
                <w:color w:val="1A1A1A"/>
                <w:sz w:val="17"/>
              </w:rPr>
              <w:t>Main Transaction</w:t>
            </w:r>
          </w:p>
        </w:tc>
        <w:tc>
          <w:tcPr>
            <w:tcW w:w="4104" w:type="dxa"/>
            <w:shd w:val="clear" w:color="auto" w:fill="FBFBFB"/>
            <w:tcMar>
              <w:top w:w="90" w:type="dxa"/>
              <w:left w:w="120" w:type="dxa"/>
              <w:bottom w:w="90" w:type="dxa"/>
              <w:right w:w="120" w:type="dxa"/>
            </w:tcMar>
            <w:vAlign w:val="center"/>
          </w:tcPr>
          <w:p w14:paraId="5F43C23A">
            <w:pPr>
              <w:keepLines/>
              <w:spacing w:before="0" w:after="0" w:line="240" w:lineRule="auto"/>
              <w:jc w:val="left"/>
            </w:pPr>
            <w:r>
              <w:rPr>
                <w:rFonts w:ascii="Arial" w:hAnsi="Arial" w:eastAsia="Arial"/>
                <w:b w:val="0"/>
                <w:color w:val="1A1A1A"/>
                <w:sz w:val="17"/>
              </w:rPr>
              <w:t>SBR-TXN-YYYYMMDD-NNN</w:t>
            </w:r>
          </w:p>
        </w:tc>
        <w:tc>
          <w:tcPr>
            <w:tcW w:w="3456" w:type="dxa"/>
            <w:shd w:val="clear" w:color="auto" w:fill="FBFBFB"/>
            <w:tcMar>
              <w:top w:w="90" w:type="dxa"/>
              <w:left w:w="120" w:type="dxa"/>
              <w:bottom w:w="90" w:type="dxa"/>
              <w:right w:w="120" w:type="dxa"/>
            </w:tcMar>
            <w:vAlign w:val="center"/>
          </w:tcPr>
          <w:p w14:paraId="2C75BEFB">
            <w:pPr>
              <w:keepLines/>
              <w:spacing w:before="0" w:after="0" w:line="240" w:lineRule="auto"/>
              <w:jc w:val="left"/>
            </w:pPr>
            <w:r>
              <w:rPr>
                <w:rFonts w:ascii="Arial" w:hAnsi="Arial" w:eastAsia="Arial"/>
                <w:b w:val="0"/>
                <w:color w:val="1A1A1A"/>
                <w:sz w:val="17"/>
              </w:rPr>
              <w:t>SBR-TXN-20260803-001</w:t>
            </w:r>
          </w:p>
        </w:tc>
      </w:tr>
    </w:tbl>
    <w:p w14:paraId="58BF840D">
      <w:pPr>
        <w:spacing w:after="20"/>
      </w:pPr>
    </w:p>
    <w:p w14:paraId="482ADD50">
      <w:pPr>
        <w:pStyle w:val="3"/>
        <w:keepNext/>
        <w:pageBreakBefore w:val="0"/>
      </w:pPr>
      <w:r>
        <w:t>5.1 Professional IDs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1D3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5C1949"/>
            <w:tcMar>
              <w:top w:w="100" w:type="dxa"/>
              <w:left w:w="120" w:type="dxa"/>
              <w:bottom w:w="100" w:type="dxa"/>
              <w:right w:w="120" w:type="dxa"/>
            </w:tcMar>
            <w:vAlign w:val="center"/>
          </w:tcPr>
          <w:p w14:paraId="6B51BC9B">
            <w:pPr>
              <w:keepLines/>
              <w:spacing w:before="0" w:after="0" w:line="240" w:lineRule="auto"/>
              <w:jc w:val="center"/>
            </w:pPr>
            <w:r>
              <w:rPr>
                <w:rFonts w:ascii="Arial" w:hAnsi="Arial" w:eastAsia="Arial"/>
                <w:b/>
                <w:color w:val="FFFFFF"/>
                <w:sz w:val="17"/>
              </w:rPr>
              <w:t>Category</w:t>
            </w:r>
          </w:p>
        </w:tc>
        <w:tc>
          <w:tcPr>
            <w:tcW w:w="6336" w:type="dxa"/>
            <w:shd w:val="clear" w:color="auto" w:fill="5C1949"/>
            <w:tcMar>
              <w:top w:w="100" w:type="dxa"/>
              <w:left w:w="120" w:type="dxa"/>
              <w:bottom w:w="100" w:type="dxa"/>
              <w:right w:w="120" w:type="dxa"/>
            </w:tcMar>
            <w:vAlign w:val="center"/>
          </w:tcPr>
          <w:p w14:paraId="68E31A61">
            <w:pPr>
              <w:keepLines/>
              <w:spacing w:before="0" w:after="0" w:line="240" w:lineRule="auto"/>
              <w:jc w:val="center"/>
            </w:pPr>
            <w:r>
              <w:rPr>
                <w:rFonts w:ascii="Arial" w:hAnsi="Arial" w:eastAsia="Arial"/>
                <w:b/>
                <w:color w:val="FFFFFF"/>
                <w:sz w:val="17"/>
              </w:rPr>
              <w:t>Prefix / format example</w:t>
            </w:r>
          </w:p>
        </w:tc>
      </w:tr>
      <w:tr w14:paraId="3248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616B5628">
            <w:pPr>
              <w:keepLines/>
              <w:spacing w:before="0" w:after="0" w:line="240" w:lineRule="auto"/>
              <w:jc w:val="left"/>
            </w:pPr>
            <w:r>
              <w:rPr>
                <w:rFonts w:ascii="Arial" w:hAnsi="Arial" w:eastAsia="Arial"/>
                <w:b/>
                <w:color w:val="1A1A1A"/>
                <w:sz w:val="17"/>
              </w:rPr>
              <w:t>Lawyer</w:t>
            </w:r>
          </w:p>
        </w:tc>
        <w:tc>
          <w:tcPr>
            <w:tcW w:w="6336" w:type="dxa"/>
            <w:tcMar>
              <w:top w:w="90" w:type="dxa"/>
              <w:left w:w="120" w:type="dxa"/>
              <w:bottom w:w="90" w:type="dxa"/>
              <w:right w:w="120" w:type="dxa"/>
            </w:tcMar>
            <w:vAlign w:val="center"/>
          </w:tcPr>
          <w:p w14:paraId="50C80A73">
            <w:pPr>
              <w:keepLines/>
              <w:spacing w:before="0" w:after="0" w:line="240" w:lineRule="auto"/>
              <w:jc w:val="left"/>
            </w:pPr>
            <w:r>
              <w:rPr>
                <w:rFonts w:ascii="Arial" w:hAnsi="Arial" w:eastAsia="Arial"/>
                <w:b w:val="0"/>
                <w:color w:val="1A1A1A"/>
                <w:sz w:val="17"/>
              </w:rPr>
              <w:t>SBR-LAW-LOCYYXX-NNN</w:t>
            </w:r>
          </w:p>
        </w:tc>
      </w:tr>
      <w:tr w14:paraId="44FF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2D5D2606">
            <w:pPr>
              <w:keepLines/>
              <w:spacing w:before="0" w:after="0" w:line="240" w:lineRule="auto"/>
              <w:jc w:val="left"/>
            </w:pPr>
            <w:r>
              <w:rPr>
                <w:rFonts w:ascii="Arial" w:hAnsi="Arial" w:eastAsia="Arial"/>
                <w:b/>
                <w:color w:val="1A1A1A"/>
                <w:sz w:val="17"/>
              </w:rPr>
              <w:t>Surveyor</w:t>
            </w:r>
          </w:p>
        </w:tc>
        <w:tc>
          <w:tcPr>
            <w:tcW w:w="6336" w:type="dxa"/>
            <w:shd w:val="clear" w:color="auto" w:fill="FBFBFB"/>
            <w:tcMar>
              <w:top w:w="90" w:type="dxa"/>
              <w:left w:w="120" w:type="dxa"/>
              <w:bottom w:w="90" w:type="dxa"/>
              <w:right w:w="120" w:type="dxa"/>
            </w:tcMar>
            <w:vAlign w:val="center"/>
          </w:tcPr>
          <w:p w14:paraId="34B5E0F6">
            <w:pPr>
              <w:keepLines/>
              <w:spacing w:before="0" w:after="0" w:line="240" w:lineRule="auto"/>
              <w:jc w:val="left"/>
            </w:pPr>
            <w:r>
              <w:rPr>
                <w:rFonts w:ascii="Arial" w:hAnsi="Arial" w:eastAsia="Arial"/>
                <w:b w:val="0"/>
                <w:color w:val="1A1A1A"/>
                <w:sz w:val="17"/>
              </w:rPr>
              <w:t>SBR-SUR-LOCYYXX-NNN</w:t>
            </w:r>
          </w:p>
        </w:tc>
      </w:tr>
      <w:tr w14:paraId="2A8C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31A41866">
            <w:pPr>
              <w:keepLines/>
              <w:spacing w:before="0" w:after="0" w:line="240" w:lineRule="auto"/>
              <w:jc w:val="left"/>
            </w:pPr>
            <w:r>
              <w:rPr>
                <w:rFonts w:ascii="Arial" w:hAnsi="Arial" w:eastAsia="Arial"/>
                <w:b/>
                <w:color w:val="1A1A1A"/>
                <w:sz w:val="17"/>
              </w:rPr>
              <w:t>Valuer</w:t>
            </w:r>
          </w:p>
        </w:tc>
        <w:tc>
          <w:tcPr>
            <w:tcW w:w="6336" w:type="dxa"/>
            <w:tcMar>
              <w:top w:w="90" w:type="dxa"/>
              <w:left w:w="120" w:type="dxa"/>
              <w:bottom w:w="90" w:type="dxa"/>
              <w:right w:w="120" w:type="dxa"/>
            </w:tcMar>
            <w:vAlign w:val="center"/>
          </w:tcPr>
          <w:p w14:paraId="3868A797">
            <w:pPr>
              <w:keepLines/>
              <w:spacing w:before="0" w:after="0" w:line="240" w:lineRule="auto"/>
              <w:jc w:val="left"/>
            </w:pPr>
            <w:r>
              <w:rPr>
                <w:rFonts w:ascii="Arial" w:hAnsi="Arial" w:eastAsia="Arial"/>
                <w:b w:val="0"/>
                <w:color w:val="1A1A1A"/>
                <w:sz w:val="17"/>
              </w:rPr>
              <w:t>SBR-VAL-LOCYYXX-NNN</w:t>
            </w:r>
          </w:p>
        </w:tc>
      </w:tr>
      <w:tr w14:paraId="27C2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2A9D7863">
            <w:pPr>
              <w:keepLines/>
              <w:spacing w:before="0" w:after="0" w:line="240" w:lineRule="auto"/>
              <w:jc w:val="left"/>
            </w:pPr>
            <w:r>
              <w:rPr>
                <w:rFonts w:ascii="Arial" w:hAnsi="Arial" w:eastAsia="Arial"/>
                <w:b/>
                <w:color w:val="1A1A1A"/>
                <w:sz w:val="17"/>
              </w:rPr>
              <w:t>Estate Agent</w:t>
            </w:r>
          </w:p>
        </w:tc>
        <w:tc>
          <w:tcPr>
            <w:tcW w:w="6336" w:type="dxa"/>
            <w:shd w:val="clear" w:color="auto" w:fill="FBFBFB"/>
            <w:tcMar>
              <w:top w:w="90" w:type="dxa"/>
              <w:left w:w="120" w:type="dxa"/>
              <w:bottom w:w="90" w:type="dxa"/>
              <w:right w:w="120" w:type="dxa"/>
            </w:tcMar>
            <w:vAlign w:val="center"/>
          </w:tcPr>
          <w:p w14:paraId="4E1CA052">
            <w:pPr>
              <w:keepLines/>
              <w:spacing w:before="0" w:after="0" w:line="240" w:lineRule="auto"/>
              <w:jc w:val="left"/>
            </w:pPr>
            <w:r>
              <w:rPr>
                <w:rFonts w:ascii="Arial" w:hAnsi="Arial" w:eastAsia="Arial"/>
                <w:b w:val="0"/>
                <w:color w:val="1A1A1A"/>
                <w:sz w:val="17"/>
              </w:rPr>
              <w:t>SBR-AGT-LOCYYXX-NNN</w:t>
            </w:r>
          </w:p>
        </w:tc>
      </w:tr>
      <w:tr w14:paraId="14E5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5F2E67E3">
            <w:pPr>
              <w:keepLines/>
              <w:spacing w:before="0" w:after="0" w:line="240" w:lineRule="auto"/>
              <w:jc w:val="left"/>
            </w:pPr>
            <w:r>
              <w:rPr>
                <w:rFonts w:ascii="Arial" w:hAnsi="Arial" w:eastAsia="Arial"/>
                <w:b/>
                <w:color w:val="1A1A1A"/>
                <w:sz w:val="17"/>
              </w:rPr>
              <w:t>Architect</w:t>
            </w:r>
          </w:p>
        </w:tc>
        <w:tc>
          <w:tcPr>
            <w:tcW w:w="6336" w:type="dxa"/>
            <w:tcMar>
              <w:top w:w="90" w:type="dxa"/>
              <w:left w:w="120" w:type="dxa"/>
              <w:bottom w:w="90" w:type="dxa"/>
              <w:right w:w="120" w:type="dxa"/>
            </w:tcMar>
            <w:vAlign w:val="center"/>
          </w:tcPr>
          <w:p w14:paraId="07A2FE6C">
            <w:pPr>
              <w:keepLines/>
              <w:spacing w:before="0" w:after="0" w:line="240" w:lineRule="auto"/>
              <w:jc w:val="left"/>
            </w:pPr>
            <w:r>
              <w:rPr>
                <w:rFonts w:ascii="Arial" w:hAnsi="Arial" w:eastAsia="Arial"/>
                <w:b w:val="0"/>
                <w:color w:val="1A1A1A"/>
                <w:sz w:val="17"/>
              </w:rPr>
              <w:t>SBR-ARC-LOCYYXX-NNN</w:t>
            </w:r>
          </w:p>
        </w:tc>
      </w:tr>
      <w:tr w14:paraId="212B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4CE62520">
            <w:pPr>
              <w:keepLines/>
              <w:spacing w:before="0" w:after="0" w:line="240" w:lineRule="auto"/>
              <w:jc w:val="left"/>
            </w:pPr>
            <w:r>
              <w:rPr>
                <w:rFonts w:ascii="Arial" w:hAnsi="Arial" w:eastAsia="Arial"/>
                <w:b/>
                <w:color w:val="1A1A1A"/>
                <w:sz w:val="17"/>
              </w:rPr>
              <w:t>Engineer</w:t>
            </w:r>
          </w:p>
        </w:tc>
        <w:tc>
          <w:tcPr>
            <w:tcW w:w="6336" w:type="dxa"/>
            <w:shd w:val="clear" w:color="auto" w:fill="FBFBFB"/>
            <w:tcMar>
              <w:top w:w="90" w:type="dxa"/>
              <w:left w:w="120" w:type="dxa"/>
              <w:bottom w:w="90" w:type="dxa"/>
              <w:right w:w="120" w:type="dxa"/>
            </w:tcMar>
            <w:vAlign w:val="center"/>
          </w:tcPr>
          <w:p w14:paraId="4D9F7B70">
            <w:pPr>
              <w:keepLines/>
              <w:spacing w:before="0" w:after="0" w:line="240" w:lineRule="auto"/>
              <w:jc w:val="left"/>
            </w:pPr>
            <w:r>
              <w:rPr>
                <w:rFonts w:ascii="Arial" w:hAnsi="Arial" w:eastAsia="Arial"/>
                <w:b w:val="0"/>
                <w:color w:val="1A1A1A"/>
                <w:sz w:val="17"/>
              </w:rPr>
              <w:t>SBR-ENG-LOCYYXX-NNN</w:t>
            </w:r>
          </w:p>
        </w:tc>
      </w:tr>
      <w:tr w14:paraId="2FD8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5921EB54">
            <w:pPr>
              <w:keepLines/>
              <w:spacing w:before="0" w:after="0" w:line="240" w:lineRule="auto"/>
              <w:jc w:val="left"/>
            </w:pPr>
            <w:r>
              <w:rPr>
                <w:rFonts w:ascii="Arial" w:hAnsi="Arial" w:eastAsia="Arial"/>
                <w:b/>
                <w:color w:val="1A1A1A"/>
                <w:sz w:val="17"/>
              </w:rPr>
              <w:t>Quantity Surveyor</w:t>
            </w:r>
          </w:p>
        </w:tc>
        <w:tc>
          <w:tcPr>
            <w:tcW w:w="6336" w:type="dxa"/>
            <w:tcMar>
              <w:top w:w="90" w:type="dxa"/>
              <w:left w:w="120" w:type="dxa"/>
              <w:bottom w:w="90" w:type="dxa"/>
              <w:right w:w="120" w:type="dxa"/>
            </w:tcMar>
            <w:vAlign w:val="center"/>
          </w:tcPr>
          <w:p w14:paraId="3A639520">
            <w:pPr>
              <w:keepLines/>
              <w:spacing w:before="0" w:after="0" w:line="240" w:lineRule="auto"/>
              <w:jc w:val="left"/>
            </w:pPr>
            <w:r>
              <w:rPr>
                <w:rFonts w:ascii="Arial" w:hAnsi="Arial" w:eastAsia="Arial"/>
                <w:b w:val="0"/>
                <w:color w:val="1A1A1A"/>
                <w:sz w:val="17"/>
              </w:rPr>
              <w:t>SBR-QSV-LOCYYXX-NNN</w:t>
            </w:r>
          </w:p>
        </w:tc>
      </w:tr>
      <w:tr w14:paraId="3002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014150F6">
            <w:pPr>
              <w:keepLines/>
              <w:spacing w:before="0" w:after="0" w:line="240" w:lineRule="auto"/>
              <w:jc w:val="left"/>
            </w:pPr>
            <w:r>
              <w:rPr>
                <w:rFonts w:ascii="Arial" w:hAnsi="Arial" w:eastAsia="Arial"/>
                <w:b/>
                <w:color w:val="1A1A1A"/>
                <w:sz w:val="17"/>
              </w:rPr>
              <w:t>Builder</w:t>
            </w:r>
          </w:p>
        </w:tc>
        <w:tc>
          <w:tcPr>
            <w:tcW w:w="6336" w:type="dxa"/>
            <w:shd w:val="clear" w:color="auto" w:fill="FBFBFB"/>
            <w:tcMar>
              <w:top w:w="90" w:type="dxa"/>
              <w:left w:w="120" w:type="dxa"/>
              <w:bottom w:w="90" w:type="dxa"/>
              <w:right w:w="120" w:type="dxa"/>
            </w:tcMar>
            <w:vAlign w:val="center"/>
          </w:tcPr>
          <w:p w14:paraId="584A93BD">
            <w:pPr>
              <w:keepLines/>
              <w:spacing w:before="0" w:after="0" w:line="240" w:lineRule="auto"/>
              <w:jc w:val="left"/>
            </w:pPr>
            <w:r>
              <w:rPr>
                <w:rFonts w:ascii="Arial" w:hAnsi="Arial" w:eastAsia="Arial"/>
                <w:b w:val="0"/>
                <w:color w:val="1A1A1A"/>
                <w:sz w:val="17"/>
              </w:rPr>
              <w:t>SBR-BLD-LOCYYXX-NNN</w:t>
            </w:r>
          </w:p>
        </w:tc>
      </w:tr>
      <w:tr w14:paraId="21B9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64FBCF2F">
            <w:pPr>
              <w:keepLines/>
              <w:spacing w:before="0" w:after="0" w:line="240" w:lineRule="auto"/>
              <w:jc w:val="left"/>
            </w:pPr>
            <w:r>
              <w:rPr>
                <w:rFonts w:ascii="Arial" w:hAnsi="Arial" w:eastAsia="Arial"/>
                <w:b/>
                <w:color w:val="1A1A1A"/>
                <w:sz w:val="17"/>
              </w:rPr>
              <w:t>Town Planner</w:t>
            </w:r>
          </w:p>
        </w:tc>
        <w:tc>
          <w:tcPr>
            <w:tcW w:w="6336" w:type="dxa"/>
            <w:tcMar>
              <w:top w:w="90" w:type="dxa"/>
              <w:left w:w="120" w:type="dxa"/>
              <w:bottom w:w="90" w:type="dxa"/>
              <w:right w:w="120" w:type="dxa"/>
            </w:tcMar>
            <w:vAlign w:val="center"/>
          </w:tcPr>
          <w:p w14:paraId="02CC6B7A">
            <w:pPr>
              <w:keepLines/>
              <w:spacing w:before="0" w:after="0" w:line="240" w:lineRule="auto"/>
              <w:jc w:val="left"/>
            </w:pPr>
            <w:r>
              <w:rPr>
                <w:rFonts w:ascii="Arial" w:hAnsi="Arial" w:eastAsia="Arial"/>
                <w:b w:val="0"/>
                <w:color w:val="1A1A1A"/>
                <w:sz w:val="17"/>
              </w:rPr>
              <w:t>SBR-PLN-LOCYYXX-NNN</w:t>
            </w:r>
          </w:p>
        </w:tc>
      </w:tr>
      <w:tr w14:paraId="0E8F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5BC5E972">
            <w:pPr>
              <w:keepLines/>
              <w:spacing w:before="0" w:after="0" w:line="240" w:lineRule="auto"/>
              <w:jc w:val="left"/>
            </w:pPr>
            <w:r>
              <w:rPr>
                <w:rFonts w:ascii="Arial" w:hAnsi="Arial" w:eastAsia="Arial"/>
                <w:b/>
                <w:color w:val="1A1A1A"/>
                <w:sz w:val="17"/>
              </w:rPr>
              <w:t>Project Manager</w:t>
            </w:r>
          </w:p>
        </w:tc>
        <w:tc>
          <w:tcPr>
            <w:tcW w:w="6336" w:type="dxa"/>
            <w:shd w:val="clear" w:color="auto" w:fill="FBFBFB"/>
            <w:tcMar>
              <w:top w:w="90" w:type="dxa"/>
              <w:left w:w="120" w:type="dxa"/>
              <w:bottom w:w="90" w:type="dxa"/>
              <w:right w:w="120" w:type="dxa"/>
            </w:tcMar>
            <w:vAlign w:val="center"/>
          </w:tcPr>
          <w:p w14:paraId="5316E642">
            <w:pPr>
              <w:keepLines/>
              <w:spacing w:before="0" w:after="0" w:line="240" w:lineRule="auto"/>
              <w:jc w:val="left"/>
            </w:pPr>
            <w:r>
              <w:rPr>
                <w:rFonts w:ascii="Arial" w:hAnsi="Arial" w:eastAsia="Arial"/>
                <w:b w:val="0"/>
                <w:color w:val="1A1A1A"/>
                <w:sz w:val="17"/>
              </w:rPr>
              <w:t>SBR-PJM-LOCYYXX-NNN</w:t>
            </w:r>
          </w:p>
        </w:tc>
      </w:tr>
      <w:tr w14:paraId="64C8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53A24BC8">
            <w:pPr>
              <w:keepLines/>
              <w:spacing w:before="0" w:after="0" w:line="240" w:lineRule="auto"/>
              <w:jc w:val="left"/>
            </w:pPr>
            <w:r>
              <w:rPr>
                <w:rFonts w:ascii="Arial" w:hAnsi="Arial" w:eastAsia="Arial"/>
                <w:b/>
                <w:color w:val="1A1A1A"/>
                <w:sz w:val="17"/>
              </w:rPr>
              <w:t>Contractor</w:t>
            </w:r>
          </w:p>
        </w:tc>
        <w:tc>
          <w:tcPr>
            <w:tcW w:w="6336" w:type="dxa"/>
            <w:tcMar>
              <w:top w:w="90" w:type="dxa"/>
              <w:left w:w="120" w:type="dxa"/>
              <w:bottom w:w="90" w:type="dxa"/>
              <w:right w:w="120" w:type="dxa"/>
            </w:tcMar>
            <w:vAlign w:val="center"/>
          </w:tcPr>
          <w:p w14:paraId="2E3659B4">
            <w:pPr>
              <w:keepLines/>
              <w:spacing w:before="0" w:after="0" w:line="240" w:lineRule="auto"/>
              <w:jc w:val="left"/>
            </w:pPr>
            <w:r>
              <w:rPr>
                <w:rFonts w:ascii="Arial" w:hAnsi="Arial" w:eastAsia="Arial"/>
                <w:b w:val="0"/>
                <w:color w:val="1A1A1A"/>
                <w:sz w:val="17"/>
              </w:rPr>
              <w:t>SBR-CON-LOCYYXX-NNN</w:t>
            </w:r>
          </w:p>
        </w:tc>
      </w:tr>
      <w:tr w14:paraId="0D6A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4BC5C2E0">
            <w:pPr>
              <w:keepLines/>
              <w:spacing w:before="0" w:after="0" w:line="240" w:lineRule="auto"/>
              <w:jc w:val="left"/>
            </w:pPr>
            <w:r>
              <w:rPr>
                <w:rFonts w:ascii="Arial" w:hAnsi="Arial" w:eastAsia="Arial"/>
                <w:b/>
                <w:color w:val="1A1A1A"/>
                <w:sz w:val="17"/>
              </w:rPr>
              <w:t>Material Supplier</w:t>
            </w:r>
          </w:p>
        </w:tc>
        <w:tc>
          <w:tcPr>
            <w:tcW w:w="6336" w:type="dxa"/>
            <w:shd w:val="clear" w:color="auto" w:fill="FBFBFB"/>
            <w:tcMar>
              <w:top w:w="90" w:type="dxa"/>
              <w:left w:w="120" w:type="dxa"/>
              <w:bottom w:w="90" w:type="dxa"/>
              <w:right w:w="120" w:type="dxa"/>
            </w:tcMar>
            <w:vAlign w:val="center"/>
          </w:tcPr>
          <w:p w14:paraId="1E2D31FE">
            <w:pPr>
              <w:keepLines/>
              <w:spacing w:before="0" w:after="0" w:line="240" w:lineRule="auto"/>
              <w:jc w:val="left"/>
            </w:pPr>
            <w:r>
              <w:rPr>
                <w:rFonts w:ascii="Arial" w:hAnsi="Arial" w:eastAsia="Arial"/>
                <w:b w:val="0"/>
                <w:color w:val="1A1A1A"/>
                <w:sz w:val="17"/>
              </w:rPr>
              <w:t>SBR-SUP-LOCYYXX-NNN</w:t>
            </w:r>
          </w:p>
        </w:tc>
      </w:tr>
      <w:tr w14:paraId="001C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2488B4BD">
            <w:pPr>
              <w:keepLines/>
              <w:spacing w:before="0" w:after="0" w:line="240" w:lineRule="auto"/>
              <w:jc w:val="left"/>
            </w:pPr>
            <w:r>
              <w:rPr>
                <w:rFonts w:ascii="Arial" w:hAnsi="Arial" w:eastAsia="Arial"/>
                <w:b/>
                <w:color w:val="1A1A1A"/>
                <w:sz w:val="17"/>
              </w:rPr>
              <w:t>Site Security Provider</w:t>
            </w:r>
          </w:p>
        </w:tc>
        <w:tc>
          <w:tcPr>
            <w:tcW w:w="6336" w:type="dxa"/>
            <w:tcMar>
              <w:top w:w="90" w:type="dxa"/>
              <w:left w:w="120" w:type="dxa"/>
              <w:bottom w:w="90" w:type="dxa"/>
              <w:right w:w="120" w:type="dxa"/>
            </w:tcMar>
            <w:vAlign w:val="center"/>
          </w:tcPr>
          <w:p w14:paraId="2F6EED87">
            <w:pPr>
              <w:keepLines/>
              <w:spacing w:before="0" w:after="0" w:line="240" w:lineRule="auto"/>
              <w:jc w:val="left"/>
            </w:pPr>
            <w:r>
              <w:rPr>
                <w:rFonts w:ascii="Arial" w:hAnsi="Arial" w:eastAsia="Arial"/>
                <w:b w:val="0"/>
                <w:color w:val="1A1A1A"/>
                <w:sz w:val="17"/>
              </w:rPr>
              <w:t>SBR-SSP-LOCYYXX-NNN</w:t>
            </w:r>
          </w:p>
        </w:tc>
      </w:tr>
    </w:tbl>
    <w:p w14:paraId="12D18A0B">
      <w:pPr>
        <w:spacing w:after="20"/>
      </w:pPr>
    </w:p>
    <w:p w14:paraId="4CC78577">
      <w:pPr>
        <w:pStyle w:val="3"/>
        <w:keepNext/>
        <w:pageBreakBefore w:val="0"/>
      </w:pPr>
      <w:r>
        <w:t>5.2 ID Generation Rules</w:t>
      </w:r>
    </w:p>
    <w:p w14:paraId="24CB6D80">
      <w:pPr>
        <w:pStyle w:val="23"/>
        <w:spacing w:before="0" w:after="60" w:line="257" w:lineRule="auto"/>
        <w:ind w:left="360" w:hanging="173"/>
      </w:pPr>
      <w:r>
        <w:rPr>
          <w:rFonts w:ascii="Arial" w:hAnsi="Arial" w:eastAsia="Arial"/>
          <w:b w:val="0"/>
          <w:i w:val="0"/>
          <w:color w:val="1A1A1A"/>
          <w:sz w:val="20"/>
        </w:rPr>
        <w:t>All IDs begin with the SBR prefix.</w:t>
      </w:r>
    </w:p>
    <w:p w14:paraId="2894A87B">
      <w:pPr>
        <w:pStyle w:val="23"/>
        <w:spacing w:before="0" w:after="60" w:line="257" w:lineRule="auto"/>
        <w:ind w:left="360" w:hanging="173"/>
      </w:pPr>
      <w:r>
        <w:rPr>
          <w:rFonts w:ascii="Arial" w:hAnsi="Arial" w:eastAsia="Arial"/>
          <w:b w:val="0"/>
          <w:i w:val="0"/>
          <w:color w:val="1A1A1A"/>
          <w:sz w:val="20"/>
        </w:rPr>
        <w:t>The record-type segment identifies the record class.</w:t>
      </w:r>
    </w:p>
    <w:p w14:paraId="2B93A8AC">
      <w:pPr>
        <w:pStyle w:val="23"/>
        <w:spacing w:before="0" w:after="60" w:line="257" w:lineRule="auto"/>
        <w:ind w:left="360" w:hanging="173"/>
      </w:pPr>
      <w:r>
        <w:rPr>
          <w:rFonts w:ascii="Arial" w:hAnsi="Arial" w:eastAsia="Arial"/>
          <w:b w:val="0"/>
          <w:i w:val="0"/>
          <w:color w:val="1A1A1A"/>
          <w:sz w:val="20"/>
        </w:rPr>
        <w:t>Location codes use the approved location register and must not be invented by individual users.</w:t>
      </w:r>
    </w:p>
    <w:p w14:paraId="2C36D9E0">
      <w:pPr>
        <w:pStyle w:val="23"/>
        <w:spacing w:before="0" w:after="60" w:line="257" w:lineRule="auto"/>
        <w:ind w:left="360" w:hanging="173"/>
      </w:pPr>
      <w:r>
        <w:rPr>
          <w:rFonts w:ascii="Arial" w:hAnsi="Arial" w:eastAsia="Arial"/>
          <w:b w:val="0"/>
          <w:i w:val="0"/>
          <w:color w:val="1A1A1A"/>
          <w:sz w:val="20"/>
        </w:rPr>
        <w:t>The date/year segment and sequence must be generated atomically so duplicate IDs cannot be created by simultaneous requests.</w:t>
      </w:r>
    </w:p>
    <w:p w14:paraId="1C3DBD8F">
      <w:pPr>
        <w:pStyle w:val="23"/>
        <w:spacing w:before="0" w:after="60" w:line="257" w:lineRule="auto"/>
        <w:ind w:left="360" w:hanging="173"/>
      </w:pPr>
      <w:r>
        <w:rPr>
          <w:rFonts w:ascii="Arial" w:hAnsi="Arial" w:eastAsia="Arial"/>
          <w:b w:val="0"/>
          <w:i w:val="0"/>
          <w:color w:val="1A1A1A"/>
          <w:sz w:val="20"/>
        </w:rPr>
        <w:t>IDs remain searchable after closure, rejection, archive or soft deletion.</w:t>
      </w:r>
    </w:p>
    <w:p w14:paraId="1022A6DE">
      <w:pPr>
        <w:pStyle w:val="23"/>
        <w:spacing w:before="0" w:after="60" w:line="257" w:lineRule="auto"/>
        <w:ind w:left="360" w:hanging="173"/>
      </w:pPr>
      <w:r>
        <w:rPr>
          <w:rFonts w:ascii="Arial" w:hAnsi="Arial" w:eastAsia="Arial"/>
          <w:b w:val="0"/>
          <w:i w:val="0"/>
          <w:color w:val="1A1A1A"/>
          <w:sz w:val="20"/>
        </w:rPr>
        <w:t>Manual override requires documented approval and an audit event.</w:t>
      </w:r>
    </w:p>
    <w:p w14:paraId="51E62BE8">
      <w:pPr>
        <w:pStyle w:val="23"/>
        <w:spacing w:before="0" w:after="60" w:line="257" w:lineRule="auto"/>
        <w:ind w:left="360" w:hanging="173"/>
      </w:pPr>
      <w:r>
        <w:rPr>
          <w:rFonts w:ascii="Arial" w:hAnsi="Arial" w:eastAsia="Arial"/>
          <w:b w:val="0"/>
          <w:i w:val="0"/>
          <w:color w:val="1A1A1A"/>
          <w:sz w:val="20"/>
        </w:rPr>
        <w:t>Every invoice, receipt, escrow movement, commission, VAT line, reconciliation record and audit log must reference the applicable primary ID.</w:t>
      </w:r>
    </w:p>
    <w:p w14:paraId="37176F38">
      <w:pPr>
        <w:pStyle w:val="2"/>
        <w:keepNext/>
        <w:pageBreakBefore w:val="0"/>
      </w:pPr>
      <w:r>
        <w:t>6. Parent-Child Record Relationships</w:t>
      </w:r>
    </w:p>
    <w:p w14:paraId="0BA6BA9E">
      <w:pPr>
        <w:pStyle w:val="13"/>
        <w:spacing w:before="0" w:after="120" w:line="269" w:lineRule="auto"/>
      </w:pPr>
      <w:r>
        <w:rPr>
          <w:rFonts w:ascii="Arial" w:hAnsi="Arial" w:eastAsia="Arial"/>
          <w:color w:val="1A1A1A"/>
          <w:sz w:val="20"/>
        </w:rPr>
        <w:t>The Main Transaction ID is the parent record for the property deal. The Due Diligence Case ID is the parent record for verification work. Financial records must preserve these relationships so a user can move from a bank receipt to the complete transaction file without manual searching.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160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5C1949"/>
            <w:tcMar>
              <w:top w:w="100" w:type="dxa"/>
              <w:left w:w="120" w:type="dxa"/>
              <w:bottom w:w="100" w:type="dxa"/>
              <w:right w:w="120" w:type="dxa"/>
            </w:tcMar>
            <w:vAlign w:val="center"/>
          </w:tcPr>
          <w:p w14:paraId="1E439246">
            <w:pPr>
              <w:keepLines/>
              <w:spacing w:before="0" w:after="0" w:line="240" w:lineRule="auto"/>
              <w:jc w:val="center"/>
            </w:pPr>
            <w:r>
              <w:rPr>
                <w:rFonts w:ascii="Arial" w:hAnsi="Arial" w:eastAsia="Arial"/>
                <w:b/>
                <w:color w:val="FFFFFF"/>
                <w:sz w:val="17"/>
              </w:rPr>
              <w:t>Parent record</w:t>
            </w:r>
          </w:p>
        </w:tc>
        <w:tc>
          <w:tcPr>
            <w:tcW w:w="7200" w:type="dxa"/>
            <w:shd w:val="clear" w:color="auto" w:fill="5C1949"/>
            <w:tcMar>
              <w:top w:w="100" w:type="dxa"/>
              <w:left w:w="120" w:type="dxa"/>
              <w:bottom w:w="100" w:type="dxa"/>
              <w:right w:w="120" w:type="dxa"/>
            </w:tcMar>
            <w:vAlign w:val="center"/>
          </w:tcPr>
          <w:p w14:paraId="3802649D">
            <w:pPr>
              <w:keepLines/>
              <w:spacing w:before="0" w:after="0" w:line="240" w:lineRule="auto"/>
              <w:jc w:val="center"/>
            </w:pPr>
            <w:r>
              <w:rPr>
                <w:rFonts w:ascii="Arial" w:hAnsi="Arial" w:eastAsia="Arial"/>
                <w:b/>
                <w:color w:val="FFFFFF"/>
                <w:sz w:val="17"/>
              </w:rPr>
              <w:t>Required child links</w:t>
            </w:r>
          </w:p>
        </w:tc>
      </w:tr>
      <w:tr w14:paraId="392BC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90" w:type="dxa"/>
              <w:left w:w="120" w:type="dxa"/>
              <w:bottom w:w="90" w:type="dxa"/>
              <w:right w:w="120" w:type="dxa"/>
            </w:tcMar>
            <w:vAlign w:val="center"/>
          </w:tcPr>
          <w:p w14:paraId="04F8F313">
            <w:pPr>
              <w:keepLines/>
              <w:spacing w:before="0" w:after="0" w:line="240" w:lineRule="auto"/>
              <w:jc w:val="left"/>
            </w:pPr>
            <w:r>
              <w:rPr>
                <w:rFonts w:ascii="Arial" w:hAnsi="Arial" w:eastAsia="Arial"/>
                <w:b/>
                <w:color w:val="1A1A1A"/>
                <w:sz w:val="17"/>
              </w:rPr>
              <w:t>Transaction ID</w:t>
            </w:r>
          </w:p>
        </w:tc>
        <w:tc>
          <w:tcPr>
            <w:tcW w:w="7200" w:type="dxa"/>
            <w:tcMar>
              <w:top w:w="90" w:type="dxa"/>
              <w:left w:w="120" w:type="dxa"/>
              <w:bottom w:w="90" w:type="dxa"/>
              <w:right w:w="120" w:type="dxa"/>
            </w:tcMar>
            <w:vAlign w:val="center"/>
          </w:tcPr>
          <w:p w14:paraId="51DE7E1A">
            <w:pPr>
              <w:keepLines/>
              <w:spacing w:before="0" w:after="0" w:line="240" w:lineRule="auto"/>
              <w:jc w:val="left"/>
            </w:pPr>
            <w:r>
              <w:rPr>
                <w:rFonts w:ascii="Arial" w:hAnsi="Arial" w:eastAsia="Arial"/>
                <w:b w:val="0"/>
                <w:color w:val="1A1A1A"/>
                <w:sz w:val="17"/>
              </w:rPr>
              <w:t>Buyer ID, Seller ID, Property ID, DD Case ID, Escrow ID, professional assignments, invoices, receipts, commission, VAT, release/refund and dispute records</w:t>
            </w:r>
          </w:p>
        </w:tc>
      </w:tr>
      <w:tr w14:paraId="7BF1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BFBFB"/>
            <w:tcMar>
              <w:top w:w="90" w:type="dxa"/>
              <w:left w:w="120" w:type="dxa"/>
              <w:bottom w:w="90" w:type="dxa"/>
              <w:right w:w="120" w:type="dxa"/>
            </w:tcMar>
            <w:vAlign w:val="center"/>
          </w:tcPr>
          <w:p w14:paraId="1CEEB246">
            <w:pPr>
              <w:keepLines/>
              <w:spacing w:before="0" w:after="0" w:line="240" w:lineRule="auto"/>
              <w:jc w:val="left"/>
            </w:pPr>
            <w:r>
              <w:rPr>
                <w:rFonts w:ascii="Arial" w:hAnsi="Arial" w:eastAsia="Arial"/>
                <w:b/>
                <w:color w:val="1A1A1A"/>
                <w:sz w:val="17"/>
              </w:rPr>
              <w:t>Due Diligence Case ID</w:t>
            </w:r>
          </w:p>
        </w:tc>
        <w:tc>
          <w:tcPr>
            <w:tcW w:w="7200" w:type="dxa"/>
            <w:shd w:val="clear" w:color="auto" w:fill="FBFBFB"/>
            <w:tcMar>
              <w:top w:w="90" w:type="dxa"/>
              <w:left w:w="120" w:type="dxa"/>
              <w:bottom w:w="90" w:type="dxa"/>
              <w:right w:w="120" w:type="dxa"/>
            </w:tcMar>
            <w:vAlign w:val="center"/>
          </w:tcPr>
          <w:p w14:paraId="2E959760">
            <w:pPr>
              <w:keepLines/>
              <w:spacing w:before="0" w:after="0" w:line="240" w:lineRule="auto"/>
              <w:jc w:val="left"/>
            </w:pPr>
            <w:r>
              <w:rPr>
                <w:rFonts w:ascii="Arial" w:hAnsi="Arial" w:eastAsia="Arial"/>
                <w:b w:val="0"/>
                <w:color w:val="1A1A1A"/>
                <w:sz w:val="17"/>
              </w:rPr>
              <w:t>Legal, environmental, security, inspection and specialist verification IDs</w:t>
            </w:r>
          </w:p>
        </w:tc>
      </w:tr>
      <w:tr w14:paraId="6E38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90" w:type="dxa"/>
              <w:left w:w="120" w:type="dxa"/>
              <w:bottom w:w="90" w:type="dxa"/>
              <w:right w:w="120" w:type="dxa"/>
            </w:tcMar>
            <w:vAlign w:val="center"/>
          </w:tcPr>
          <w:p w14:paraId="290FD4E4">
            <w:pPr>
              <w:keepLines/>
              <w:spacing w:before="0" w:after="0" w:line="240" w:lineRule="auto"/>
              <w:jc w:val="left"/>
            </w:pPr>
            <w:r>
              <w:rPr>
                <w:rFonts w:ascii="Arial" w:hAnsi="Arial" w:eastAsia="Arial"/>
                <w:b/>
                <w:color w:val="1A1A1A"/>
                <w:sz w:val="17"/>
              </w:rPr>
              <w:t>Escrow ID</w:t>
            </w:r>
          </w:p>
        </w:tc>
        <w:tc>
          <w:tcPr>
            <w:tcW w:w="7200" w:type="dxa"/>
            <w:tcMar>
              <w:top w:w="90" w:type="dxa"/>
              <w:left w:w="120" w:type="dxa"/>
              <w:bottom w:w="90" w:type="dxa"/>
              <w:right w:w="120" w:type="dxa"/>
            </w:tcMar>
            <w:vAlign w:val="center"/>
          </w:tcPr>
          <w:p w14:paraId="4AA9481A">
            <w:pPr>
              <w:keepLines/>
              <w:spacing w:before="0" w:after="0" w:line="240" w:lineRule="auto"/>
              <w:jc w:val="left"/>
            </w:pPr>
            <w:r>
              <w:rPr>
                <w:rFonts w:ascii="Arial" w:hAnsi="Arial" w:eastAsia="Arial"/>
                <w:b w:val="0"/>
                <w:color w:val="1A1A1A"/>
                <w:sz w:val="17"/>
              </w:rPr>
              <w:t>Deposit events, allocation lines, beneficiary, approvals, seller release, refund, hold, reconciliation and statement evidence</w:t>
            </w:r>
          </w:p>
        </w:tc>
      </w:tr>
      <w:tr w14:paraId="60C6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BFBFB"/>
            <w:tcMar>
              <w:top w:w="90" w:type="dxa"/>
              <w:left w:w="120" w:type="dxa"/>
              <w:bottom w:w="90" w:type="dxa"/>
              <w:right w:w="120" w:type="dxa"/>
            </w:tcMar>
            <w:vAlign w:val="center"/>
          </w:tcPr>
          <w:p w14:paraId="2B6F66CE">
            <w:pPr>
              <w:keepLines/>
              <w:spacing w:before="0" w:after="0" w:line="240" w:lineRule="auto"/>
              <w:jc w:val="left"/>
            </w:pPr>
            <w:r>
              <w:rPr>
                <w:rFonts w:ascii="Arial" w:hAnsi="Arial" w:eastAsia="Arial"/>
                <w:b/>
                <w:color w:val="1A1A1A"/>
                <w:sz w:val="17"/>
              </w:rPr>
              <w:t>Professional ID</w:t>
            </w:r>
          </w:p>
        </w:tc>
        <w:tc>
          <w:tcPr>
            <w:tcW w:w="7200" w:type="dxa"/>
            <w:shd w:val="clear" w:color="auto" w:fill="FBFBFB"/>
            <w:tcMar>
              <w:top w:w="90" w:type="dxa"/>
              <w:left w:w="120" w:type="dxa"/>
              <w:bottom w:w="90" w:type="dxa"/>
              <w:right w:w="120" w:type="dxa"/>
            </w:tcMar>
            <w:vAlign w:val="center"/>
          </w:tcPr>
          <w:p w14:paraId="6C5E721D">
            <w:pPr>
              <w:keepLines/>
              <w:spacing w:before="0" w:after="0" w:line="240" w:lineRule="auto"/>
              <w:jc w:val="left"/>
            </w:pPr>
            <w:r>
              <w:rPr>
                <w:rFonts w:ascii="Arial" w:hAnsi="Arial" w:eastAsia="Arial"/>
                <w:b w:val="0"/>
                <w:color w:val="1A1A1A"/>
                <w:sz w:val="17"/>
              </w:rPr>
              <w:t>Assignments, cases, invoices, commission events, reports and performance records</w:t>
            </w:r>
          </w:p>
        </w:tc>
      </w:tr>
      <w:tr w14:paraId="43D4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90" w:type="dxa"/>
              <w:left w:w="120" w:type="dxa"/>
              <w:bottom w:w="90" w:type="dxa"/>
              <w:right w:w="120" w:type="dxa"/>
            </w:tcMar>
            <w:vAlign w:val="center"/>
          </w:tcPr>
          <w:p w14:paraId="1327F2D1">
            <w:pPr>
              <w:keepLines/>
              <w:spacing w:before="0" w:after="0" w:line="240" w:lineRule="auto"/>
              <w:jc w:val="left"/>
            </w:pPr>
            <w:r>
              <w:rPr>
                <w:rFonts w:ascii="Arial" w:hAnsi="Arial" w:eastAsia="Arial"/>
                <w:b/>
                <w:color w:val="1A1A1A"/>
                <w:sz w:val="17"/>
              </w:rPr>
              <w:t>Property ID</w:t>
            </w:r>
          </w:p>
        </w:tc>
        <w:tc>
          <w:tcPr>
            <w:tcW w:w="7200" w:type="dxa"/>
            <w:tcMar>
              <w:top w:w="90" w:type="dxa"/>
              <w:left w:w="120" w:type="dxa"/>
              <w:bottom w:w="90" w:type="dxa"/>
              <w:right w:w="120" w:type="dxa"/>
            </w:tcMar>
            <w:vAlign w:val="center"/>
          </w:tcPr>
          <w:p w14:paraId="63F71859">
            <w:pPr>
              <w:keepLines/>
              <w:spacing w:before="0" w:after="0" w:line="240" w:lineRule="auto"/>
              <w:jc w:val="left"/>
            </w:pPr>
            <w:r>
              <w:rPr>
                <w:rFonts w:ascii="Arial" w:hAnsi="Arial" w:eastAsia="Arial"/>
                <w:b w:val="0"/>
                <w:color w:val="1A1A1A"/>
                <w:sz w:val="17"/>
              </w:rPr>
              <w:t>Listing, title documents, images, inspections, DD history and transactions</w:t>
            </w:r>
          </w:p>
        </w:tc>
      </w:tr>
    </w:tbl>
    <w:p w14:paraId="1C5C3B03">
      <w:pPr>
        <w:spacing w:after="20"/>
      </w:pPr>
    </w:p>
    <w:p w14:paraId="2FD0DB3E">
      <w:pPr>
        <w:spacing w:before="20" w:after="60" w:line="259" w:lineRule="auto"/>
      </w:pPr>
      <w:r>
        <w:rPr>
          <w:rFonts w:ascii="Arial" w:hAnsi="Arial" w:eastAsia="Arial"/>
          <w:b/>
          <w:i w:val="0"/>
          <w:color w:val="0F6B77"/>
          <w:sz w:val="19"/>
        </w:rPr>
        <w:t>Required transaction bundle</w:t>
      </w:r>
    </w:p>
    <w:tbl>
      <w:tblPr>
        <w:tblStyle w:val="12"/>
        <w:tblW w:w="0" w:type="auto"/>
        <w:jc w:val="center"/>
        <w:tblLayout w:type="fixed"/>
        <w:tblCellMar>
          <w:top w:w="0" w:type="dxa"/>
          <w:left w:w="108" w:type="dxa"/>
          <w:bottom w:w="0" w:type="dxa"/>
          <w:right w:w="108" w:type="dxa"/>
        </w:tblCellMar>
      </w:tblPr>
      <w:tblGrid>
        <w:gridCol w:w="10166"/>
      </w:tblGrid>
      <w:tr w14:paraId="09A9B3B3">
        <w:tblPrEx>
          <w:tblCellMar>
            <w:top w:w="0" w:type="dxa"/>
            <w:left w:w="108" w:type="dxa"/>
            <w:bottom w:w="0" w:type="dxa"/>
            <w:right w:w="108" w:type="dxa"/>
          </w:tblCellMar>
        </w:tblPrEx>
        <w:trPr>
          <w:jc w:val="center"/>
        </w:trPr>
        <w:tc>
          <w:tcPr>
            <w:tcW w:w="10166" w:type="dxa"/>
            <w:tcBorders>
              <w:top w:val="single" w:color="C9CDD0" w:sz="6" w:space="0"/>
              <w:left w:val="single" w:color="C9CDD0" w:sz="6" w:space="0"/>
              <w:bottom w:val="single" w:color="C9CDD0" w:sz="6" w:space="0"/>
              <w:right w:val="single" w:color="C9CDD0" w:sz="6" w:space="0"/>
            </w:tcBorders>
            <w:shd w:val="clear" w:color="auto" w:fill="F7F7F7"/>
            <w:tcMar>
              <w:top w:w="130" w:type="dxa"/>
              <w:left w:w="160" w:type="dxa"/>
              <w:bottom w:w="130" w:type="dxa"/>
              <w:right w:w="160" w:type="dxa"/>
            </w:tcMar>
          </w:tcPr>
          <w:p w14:paraId="0DD3ED73">
            <w:pPr>
              <w:keepLines/>
              <w:spacing w:before="0" w:after="0" w:line="240" w:lineRule="auto"/>
            </w:pPr>
            <w:r>
              <w:rPr>
                <w:rFonts w:ascii="Courier New" w:hAnsi="Courier New" w:eastAsia="Courier New"/>
                <w:color w:val="1A1A1A"/>
                <w:sz w:val="17"/>
              </w:rPr>
              <w:t>SBR-TXN-20260803-001</w:t>
            </w:r>
            <w:r>
              <w:rPr>
                <w:rFonts w:ascii="Arial" w:hAnsi="Arial" w:eastAsia="Arial"/>
                <w:sz w:val="18"/>
              </w:rPr>
              <w:br w:type="textWrapping"/>
            </w:r>
            <w:r>
              <w:rPr>
                <w:rFonts w:ascii="Courier New" w:hAnsi="Courier New" w:eastAsia="Courier New"/>
                <w:color w:val="1A1A1A"/>
                <w:sz w:val="17"/>
              </w:rPr>
              <w:t xml:space="preserve">  |- SBR-BUY-LEK-20260803-001</w:t>
            </w:r>
            <w:r>
              <w:rPr>
                <w:rFonts w:ascii="Arial" w:hAnsi="Arial" w:eastAsia="Arial"/>
                <w:sz w:val="18"/>
              </w:rPr>
              <w:br w:type="textWrapping"/>
            </w:r>
            <w:r>
              <w:rPr>
                <w:rFonts w:ascii="Courier New" w:hAnsi="Courier New" w:eastAsia="Courier New"/>
                <w:color w:val="1A1A1A"/>
                <w:sz w:val="17"/>
              </w:rPr>
              <w:t xml:space="preserve">  |- SBR-SEL-LEK-20260803-001</w:t>
            </w:r>
            <w:r>
              <w:rPr>
                <w:rFonts w:ascii="Arial" w:hAnsi="Arial" w:eastAsia="Arial"/>
                <w:sz w:val="18"/>
              </w:rPr>
              <w:br w:type="textWrapping"/>
            </w:r>
            <w:r>
              <w:rPr>
                <w:rFonts w:ascii="Courier New" w:hAnsi="Courier New" w:eastAsia="Courier New"/>
                <w:color w:val="1A1A1A"/>
                <w:sz w:val="17"/>
              </w:rPr>
              <w:t xml:space="preserve">  |- SBR-PROP-LEK-2026-00001</w:t>
            </w:r>
            <w:r>
              <w:rPr>
                <w:rFonts w:ascii="Arial" w:hAnsi="Arial" w:eastAsia="Arial"/>
                <w:sz w:val="18"/>
              </w:rPr>
              <w:br w:type="textWrapping"/>
            </w:r>
            <w:r>
              <w:rPr>
                <w:rFonts w:ascii="Courier New" w:hAnsi="Courier New" w:eastAsia="Courier New"/>
                <w:color w:val="1A1A1A"/>
                <w:sz w:val="17"/>
              </w:rPr>
              <w:t xml:space="preserve">  |- SBR-CASE-DD-LEK-20260803-001</w:t>
            </w:r>
            <w:r>
              <w:rPr>
                <w:rFonts w:ascii="Arial" w:hAnsi="Arial" w:eastAsia="Arial"/>
                <w:sz w:val="18"/>
              </w:rPr>
              <w:br w:type="textWrapping"/>
            </w:r>
            <w:r>
              <w:rPr>
                <w:rFonts w:ascii="Courier New" w:hAnsi="Courier New" w:eastAsia="Courier New"/>
                <w:color w:val="1A1A1A"/>
                <w:sz w:val="17"/>
              </w:rPr>
              <w:t xml:space="preserve">  |    |- SBR-CASE-LV-LEK-20260803-001</w:t>
            </w:r>
            <w:r>
              <w:rPr>
                <w:rFonts w:ascii="Arial" w:hAnsi="Arial" w:eastAsia="Arial"/>
                <w:sz w:val="18"/>
              </w:rPr>
              <w:br w:type="textWrapping"/>
            </w:r>
            <w:r>
              <w:rPr>
                <w:rFonts w:ascii="Courier New" w:hAnsi="Courier New" w:eastAsia="Courier New"/>
                <w:color w:val="1A1A1A"/>
                <w:sz w:val="17"/>
              </w:rPr>
              <w:t xml:space="preserve">  |    |- SBR-INSP-LEK-20260803-001</w:t>
            </w:r>
            <w:r>
              <w:rPr>
                <w:rFonts w:ascii="Arial" w:hAnsi="Arial" w:eastAsia="Arial"/>
                <w:sz w:val="18"/>
              </w:rPr>
              <w:br w:type="textWrapping"/>
            </w:r>
            <w:r>
              <w:rPr>
                <w:rFonts w:ascii="Courier New" w:hAnsi="Courier New" w:eastAsia="Courier New"/>
                <w:color w:val="1A1A1A"/>
                <w:sz w:val="17"/>
              </w:rPr>
              <w:t xml:space="preserve">  |    |- SBR-CASE-ENV-LEK-20260803-001</w:t>
            </w:r>
            <w:r>
              <w:rPr>
                <w:rFonts w:ascii="Arial" w:hAnsi="Arial" w:eastAsia="Arial"/>
                <w:sz w:val="18"/>
              </w:rPr>
              <w:br w:type="textWrapping"/>
            </w:r>
            <w:r>
              <w:rPr>
                <w:rFonts w:ascii="Courier New" w:hAnsi="Courier New" w:eastAsia="Courier New"/>
                <w:color w:val="1A1A1A"/>
                <w:sz w:val="17"/>
              </w:rPr>
              <w:t xml:space="preserve">  |    `- SBR-CASE-SEC-LEK-20260803-001</w:t>
            </w:r>
            <w:r>
              <w:rPr>
                <w:rFonts w:ascii="Arial" w:hAnsi="Arial" w:eastAsia="Arial"/>
                <w:sz w:val="18"/>
              </w:rPr>
              <w:br w:type="textWrapping"/>
            </w:r>
            <w:r>
              <w:rPr>
                <w:rFonts w:ascii="Courier New" w:hAnsi="Courier New" w:eastAsia="Courier New"/>
                <w:color w:val="1A1A1A"/>
                <w:sz w:val="17"/>
              </w:rPr>
              <w:t xml:space="preserve">  `- SBR-ESC-LEK-20260803-001</w:t>
            </w:r>
          </w:p>
        </w:tc>
      </w:tr>
    </w:tbl>
    <w:p w14:paraId="54D9CF31">
      <w:pPr>
        <w:spacing w:after="20"/>
      </w:pPr>
    </w:p>
    <w:p w14:paraId="6186CBD4">
      <w:pPr>
        <w:pStyle w:val="3"/>
        <w:keepNext/>
        <w:pageBreakBefore w:val="0"/>
      </w:pPr>
      <w:r>
        <w:t>6.1 File Naming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6C9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40" w:type="dxa"/>
            <w:shd w:val="clear" w:color="auto" w:fill="5C1949"/>
            <w:tcMar>
              <w:top w:w="100" w:type="dxa"/>
              <w:left w:w="120" w:type="dxa"/>
              <w:bottom w:w="100" w:type="dxa"/>
              <w:right w:w="120" w:type="dxa"/>
            </w:tcMar>
            <w:vAlign w:val="center"/>
          </w:tcPr>
          <w:p w14:paraId="4AF9026C">
            <w:pPr>
              <w:keepLines/>
              <w:spacing w:before="0" w:after="0" w:line="240" w:lineRule="auto"/>
              <w:jc w:val="center"/>
            </w:pPr>
            <w:r>
              <w:rPr>
                <w:rFonts w:ascii="Arial" w:hAnsi="Arial" w:eastAsia="Arial"/>
                <w:b/>
                <w:color w:val="FFFFFF"/>
                <w:sz w:val="17"/>
              </w:rPr>
              <w:t>Document</w:t>
            </w:r>
          </w:p>
        </w:tc>
        <w:tc>
          <w:tcPr>
            <w:tcW w:w="6552" w:type="dxa"/>
            <w:shd w:val="clear" w:color="auto" w:fill="5C1949"/>
            <w:tcMar>
              <w:top w:w="100" w:type="dxa"/>
              <w:left w:w="120" w:type="dxa"/>
              <w:bottom w:w="100" w:type="dxa"/>
              <w:right w:w="120" w:type="dxa"/>
            </w:tcMar>
            <w:vAlign w:val="center"/>
          </w:tcPr>
          <w:p w14:paraId="27FEE6D5">
            <w:pPr>
              <w:keepLines/>
              <w:spacing w:before="0" w:after="0" w:line="240" w:lineRule="auto"/>
              <w:jc w:val="center"/>
            </w:pPr>
            <w:r>
              <w:rPr>
                <w:rFonts w:ascii="Arial" w:hAnsi="Arial" w:eastAsia="Arial"/>
                <w:b/>
                <w:color w:val="FFFFFF"/>
                <w:sz w:val="17"/>
              </w:rPr>
              <w:t>Required naming pattern</w:t>
            </w:r>
          </w:p>
        </w:tc>
      </w:tr>
      <w:tr w14:paraId="66F2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tcMar>
              <w:top w:w="90" w:type="dxa"/>
              <w:left w:w="120" w:type="dxa"/>
              <w:bottom w:w="90" w:type="dxa"/>
              <w:right w:w="120" w:type="dxa"/>
            </w:tcMar>
            <w:vAlign w:val="center"/>
          </w:tcPr>
          <w:p w14:paraId="25FCBB11">
            <w:pPr>
              <w:keepLines/>
              <w:spacing w:before="0" w:after="0" w:line="240" w:lineRule="auto"/>
              <w:jc w:val="left"/>
            </w:pPr>
            <w:r>
              <w:rPr>
                <w:rFonts w:ascii="Arial" w:hAnsi="Arial" w:eastAsia="Arial"/>
                <w:b/>
                <w:color w:val="1A1A1A"/>
                <w:sz w:val="17"/>
              </w:rPr>
              <w:t>Buyer form</w:t>
            </w:r>
          </w:p>
        </w:tc>
        <w:tc>
          <w:tcPr>
            <w:tcW w:w="6552" w:type="dxa"/>
            <w:tcMar>
              <w:top w:w="90" w:type="dxa"/>
              <w:left w:w="120" w:type="dxa"/>
              <w:bottom w:w="90" w:type="dxa"/>
              <w:right w:w="120" w:type="dxa"/>
            </w:tcMar>
            <w:vAlign w:val="center"/>
          </w:tcPr>
          <w:p w14:paraId="62983725">
            <w:pPr>
              <w:keepLines/>
              <w:spacing w:before="0" w:after="0" w:line="240" w:lineRule="auto"/>
              <w:jc w:val="left"/>
            </w:pPr>
            <w:r>
              <w:rPr>
                <w:rFonts w:ascii="Arial" w:hAnsi="Arial" w:eastAsia="Arial"/>
                <w:b w:val="0"/>
                <w:color w:val="1A1A1A"/>
                <w:sz w:val="17"/>
              </w:rPr>
              <w:t>BUYER_ID_BUYER_INFORMATION_FORM_YYYYMMDD_V#</w:t>
            </w:r>
          </w:p>
        </w:tc>
      </w:tr>
      <w:tr w14:paraId="3594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shd w:val="clear" w:color="auto" w:fill="FBFBFB"/>
            <w:tcMar>
              <w:top w:w="90" w:type="dxa"/>
              <w:left w:w="120" w:type="dxa"/>
              <w:bottom w:w="90" w:type="dxa"/>
              <w:right w:w="120" w:type="dxa"/>
            </w:tcMar>
            <w:vAlign w:val="center"/>
          </w:tcPr>
          <w:p w14:paraId="079CEC2C">
            <w:pPr>
              <w:keepLines/>
              <w:spacing w:before="0" w:after="0" w:line="240" w:lineRule="auto"/>
              <w:jc w:val="left"/>
            </w:pPr>
            <w:r>
              <w:rPr>
                <w:rFonts w:ascii="Arial" w:hAnsi="Arial" w:eastAsia="Arial"/>
                <w:b/>
                <w:color w:val="1A1A1A"/>
                <w:sz w:val="17"/>
              </w:rPr>
              <w:t>Seller form</w:t>
            </w:r>
          </w:p>
        </w:tc>
        <w:tc>
          <w:tcPr>
            <w:tcW w:w="6552" w:type="dxa"/>
            <w:shd w:val="clear" w:color="auto" w:fill="FBFBFB"/>
            <w:tcMar>
              <w:top w:w="90" w:type="dxa"/>
              <w:left w:w="120" w:type="dxa"/>
              <w:bottom w:w="90" w:type="dxa"/>
              <w:right w:w="120" w:type="dxa"/>
            </w:tcMar>
            <w:vAlign w:val="center"/>
          </w:tcPr>
          <w:p w14:paraId="1F437D9B">
            <w:pPr>
              <w:keepLines/>
              <w:spacing w:before="0" w:after="0" w:line="240" w:lineRule="auto"/>
              <w:jc w:val="left"/>
            </w:pPr>
            <w:r>
              <w:rPr>
                <w:rFonts w:ascii="Arial" w:hAnsi="Arial" w:eastAsia="Arial"/>
                <w:b w:val="0"/>
                <w:color w:val="1A1A1A"/>
                <w:sz w:val="17"/>
              </w:rPr>
              <w:t>SELLER_ID_SELLER_INFORMATION_FORM_YYYYMMDD_V#</w:t>
            </w:r>
          </w:p>
        </w:tc>
      </w:tr>
      <w:tr w14:paraId="0C8F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tcMar>
              <w:top w:w="90" w:type="dxa"/>
              <w:left w:w="120" w:type="dxa"/>
              <w:bottom w:w="90" w:type="dxa"/>
              <w:right w:w="120" w:type="dxa"/>
            </w:tcMar>
            <w:vAlign w:val="center"/>
          </w:tcPr>
          <w:p w14:paraId="72465E90">
            <w:pPr>
              <w:keepLines/>
              <w:spacing w:before="0" w:after="0" w:line="240" w:lineRule="auto"/>
              <w:jc w:val="left"/>
            </w:pPr>
            <w:r>
              <w:rPr>
                <w:rFonts w:ascii="Arial" w:hAnsi="Arial" w:eastAsia="Arial"/>
                <w:b/>
                <w:color w:val="1A1A1A"/>
                <w:sz w:val="17"/>
              </w:rPr>
              <w:t>Due-diligence report</w:t>
            </w:r>
          </w:p>
        </w:tc>
        <w:tc>
          <w:tcPr>
            <w:tcW w:w="6552" w:type="dxa"/>
            <w:tcMar>
              <w:top w:w="90" w:type="dxa"/>
              <w:left w:w="120" w:type="dxa"/>
              <w:bottom w:w="90" w:type="dxa"/>
              <w:right w:w="120" w:type="dxa"/>
            </w:tcMar>
            <w:vAlign w:val="center"/>
          </w:tcPr>
          <w:p w14:paraId="4BF5850A">
            <w:pPr>
              <w:keepLines/>
              <w:spacing w:before="0" w:after="0" w:line="240" w:lineRule="auto"/>
              <w:jc w:val="left"/>
            </w:pPr>
            <w:r>
              <w:rPr>
                <w:rFonts w:ascii="Arial" w:hAnsi="Arial" w:eastAsia="Arial"/>
                <w:b w:val="0"/>
                <w:color w:val="1A1A1A"/>
                <w:sz w:val="17"/>
              </w:rPr>
              <w:t>DD_CASE_ID_FINAL_DD_REPORT_YYYYMMDD_V#</w:t>
            </w:r>
          </w:p>
        </w:tc>
      </w:tr>
      <w:tr w14:paraId="6064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shd w:val="clear" w:color="auto" w:fill="FBFBFB"/>
            <w:tcMar>
              <w:top w:w="90" w:type="dxa"/>
              <w:left w:w="120" w:type="dxa"/>
              <w:bottom w:w="90" w:type="dxa"/>
              <w:right w:w="120" w:type="dxa"/>
            </w:tcMar>
            <w:vAlign w:val="center"/>
          </w:tcPr>
          <w:p w14:paraId="58795953">
            <w:pPr>
              <w:keepLines/>
              <w:spacing w:before="0" w:after="0" w:line="240" w:lineRule="auto"/>
              <w:jc w:val="left"/>
            </w:pPr>
            <w:r>
              <w:rPr>
                <w:rFonts w:ascii="Arial" w:hAnsi="Arial" w:eastAsia="Arial"/>
                <w:b/>
                <w:color w:val="1A1A1A"/>
                <w:sz w:val="17"/>
              </w:rPr>
              <w:t>Inspection report</w:t>
            </w:r>
          </w:p>
        </w:tc>
        <w:tc>
          <w:tcPr>
            <w:tcW w:w="6552" w:type="dxa"/>
            <w:shd w:val="clear" w:color="auto" w:fill="FBFBFB"/>
            <w:tcMar>
              <w:top w:w="90" w:type="dxa"/>
              <w:left w:w="120" w:type="dxa"/>
              <w:bottom w:w="90" w:type="dxa"/>
              <w:right w:w="120" w:type="dxa"/>
            </w:tcMar>
            <w:vAlign w:val="center"/>
          </w:tcPr>
          <w:p w14:paraId="57E839A4">
            <w:pPr>
              <w:keepLines/>
              <w:spacing w:before="0" w:after="0" w:line="240" w:lineRule="auto"/>
              <w:jc w:val="left"/>
            </w:pPr>
            <w:r>
              <w:rPr>
                <w:rFonts w:ascii="Arial" w:hAnsi="Arial" w:eastAsia="Arial"/>
                <w:b w:val="0"/>
                <w:color w:val="1A1A1A"/>
                <w:sz w:val="17"/>
              </w:rPr>
              <w:t>INSPECTION_ID_PHYSICAL_INSPECTION_REPORT_YYYYMMDD_V#</w:t>
            </w:r>
          </w:p>
        </w:tc>
      </w:tr>
      <w:tr w14:paraId="2F04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tcMar>
              <w:top w:w="90" w:type="dxa"/>
              <w:left w:w="120" w:type="dxa"/>
              <w:bottom w:w="90" w:type="dxa"/>
              <w:right w:w="120" w:type="dxa"/>
            </w:tcMar>
            <w:vAlign w:val="center"/>
          </w:tcPr>
          <w:p w14:paraId="73917262">
            <w:pPr>
              <w:keepLines/>
              <w:spacing w:before="0" w:after="0" w:line="240" w:lineRule="auto"/>
              <w:jc w:val="left"/>
            </w:pPr>
            <w:r>
              <w:rPr>
                <w:rFonts w:ascii="Arial" w:hAnsi="Arial" w:eastAsia="Arial"/>
                <w:b/>
                <w:color w:val="1A1A1A"/>
                <w:sz w:val="17"/>
              </w:rPr>
              <w:t>Escrow confirmation</w:t>
            </w:r>
          </w:p>
        </w:tc>
        <w:tc>
          <w:tcPr>
            <w:tcW w:w="6552" w:type="dxa"/>
            <w:tcMar>
              <w:top w:w="90" w:type="dxa"/>
              <w:left w:w="120" w:type="dxa"/>
              <w:bottom w:w="90" w:type="dxa"/>
              <w:right w:w="120" w:type="dxa"/>
            </w:tcMar>
            <w:vAlign w:val="center"/>
          </w:tcPr>
          <w:p w14:paraId="6714B355">
            <w:pPr>
              <w:keepLines/>
              <w:spacing w:before="0" w:after="0" w:line="240" w:lineRule="auto"/>
              <w:jc w:val="left"/>
            </w:pPr>
            <w:r>
              <w:rPr>
                <w:rFonts w:ascii="Arial" w:hAnsi="Arial" w:eastAsia="Arial"/>
                <w:b w:val="0"/>
                <w:color w:val="1A1A1A"/>
                <w:sz w:val="17"/>
              </w:rPr>
              <w:t>ESCROW_ID_ESCROW_CONFIRMATION_YYYYMMDD_V#</w:t>
            </w:r>
          </w:p>
        </w:tc>
      </w:tr>
      <w:tr w14:paraId="42E8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shd w:val="clear" w:color="auto" w:fill="FBFBFB"/>
            <w:tcMar>
              <w:top w:w="90" w:type="dxa"/>
              <w:left w:w="120" w:type="dxa"/>
              <w:bottom w:w="90" w:type="dxa"/>
              <w:right w:w="120" w:type="dxa"/>
            </w:tcMar>
            <w:vAlign w:val="center"/>
          </w:tcPr>
          <w:p w14:paraId="54505DE5">
            <w:pPr>
              <w:keepLines/>
              <w:spacing w:before="0" w:after="0" w:line="240" w:lineRule="auto"/>
              <w:jc w:val="left"/>
            </w:pPr>
            <w:r>
              <w:rPr>
                <w:rFonts w:ascii="Arial" w:hAnsi="Arial" w:eastAsia="Arial"/>
                <w:b/>
                <w:color w:val="1A1A1A"/>
                <w:sz w:val="17"/>
              </w:rPr>
              <w:t>Seller settlement statement</w:t>
            </w:r>
          </w:p>
        </w:tc>
        <w:tc>
          <w:tcPr>
            <w:tcW w:w="6552" w:type="dxa"/>
            <w:shd w:val="clear" w:color="auto" w:fill="FBFBFB"/>
            <w:tcMar>
              <w:top w:w="90" w:type="dxa"/>
              <w:left w:w="120" w:type="dxa"/>
              <w:bottom w:w="90" w:type="dxa"/>
              <w:right w:w="120" w:type="dxa"/>
            </w:tcMar>
            <w:vAlign w:val="center"/>
          </w:tcPr>
          <w:p w14:paraId="12836D50">
            <w:pPr>
              <w:keepLines/>
              <w:spacing w:before="0" w:after="0" w:line="240" w:lineRule="auto"/>
              <w:jc w:val="left"/>
            </w:pPr>
            <w:r>
              <w:rPr>
                <w:rFonts w:ascii="Arial" w:hAnsi="Arial" w:eastAsia="Arial"/>
                <w:b w:val="0"/>
                <w:color w:val="1A1A1A"/>
                <w:sz w:val="17"/>
              </w:rPr>
              <w:t>ESCROW_ID_SELLER_SETTLEMENT_STATEMENT_YYYYMMDD_V#</w:t>
            </w:r>
          </w:p>
        </w:tc>
      </w:tr>
      <w:tr w14:paraId="0FE2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tcMar>
              <w:top w:w="90" w:type="dxa"/>
              <w:left w:w="120" w:type="dxa"/>
              <w:bottom w:w="90" w:type="dxa"/>
              <w:right w:w="120" w:type="dxa"/>
            </w:tcMar>
            <w:vAlign w:val="center"/>
          </w:tcPr>
          <w:p w14:paraId="33B8ECDB">
            <w:pPr>
              <w:keepLines/>
              <w:spacing w:before="0" w:after="0" w:line="240" w:lineRule="auto"/>
              <w:jc w:val="left"/>
            </w:pPr>
            <w:r>
              <w:rPr>
                <w:rFonts w:ascii="Arial" w:hAnsi="Arial" w:eastAsia="Arial"/>
                <w:b/>
                <w:color w:val="1A1A1A"/>
                <w:sz w:val="17"/>
              </w:rPr>
              <w:t>Commission invoice</w:t>
            </w:r>
          </w:p>
        </w:tc>
        <w:tc>
          <w:tcPr>
            <w:tcW w:w="6552" w:type="dxa"/>
            <w:tcMar>
              <w:top w:w="90" w:type="dxa"/>
              <w:left w:w="120" w:type="dxa"/>
              <w:bottom w:w="90" w:type="dxa"/>
              <w:right w:w="120" w:type="dxa"/>
            </w:tcMar>
            <w:vAlign w:val="center"/>
          </w:tcPr>
          <w:p w14:paraId="259CCA43">
            <w:pPr>
              <w:keepLines/>
              <w:spacing w:before="0" w:after="0" w:line="240" w:lineRule="auto"/>
              <w:jc w:val="left"/>
            </w:pPr>
            <w:r>
              <w:rPr>
                <w:rFonts w:ascii="Arial" w:hAnsi="Arial" w:eastAsia="Arial"/>
                <w:b w:val="0"/>
                <w:color w:val="1A1A1A"/>
                <w:sz w:val="17"/>
              </w:rPr>
              <w:t>TRANSACTION_ID_COMMISSION_INVOICE_YYYYMMDD_V#</w:t>
            </w:r>
          </w:p>
        </w:tc>
      </w:tr>
      <w:tr w14:paraId="4708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40" w:type="dxa"/>
            <w:shd w:val="clear" w:color="auto" w:fill="FBFBFB"/>
            <w:tcMar>
              <w:top w:w="90" w:type="dxa"/>
              <w:left w:w="120" w:type="dxa"/>
              <w:bottom w:w="90" w:type="dxa"/>
              <w:right w:w="120" w:type="dxa"/>
            </w:tcMar>
            <w:vAlign w:val="center"/>
          </w:tcPr>
          <w:p w14:paraId="4EC4E48F">
            <w:pPr>
              <w:keepLines/>
              <w:spacing w:before="0" w:after="0" w:line="240" w:lineRule="auto"/>
              <w:jc w:val="left"/>
            </w:pPr>
            <w:r>
              <w:rPr>
                <w:rFonts w:ascii="Arial" w:hAnsi="Arial" w:eastAsia="Arial"/>
                <w:b/>
                <w:color w:val="1A1A1A"/>
                <w:sz w:val="17"/>
              </w:rPr>
              <w:t>VAT record</w:t>
            </w:r>
          </w:p>
        </w:tc>
        <w:tc>
          <w:tcPr>
            <w:tcW w:w="6552" w:type="dxa"/>
            <w:shd w:val="clear" w:color="auto" w:fill="FBFBFB"/>
            <w:tcMar>
              <w:top w:w="90" w:type="dxa"/>
              <w:left w:w="120" w:type="dxa"/>
              <w:bottom w:w="90" w:type="dxa"/>
              <w:right w:w="120" w:type="dxa"/>
            </w:tcMar>
            <w:vAlign w:val="center"/>
          </w:tcPr>
          <w:p w14:paraId="47E05081">
            <w:pPr>
              <w:keepLines/>
              <w:spacing w:before="0" w:after="0" w:line="240" w:lineRule="auto"/>
              <w:jc w:val="left"/>
            </w:pPr>
            <w:r>
              <w:rPr>
                <w:rFonts w:ascii="Arial" w:hAnsi="Arial" w:eastAsia="Arial"/>
                <w:b w:val="0"/>
                <w:color w:val="1A1A1A"/>
                <w:sz w:val="17"/>
              </w:rPr>
              <w:t>TRANSACTION_ID_VAT_RECORD_YYYYMMDD_V#</w:t>
            </w:r>
          </w:p>
        </w:tc>
      </w:tr>
    </w:tbl>
    <w:p w14:paraId="18452F0D">
      <w:pPr>
        <w:spacing w:after="20"/>
      </w:pPr>
    </w:p>
    <w:p w14:paraId="5CDCE34E">
      <w:pPr>
        <w:pStyle w:val="2"/>
        <w:keepNext/>
        <w:pageBreakBefore w:val="0"/>
      </w:pPr>
      <w:r>
        <w:t>7. End-to-End Financial Workflows</w:t>
      </w:r>
    </w:p>
    <w:p w14:paraId="051B323A">
      <w:pPr>
        <w:pStyle w:val="3"/>
        <w:keepNext/>
        <w:pageBreakBefore w:val="0"/>
      </w:pPr>
      <w:r>
        <w:t>7.1 Property Listing Commission Workflow</w:t>
      </w:r>
    </w:p>
    <w:p w14:paraId="05039271">
      <w:pPr>
        <w:spacing w:before="0" w:after="80" w:line="259" w:lineRule="auto"/>
        <w:ind w:left="432" w:hanging="360"/>
      </w:pPr>
      <w:r>
        <w:rPr>
          <w:rFonts w:ascii="Arial" w:hAnsi="Arial" w:eastAsia="Arial"/>
          <w:b/>
          <w:i w:val="0"/>
          <w:color w:val="5C1949"/>
          <w:sz w:val="20"/>
        </w:rPr>
        <w:t xml:space="preserve">1. </w:t>
      </w:r>
      <w:r>
        <w:rPr>
          <w:rFonts w:ascii="Arial" w:hAnsi="Arial" w:eastAsia="Arial"/>
          <w:b w:val="0"/>
          <w:i w:val="0"/>
          <w:color w:val="1A1A1A"/>
          <w:sz w:val="20"/>
        </w:rPr>
        <w:t>Create or select the Buyer ID, Seller ID, Property ID and parent Transaction ID.</w:t>
      </w:r>
    </w:p>
    <w:p w14:paraId="73019B93">
      <w:pPr>
        <w:spacing w:before="0" w:after="80" w:line="259" w:lineRule="auto"/>
        <w:ind w:left="432" w:hanging="360"/>
      </w:pPr>
      <w:r>
        <w:rPr>
          <w:rFonts w:ascii="Arial" w:hAnsi="Arial" w:eastAsia="Arial"/>
          <w:b/>
          <w:i w:val="0"/>
          <w:color w:val="5C1949"/>
          <w:sz w:val="20"/>
        </w:rPr>
        <w:t xml:space="preserve">2. </w:t>
      </w:r>
      <w:r>
        <w:rPr>
          <w:rFonts w:ascii="Arial" w:hAnsi="Arial" w:eastAsia="Arial"/>
          <w:b w:val="0"/>
          <w:i w:val="0"/>
          <w:color w:val="1A1A1A"/>
          <w:sz w:val="20"/>
        </w:rPr>
        <w:t>Create the commission quotation and identify whether the payer is buyer (11), seller (12) or both.</w:t>
      </w:r>
    </w:p>
    <w:p w14:paraId="50180CF7">
      <w:pPr>
        <w:spacing w:before="0" w:after="80" w:line="259" w:lineRule="auto"/>
        <w:ind w:left="432" w:hanging="360"/>
      </w:pPr>
      <w:r>
        <w:rPr>
          <w:rFonts w:ascii="Arial" w:hAnsi="Arial" w:eastAsia="Arial"/>
          <w:b/>
          <w:i w:val="0"/>
          <w:color w:val="5C1949"/>
          <w:sz w:val="20"/>
        </w:rPr>
        <w:t xml:space="preserve">3. </w:t>
      </w:r>
      <w:r>
        <w:rPr>
          <w:rFonts w:ascii="Arial" w:hAnsi="Arial" w:eastAsia="Arial"/>
          <w:b w:val="0"/>
          <w:i w:val="0"/>
          <w:color w:val="1A1A1A"/>
          <w:sz w:val="20"/>
        </w:rPr>
        <w:t>Generate the invoice and payment reference using the Transaction ID.</w:t>
      </w:r>
    </w:p>
    <w:p w14:paraId="6FCFFF2F">
      <w:pPr>
        <w:spacing w:before="0" w:after="80" w:line="259" w:lineRule="auto"/>
        <w:ind w:left="432" w:hanging="360"/>
      </w:pPr>
      <w:r>
        <w:rPr>
          <w:rFonts w:ascii="Arial" w:hAnsi="Arial" w:eastAsia="Arial"/>
          <w:b/>
          <w:i w:val="0"/>
          <w:color w:val="5C1949"/>
          <w:sz w:val="20"/>
        </w:rPr>
        <w:t xml:space="preserve">4. </w:t>
      </w:r>
      <w:r>
        <w:rPr>
          <w:rFonts w:ascii="Arial" w:hAnsi="Arial" w:eastAsia="Arial"/>
          <w:b w:val="0"/>
          <w:i w:val="0"/>
          <w:color w:val="1A1A1A"/>
          <w:sz w:val="20"/>
        </w:rPr>
        <w:t>Receive the payment in the Code 1 account or allocate the approved commission from escrow.</w:t>
      </w:r>
    </w:p>
    <w:p w14:paraId="76ACC9C8">
      <w:pPr>
        <w:spacing w:before="0" w:after="80" w:line="259" w:lineRule="auto"/>
        <w:ind w:left="432" w:hanging="360"/>
      </w:pPr>
      <w:r>
        <w:rPr>
          <w:rFonts w:ascii="Arial" w:hAnsi="Arial" w:eastAsia="Arial"/>
          <w:b/>
          <w:i w:val="0"/>
          <w:color w:val="5C1949"/>
          <w:sz w:val="20"/>
        </w:rPr>
        <w:t xml:space="preserve">5. </w:t>
      </w:r>
      <w:r>
        <w:rPr>
          <w:rFonts w:ascii="Arial" w:hAnsi="Arial" w:eastAsia="Arial"/>
          <w:b w:val="0"/>
          <w:i w:val="0"/>
          <w:color w:val="1A1A1A"/>
          <w:sz w:val="20"/>
        </w:rPr>
        <w:t>Calculate and post VAT separately.</w:t>
      </w:r>
    </w:p>
    <w:p w14:paraId="2E4DA06D">
      <w:pPr>
        <w:spacing w:before="0" w:after="80" w:line="259" w:lineRule="auto"/>
        <w:ind w:left="432" w:hanging="360"/>
      </w:pPr>
      <w:r>
        <w:rPr>
          <w:rFonts w:ascii="Arial" w:hAnsi="Arial" w:eastAsia="Arial"/>
          <w:b/>
          <w:i w:val="0"/>
          <w:color w:val="5C1949"/>
          <w:sz w:val="20"/>
        </w:rPr>
        <w:t xml:space="preserve">6. </w:t>
      </w:r>
      <w:r>
        <w:rPr>
          <w:rFonts w:ascii="Arial" w:hAnsi="Arial" w:eastAsia="Arial"/>
          <w:b w:val="0"/>
          <w:i w:val="0"/>
          <w:color w:val="1A1A1A"/>
          <w:sz w:val="20"/>
        </w:rPr>
        <w:t>Issue receipt, post balanced ledger entries and reconcile the bank event.</w:t>
      </w:r>
    </w:p>
    <w:p w14:paraId="7E5E5F43">
      <w:pPr>
        <w:pStyle w:val="3"/>
        <w:keepNext/>
        <w:pageBreakBefore w:val="0"/>
      </w:pPr>
      <w:r>
        <w:t>7.2 Due Diligence Workflow</w:t>
      </w:r>
    </w:p>
    <w:p w14:paraId="1E978084">
      <w:pPr>
        <w:spacing w:before="0" w:after="80" w:line="259" w:lineRule="auto"/>
        <w:ind w:left="432" w:hanging="360"/>
      </w:pPr>
      <w:r>
        <w:rPr>
          <w:rFonts w:ascii="Arial" w:hAnsi="Arial" w:eastAsia="Arial"/>
          <w:b/>
          <w:i w:val="0"/>
          <w:color w:val="5C1949"/>
          <w:sz w:val="20"/>
        </w:rPr>
        <w:t xml:space="preserve">1. </w:t>
      </w:r>
      <w:r>
        <w:rPr>
          <w:rFonts w:ascii="Arial" w:hAnsi="Arial" w:eastAsia="Arial"/>
          <w:b w:val="0"/>
          <w:i w:val="0"/>
          <w:color w:val="1A1A1A"/>
          <w:sz w:val="20"/>
        </w:rPr>
        <w:t>Create the service request and Due Diligence Case ID.</w:t>
      </w:r>
    </w:p>
    <w:p w14:paraId="4BCDE035">
      <w:pPr>
        <w:spacing w:before="0" w:after="80" w:line="259" w:lineRule="auto"/>
        <w:ind w:left="432" w:hanging="360"/>
      </w:pPr>
      <w:r>
        <w:rPr>
          <w:rFonts w:ascii="Arial" w:hAnsi="Arial" w:eastAsia="Arial"/>
          <w:b/>
          <w:i w:val="0"/>
          <w:color w:val="5C1949"/>
          <w:sz w:val="20"/>
        </w:rPr>
        <w:t xml:space="preserve">2. </w:t>
      </w:r>
      <w:r>
        <w:rPr>
          <w:rFonts w:ascii="Arial" w:hAnsi="Arial" w:eastAsia="Arial"/>
          <w:b w:val="0"/>
          <w:i w:val="0"/>
          <w:color w:val="1A1A1A"/>
          <w:sz w:val="20"/>
        </w:rPr>
        <w:t>Assign one or more sub-codes 21-26 and generate child verification IDs.</w:t>
      </w:r>
    </w:p>
    <w:p w14:paraId="69D35FDF">
      <w:pPr>
        <w:spacing w:before="0" w:after="80" w:line="259" w:lineRule="auto"/>
        <w:ind w:left="432" w:hanging="360"/>
      </w:pPr>
      <w:r>
        <w:rPr>
          <w:rFonts w:ascii="Arial" w:hAnsi="Arial" w:eastAsia="Arial"/>
          <w:b/>
          <w:i w:val="0"/>
          <w:color w:val="5C1949"/>
          <w:sz w:val="20"/>
        </w:rPr>
        <w:t xml:space="preserve">3. </w:t>
      </w:r>
      <w:r>
        <w:rPr>
          <w:rFonts w:ascii="Arial" w:hAnsi="Arial" w:eastAsia="Arial"/>
          <w:b w:val="0"/>
          <w:i w:val="0"/>
          <w:color w:val="1A1A1A"/>
          <w:sz w:val="20"/>
        </w:rPr>
        <w:t>Generate invoice and payment reference.</w:t>
      </w:r>
    </w:p>
    <w:p w14:paraId="3CB62FBF">
      <w:pPr>
        <w:spacing w:before="0" w:after="80" w:line="259" w:lineRule="auto"/>
        <w:ind w:left="432" w:hanging="360"/>
      </w:pPr>
      <w:r>
        <w:rPr>
          <w:rFonts w:ascii="Arial" w:hAnsi="Arial" w:eastAsia="Arial"/>
          <w:b/>
          <w:i w:val="0"/>
          <w:color w:val="5C1949"/>
          <w:sz w:val="20"/>
        </w:rPr>
        <w:t xml:space="preserve">4. </w:t>
      </w:r>
      <w:r>
        <w:rPr>
          <w:rFonts w:ascii="Arial" w:hAnsi="Arial" w:eastAsia="Arial"/>
          <w:b w:val="0"/>
          <w:i w:val="0"/>
          <w:color w:val="1A1A1A"/>
          <w:sz w:val="20"/>
        </w:rPr>
        <w:t>Receive the payment in the Code 2 account and allocate by service line.</w:t>
      </w:r>
    </w:p>
    <w:p w14:paraId="13F2047F">
      <w:pPr>
        <w:spacing w:before="0" w:after="80" w:line="259" w:lineRule="auto"/>
        <w:ind w:left="432" w:hanging="360"/>
      </w:pPr>
      <w:r>
        <w:rPr>
          <w:rFonts w:ascii="Arial" w:hAnsi="Arial" w:eastAsia="Arial"/>
          <w:b/>
          <w:i w:val="0"/>
          <w:color w:val="5C1949"/>
          <w:sz w:val="20"/>
        </w:rPr>
        <w:t xml:space="preserve">5. </w:t>
      </w:r>
      <w:r>
        <w:rPr>
          <w:rFonts w:ascii="Arial" w:hAnsi="Arial" w:eastAsia="Arial"/>
          <w:b w:val="0"/>
          <w:i w:val="0"/>
          <w:color w:val="1A1A1A"/>
          <w:sz w:val="20"/>
        </w:rPr>
        <w:t>Post VAT where applicable and link assigned professionals.</w:t>
      </w:r>
    </w:p>
    <w:p w14:paraId="325E0346">
      <w:pPr>
        <w:spacing w:before="0" w:after="80" w:line="259" w:lineRule="auto"/>
        <w:ind w:left="432" w:hanging="360"/>
      </w:pPr>
      <w:r>
        <w:rPr>
          <w:rFonts w:ascii="Arial" w:hAnsi="Arial" w:eastAsia="Arial"/>
          <w:b/>
          <w:i w:val="0"/>
          <w:color w:val="5C1949"/>
          <w:sz w:val="20"/>
        </w:rPr>
        <w:t xml:space="preserve">6. </w:t>
      </w:r>
      <w:r>
        <w:rPr>
          <w:rFonts w:ascii="Arial" w:hAnsi="Arial" w:eastAsia="Arial"/>
          <w:b w:val="0"/>
          <w:i w:val="0"/>
          <w:color w:val="1A1A1A"/>
          <w:sz w:val="20"/>
        </w:rPr>
        <w:t>Issue receipt and reconcile the payment to the case and bank statement.</w:t>
      </w:r>
    </w:p>
    <w:p w14:paraId="6D025432">
      <w:pPr>
        <w:pStyle w:val="3"/>
        <w:keepNext/>
        <w:pageBreakBefore w:val="0"/>
      </w:pPr>
      <w:r>
        <w:t>7.3 Escrow Workflow</w:t>
      </w:r>
    </w:p>
    <w:p w14:paraId="7AC830D3">
      <w:pPr>
        <w:spacing w:before="0" w:after="80" w:line="259" w:lineRule="auto"/>
        <w:ind w:left="432" w:hanging="360"/>
      </w:pPr>
      <w:r>
        <w:rPr>
          <w:rFonts w:ascii="Arial" w:hAnsi="Arial" w:eastAsia="Arial"/>
          <w:b/>
          <w:i w:val="0"/>
          <w:color w:val="5C1949"/>
          <w:sz w:val="20"/>
        </w:rPr>
        <w:t xml:space="preserve">1. </w:t>
      </w:r>
      <w:r>
        <w:rPr>
          <w:rFonts w:ascii="Arial" w:hAnsi="Arial" w:eastAsia="Arial"/>
          <w:b w:val="0"/>
          <w:i w:val="0"/>
          <w:color w:val="1A1A1A"/>
          <w:sz w:val="20"/>
        </w:rPr>
        <w:t>Create the parent Transaction ID and SBR Escrow ID.</w:t>
      </w:r>
    </w:p>
    <w:p w14:paraId="5D097AC6">
      <w:pPr>
        <w:spacing w:before="0" w:after="80" w:line="259" w:lineRule="auto"/>
        <w:ind w:left="432" w:hanging="360"/>
      </w:pPr>
      <w:r>
        <w:rPr>
          <w:rFonts w:ascii="Arial" w:hAnsi="Arial" w:eastAsia="Arial"/>
          <w:b/>
          <w:i w:val="0"/>
          <w:color w:val="5C1949"/>
          <w:sz w:val="20"/>
        </w:rPr>
        <w:t xml:space="preserve">2. </w:t>
      </w:r>
      <w:r>
        <w:rPr>
          <w:rFonts w:ascii="Arial" w:hAnsi="Arial" w:eastAsia="Arial"/>
          <w:b w:val="0"/>
          <w:i w:val="0"/>
          <w:color w:val="1A1A1A"/>
          <w:sz w:val="20"/>
        </w:rPr>
        <w:t>Create a transaction-specific escrow sub-ledger and approved payment instruction/reference.</w:t>
      </w:r>
    </w:p>
    <w:p w14:paraId="0362C6B2">
      <w:pPr>
        <w:spacing w:before="0" w:after="80" w:line="259" w:lineRule="auto"/>
        <w:ind w:left="432" w:hanging="360"/>
      </w:pPr>
      <w:r>
        <w:rPr>
          <w:rFonts w:ascii="Arial" w:hAnsi="Arial" w:eastAsia="Arial"/>
          <w:b/>
          <w:i w:val="0"/>
          <w:color w:val="5C1949"/>
          <w:sz w:val="20"/>
        </w:rPr>
        <w:t xml:space="preserve">3. </w:t>
      </w:r>
      <w:r>
        <w:rPr>
          <w:rFonts w:ascii="Arial" w:hAnsi="Arial" w:eastAsia="Arial"/>
          <w:b w:val="0"/>
          <w:i w:val="0"/>
          <w:color w:val="1A1A1A"/>
          <w:sz w:val="20"/>
        </w:rPr>
        <w:t>Record verified buyer inflow in the Code 3 Escrow Account.</w:t>
      </w:r>
    </w:p>
    <w:p w14:paraId="6208065B">
      <w:pPr>
        <w:spacing w:before="0" w:after="80" w:line="259" w:lineRule="auto"/>
        <w:ind w:left="432" w:hanging="360"/>
      </w:pPr>
      <w:r>
        <w:rPr>
          <w:rFonts w:ascii="Arial" w:hAnsi="Arial" w:eastAsia="Arial"/>
          <w:b/>
          <w:i w:val="0"/>
          <w:color w:val="5C1949"/>
          <w:sz w:val="20"/>
        </w:rPr>
        <w:t xml:space="preserve">4. </w:t>
      </w:r>
      <w:r>
        <w:rPr>
          <w:rFonts w:ascii="Arial" w:hAnsi="Arial" w:eastAsia="Arial"/>
          <w:b w:val="0"/>
          <w:i w:val="0"/>
          <w:color w:val="1A1A1A"/>
          <w:sz w:val="20"/>
        </w:rPr>
        <w:t>Allocate the deposit between property principal, approved commission, VAT and other authorised lines without treating principal as revenue.</w:t>
      </w:r>
    </w:p>
    <w:p w14:paraId="364C4D11">
      <w:pPr>
        <w:spacing w:before="0" w:after="80" w:line="259" w:lineRule="auto"/>
        <w:ind w:left="432" w:hanging="360"/>
      </w:pPr>
      <w:r>
        <w:rPr>
          <w:rFonts w:ascii="Arial" w:hAnsi="Arial" w:eastAsia="Arial"/>
          <w:b/>
          <w:i w:val="0"/>
          <w:color w:val="5C1949"/>
          <w:sz w:val="20"/>
        </w:rPr>
        <w:t xml:space="preserve">5. </w:t>
      </w:r>
      <w:r>
        <w:rPr>
          <w:rFonts w:ascii="Arial" w:hAnsi="Arial" w:eastAsia="Arial"/>
          <w:b w:val="0"/>
          <w:i w:val="0"/>
          <w:color w:val="1A1A1A"/>
          <w:sz w:val="20"/>
        </w:rPr>
        <w:t>Complete required property, beneficiary, legal, compliance and finance checks.</w:t>
      </w:r>
    </w:p>
    <w:p w14:paraId="3A429582">
      <w:pPr>
        <w:spacing w:before="0" w:after="80" w:line="259" w:lineRule="auto"/>
        <w:ind w:left="432" w:hanging="360"/>
      </w:pPr>
      <w:r>
        <w:rPr>
          <w:rFonts w:ascii="Arial" w:hAnsi="Arial" w:eastAsia="Arial"/>
          <w:b/>
          <w:i w:val="0"/>
          <w:color w:val="5C1949"/>
          <w:sz w:val="20"/>
        </w:rPr>
        <w:t xml:space="preserve">6. </w:t>
      </w:r>
      <w:r>
        <w:rPr>
          <w:rFonts w:ascii="Arial" w:hAnsi="Arial" w:eastAsia="Arial"/>
          <w:b w:val="0"/>
          <w:i w:val="0"/>
          <w:color w:val="1A1A1A"/>
          <w:sz w:val="20"/>
        </w:rPr>
        <w:t>Prepare the seller release using the same Escrow ID and Transaction ID.</w:t>
      </w:r>
    </w:p>
    <w:p w14:paraId="03361C1D">
      <w:pPr>
        <w:spacing w:before="0" w:after="80" w:line="259" w:lineRule="auto"/>
        <w:ind w:left="432" w:hanging="360"/>
      </w:pPr>
      <w:r>
        <w:rPr>
          <w:rFonts w:ascii="Arial" w:hAnsi="Arial" w:eastAsia="Arial"/>
          <w:b/>
          <w:i w:val="0"/>
          <w:color w:val="5C1949"/>
          <w:sz w:val="20"/>
        </w:rPr>
        <w:t xml:space="preserve">7. </w:t>
      </w:r>
      <w:r>
        <w:rPr>
          <w:rFonts w:ascii="Arial" w:hAnsi="Arial" w:eastAsia="Arial"/>
          <w:b w:val="0"/>
          <w:i w:val="0"/>
          <w:color w:val="1A1A1A"/>
          <w:sz w:val="20"/>
        </w:rPr>
        <w:t>Obtain independent approvals and execute the release through the approved financial channel.</w:t>
      </w:r>
    </w:p>
    <w:p w14:paraId="0939535E">
      <w:pPr>
        <w:spacing w:before="0" w:after="80" w:line="259" w:lineRule="auto"/>
        <w:ind w:left="432" w:hanging="360"/>
      </w:pPr>
      <w:r>
        <w:rPr>
          <w:rFonts w:ascii="Arial" w:hAnsi="Arial" w:eastAsia="Arial"/>
          <w:b/>
          <w:i w:val="0"/>
          <w:color w:val="5C1949"/>
          <w:sz w:val="20"/>
        </w:rPr>
        <w:t xml:space="preserve">8. </w:t>
      </w:r>
      <w:r>
        <w:rPr>
          <w:rFonts w:ascii="Arial" w:hAnsi="Arial" w:eastAsia="Arial"/>
          <w:b w:val="0"/>
          <w:i w:val="0"/>
          <w:color w:val="1A1A1A"/>
          <w:sz w:val="20"/>
        </w:rPr>
        <w:t>Record external confirmation, post the accounting event and reconcile the Escrow Account.</w:t>
      </w:r>
    </w:p>
    <w:p w14:paraId="73A3D31E">
      <w:pPr>
        <w:pStyle w:val="3"/>
        <w:keepNext/>
        <w:pageBreakBefore w:val="0"/>
      </w:pPr>
      <w:r>
        <w:t>7.4 Professional Commission Workflow</w:t>
      </w:r>
    </w:p>
    <w:p w14:paraId="46BA2EF8">
      <w:pPr>
        <w:spacing w:before="0" w:after="80" w:line="259" w:lineRule="auto"/>
        <w:ind w:left="432" w:hanging="360"/>
      </w:pPr>
      <w:r>
        <w:rPr>
          <w:rFonts w:ascii="Arial" w:hAnsi="Arial" w:eastAsia="Arial"/>
          <w:b/>
          <w:i w:val="0"/>
          <w:color w:val="5C1949"/>
          <w:sz w:val="20"/>
        </w:rPr>
        <w:t xml:space="preserve">1. </w:t>
      </w:r>
      <w:r>
        <w:rPr>
          <w:rFonts w:ascii="Arial" w:hAnsi="Arial" w:eastAsia="Arial"/>
          <w:b w:val="0"/>
          <w:i w:val="0"/>
          <w:color w:val="1A1A1A"/>
          <w:sz w:val="20"/>
        </w:rPr>
        <w:t>Identify the registered Professional ID and linked service assignment or transaction.</w:t>
      </w:r>
    </w:p>
    <w:p w14:paraId="2F08EE7F">
      <w:pPr>
        <w:spacing w:before="0" w:after="80" w:line="259" w:lineRule="auto"/>
        <w:ind w:left="432" w:hanging="360"/>
      </w:pPr>
      <w:r>
        <w:rPr>
          <w:rFonts w:ascii="Arial" w:hAnsi="Arial" w:eastAsia="Arial"/>
          <w:b/>
          <w:i w:val="0"/>
          <w:color w:val="5C1949"/>
          <w:sz w:val="20"/>
        </w:rPr>
        <w:t xml:space="preserve">2. </w:t>
      </w:r>
      <w:r>
        <w:rPr>
          <w:rFonts w:ascii="Arial" w:hAnsi="Arial" w:eastAsia="Arial"/>
          <w:b w:val="0"/>
          <w:i w:val="0"/>
          <w:color w:val="1A1A1A"/>
          <w:sz w:val="20"/>
        </w:rPr>
        <w:t>Confirm the successful deal event that makes the SafeBuy professional commission payable.</w:t>
      </w:r>
    </w:p>
    <w:p w14:paraId="5FF95E73">
      <w:pPr>
        <w:spacing w:before="0" w:after="80" w:line="259" w:lineRule="auto"/>
        <w:ind w:left="432" w:hanging="360"/>
      </w:pPr>
      <w:r>
        <w:rPr>
          <w:rFonts w:ascii="Arial" w:hAnsi="Arial" w:eastAsia="Arial"/>
          <w:b/>
          <w:i w:val="0"/>
          <w:color w:val="5C1949"/>
          <w:sz w:val="20"/>
        </w:rPr>
        <w:t xml:space="preserve">3. </w:t>
      </w:r>
      <w:r>
        <w:rPr>
          <w:rFonts w:ascii="Arial" w:hAnsi="Arial" w:eastAsia="Arial"/>
          <w:b w:val="0"/>
          <w:i w:val="0"/>
          <w:color w:val="1A1A1A"/>
          <w:sz w:val="20"/>
        </w:rPr>
        <w:t>Generate invoice/payment reference or allocate commission from an approved transaction.</w:t>
      </w:r>
    </w:p>
    <w:p w14:paraId="7FE86587">
      <w:pPr>
        <w:spacing w:before="0" w:after="80" w:line="259" w:lineRule="auto"/>
        <w:ind w:left="432" w:hanging="360"/>
      </w:pPr>
      <w:r>
        <w:rPr>
          <w:rFonts w:ascii="Arial" w:hAnsi="Arial" w:eastAsia="Arial"/>
          <w:b/>
          <w:i w:val="0"/>
          <w:color w:val="5C1949"/>
          <w:sz w:val="20"/>
        </w:rPr>
        <w:t xml:space="preserve">4. </w:t>
      </w:r>
      <w:r>
        <w:rPr>
          <w:rFonts w:ascii="Arial" w:hAnsi="Arial" w:eastAsia="Arial"/>
          <w:b w:val="0"/>
          <w:i w:val="0"/>
          <w:color w:val="1A1A1A"/>
          <w:sz w:val="20"/>
        </w:rPr>
        <w:t>Receive the commission in the Code 4 account.</w:t>
      </w:r>
    </w:p>
    <w:p w14:paraId="76CC38CD">
      <w:pPr>
        <w:spacing w:before="0" w:after="80" w:line="259" w:lineRule="auto"/>
        <w:ind w:left="432" w:hanging="360"/>
      </w:pPr>
      <w:r>
        <w:rPr>
          <w:rFonts w:ascii="Arial" w:hAnsi="Arial" w:eastAsia="Arial"/>
          <w:b/>
          <w:i w:val="0"/>
          <w:color w:val="5C1949"/>
          <w:sz w:val="20"/>
        </w:rPr>
        <w:t xml:space="preserve">5. </w:t>
      </w:r>
      <w:r>
        <w:rPr>
          <w:rFonts w:ascii="Arial" w:hAnsi="Arial" w:eastAsia="Arial"/>
          <w:b w:val="0"/>
          <w:i w:val="0"/>
          <w:color w:val="1A1A1A"/>
          <w:sz w:val="20"/>
        </w:rPr>
        <w:t>Calculate VAT where applicable, post revenue and issue receipt.</w:t>
      </w:r>
    </w:p>
    <w:p w14:paraId="0A926280">
      <w:pPr>
        <w:spacing w:before="0" w:after="80" w:line="259" w:lineRule="auto"/>
        <w:ind w:left="432" w:hanging="360"/>
      </w:pPr>
      <w:r>
        <w:rPr>
          <w:rFonts w:ascii="Arial" w:hAnsi="Arial" w:eastAsia="Arial"/>
          <w:b/>
          <w:i w:val="0"/>
          <w:color w:val="5C1949"/>
          <w:sz w:val="20"/>
        </w:rPr>
        <w:t xml:space="preserve">6. </w:t>
      </w:r>
      <w:r>
        <w:rPr>
          <w:rFonts w:ascii="Arial" w:hAnsi="Arial" w:eastAsia="Arial"/>
          <w:b w:val="0"/>
          <w:i w:val="0"/>
          <w:color w:val="1A1A1A"/>
          <w:sz w:val="20"/>
        </w:rPr>
        <w:t>Reconcile by professional ID, case/transaction ID and bank reference.</w:t>
      </w:r>
    </w:p>
    <w:p w14:paraId="0F98AE15">
      <w:pPr>
        <w:pStyle w:val="3"/>
        <w:keepNext/>
        <w:pageBreakBefore w:val="0"/>
      </w:pPr>
      <w:r>
        <w:t>7.5 Unidentified Receipt Workflow</w:t>
      </w:r>
    </w:p>
    <w:p w14:paraId="1819BE8D">
      <w:pPr>
        <w:spacing w:before="0" w:after="80" w:line="259" w:lineRule="auto"/>
        <w:ind w:left="432" w:hanging="360"/>
      </w:pPr>
      <w:r>
        <w:rPr>
          <w:rFonts w:ascii="Arial" w:hAnsi="Arial" w:eastAsia="Arial"/>
          <w:b/>
          <w:i w:val="0"/>
          <w:color w:val="5C1949"/>
          <w:sz w:val="20"/>
        </w:rPr>
        <w:t xml:space="preserve">1. </w:t>
      </w:r>
      <w:r>
        <w:rPr>
          <w:rFonts w:ascii="Arial" w:hAnsi="Arial" w:eastAsia="Arial"/>
          <w:b w:val="0"/>
          <w:i w:val="0"/>
          <w:color w:val="1A1A1A"/>
          <w:sz w:val="20"/>
        </w:rPr>
        <w:t>Place any bank receipt that lacks a valid reference into Unidentified Receipts Suspense.</w:t>
      </w:r>
    </w:p>
    <w:p w14:paraId="7192EF84">
      <w:pPr>
        <w:spacing w:before="0" w:after="80" w:line="259" w:lineRule="auto"/>
        <w:ind w:left="432" w:hanging="360"/>
      </w:pPr>
      <w:r>
        <w:rPr>
          <w:rFonts w:ascii="Arial" w:hAnsi="Arial" w:eastAsia="Arial"/>
          <w:b/>
          <w:i w:val="0"/>
          <w:color w:val="5C1949"/>
          <w:sz w:val="20"/>
        </w:rPr>
        <w:t xml:space="preserve">2. </w:t>
      </w:r>
      <w:r>
        <w:rPr>
          <w:rFonts w:ascii="Arial" w:hAnsi="Arial" w:eastAsia="Arial"/>
          <w:b w:val="0"/>
          <w:i w:val="0"/>
          <w:color w:val="1A1A1A"/>
          <w:sz w:val="20"/>
        </w:rPr>
        <w:t>Do not recognise revenue, fund an escrow sub-ledger or mark an invoice paid until the receipt is matched.</w:t>
      </w:r>
    </w:p>
    <w:p w14:paraId="60AE2DD7">
      <w:pPr>
        <w:spacing w:before="0" w:after="80" w:line="259" w:lineRule="auto"/>
        <w:ind w:left="432" w:hanging="360"/>
      </w:pPr>
      <w:r>
        <w:rPr>
          <w:rFonts w:ascii="Arial" w:hAnsi="Arial" w:eastAsia="Arial"/>
          <w:b/>
          <w:i w:val="0"/>
          <w:color w:val="5C1949"/>
          <w:sz w:val="20"/>
        </w:rPr>
        <w:t xml:space="preserve">3. </w:t>
      </w:r>
      <w:r>
        <w:rPr>
          <w:rFonts w:ascii="Arial" w:hAnsi="Arial" w:eastAsia="Arial"/>
          <w:b w:val="0"/>
          <w:i w:val="0"/>
          <w:color w:val="1A1A1A"/>
          <w:sz w:val="20"/>
        </w:rPr>
        <w:t>Authorised finance staff investigate payer, amount, narration, date and supporting evidence.</w:t>
      </w:r>
    </w:p>
    <w:p w14:paraId="6D3355EB">
      <w:pPr>
        <w:spacing w:before="0" w:after="80" w:line="259" w:lineRule="auto"/>
        <w:ind w:left="432" w:hanging="360"/>
      </w:pPr>
      <w:r>
        <w:rPr>
          <w:rFonts w:ascii="Arial" w:hAnsi="Arial" w:eastAsia="Arial"/>
          <w:b/>
          <w:i w:val="0"/>
          <w:color w:val="5C1949"/>
          <w:sz w:val="20"/>
        </w:rPr>
        <w:t xml:space="preserve">4. </w:t>
      </w:r>
      <w:r>
        <w:rPr>
          <w:rFonts w:ascii="Arial" w:hAnsi="Arial" w:eastAsia="Arial"/>
          <w:b w:val="0"/>
          <w:i w:val="0"/>
          <w:color w:val="1A1A1A"/>
          <w:sz w:val="20"/>
        </w:rPr>
        <w:t>A second authorised user approves the final allocation.</w:t>
      </w:r>
    </w:p>
    <w:p w14:paraId="22D52850">
      <w:pPr>
        <w:spacing w:before="0" w:after="80" w:line="259" w:lineRule="auto"/>
        <w:ind w:left="432" w:hanging="360"/>
      </w:pPr>
      <w:r>
        <w:rPr>
          <w:rFonts w:ascii="Arial" w:hAnsi="Arial" w:eastAsia="Arial"/>
          <w:b/>
          <w:i w:val="0"/>
          <w:color w:val="5C1949"/>
          <w:sz w:val="20"/>
        </w:rPr>
        <w:t xml:space="preserve">5. </w:t>
      </w:r>
      <w:r>
        <w:rPr>
          <w:rFonts w:ascii="Arial" w:hAnsi="Arial" w:eastAsia="Arial"/>
          <w:b w:val="0"/>
          <w:i w:val="0"/>
          <w:color w:val="1A1A1A"/>
          <w:sz w:val="20"/>
        </w:rPr>
        <w:t>The system retains both the original unidentified event and the allocation audit trail.</w:t>
      </w:r>
    </w:p>
    <w:p w14:paraId="3A9AB9B2">
      <w:pPr>
        <w:pStyle w:val="2"/>
        <w:keepNext/>
        <w:pageBreakBefore w:val="0"/>
      </w:pPr>
      <w:r>
        <w:t>8. Required Application Data Model</w:t>
      </w:r>
    </w:p>
    <w:p w14:paraId="4E1E89DE">
      <w:pPr>
        <w:pStyle w:val="13"/>
        <w:spacing w:before="0" w:after="120" w:line="269" w:lineRule="auto"/>
      </w:pPr>
      <w:r>
        <w:rPr>
          <w:rFonts w:ascii="Arial" w:hAnsi="Arial" w:eastAsia="Arial"/>
          <w:color w:val="1A1A1A"/>
          <w:sz w:val="20"/>
        </w:rPr>
        <w:t>The development team may select any suitable technology stack, but the logical entities and controls below are mandatory. Naming may vary only if the same meaning, relationships and constraints are preserved.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FB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5C1949"/>
            <w:tcMar>
              <w:top w:w="100" w:type="dxa"/>
              <w:left w:w="120" w:type="dxa"/>
              <w:bottom w:w="100" w:type="dxa"/>
              <w:right w:w="120" w:type="dxa"/>
            </w:tcMar>
            <w:vAlign w:val="center"/>
          </w:tcPr>
          <w:p w14:paraId="3CA962E0">
            <w:pPr>
              <w:keepLines/>
              <w:spacing w:before="0" w:after="0" w:line="240" w:lineRule="auto"/>
              <w:jc w:val="center"/>
            </w:pPr>
            <w:r>
              <w:rPr>
                <w:rFonts w:ascii="Arial" w:hAnsi="Arial" w:eastAsia="Arial"/>
                <w:b/>
                <w:color w:val="FFFFFF"/>
                <w:sz w:val="17"/>
              </w:rPr>
              <w:t>Entity</w:t>
            </w:r>
          </w:p>
        </w:tc>
        <w:tc>
          <w:tcPr>
            <w:tcW w:w="6912" w:type="dxa"/>
            <w:shd w:val="clear" w:color="auto" w:fill="5C1949"/>
            <w:tcMar>
              <w:top w:w="100" w:type="dxa"/>
              <w:left w:w="120" w:type="dxa"/>
              <w:bottom w:w="100" w:type="dxa"/>
              <w:right w:w="120" w:type="dxa"/>
            </w:tcMar>
            <w:vAlign w:val="center"/>
          </w:tcPr>
          <w:p w14:paraId="236C4B0B">
            <w:pPr>
              <w:keepLines/>
              <w:spacing w:before="0" w:after="0" w:line="240" w:lineRule="auto"/>
              <w:jc w:val="center"/>
            </w:pPr>
            <w:r>
              <w:rPr>
                <w:rFonts w:ascii="Arial" w:hAnsi="Arial" w:eastAsia="Arial"/>
                <w:b/>
                <w:color w:val="FFFFFF"/>
                <w:sz w:val="17"/>
              </w:rPr>
              <w:t>Purpose</w:t>
            </w:r>
          </w:p>
        </w:tc>
      </w:tr>
      <w:tr w14:paraId="4229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33A44AC8">
            <w:pPr>
              <w:keepLines/>
              <w:spacing w:before="0" w:after="0" w:line="240" w:lineRule="auto"/>
              <w:jc w:val="left"/>
            </w:pPr>
            <w:r>
              <w:rPr>
                <w:rFonts w:ascii="Arial" w:hAnsi="Arial" w:eastAsia="Arial"/>
                <w:b/>
                <w:color w:val="1A1A1A"/>
                <w:sz w:val="17"/>
              </w:rPr>
              <w:t>main_accounts</w:t>
            </w:r>
          </w:p>
        </w:tc>
        <w:tc>
          <w:tcPr>
            <w:tcW w:w="6912" w:type="dxa"/>
            <w:tcMar>
              <w:top w:w="90" w:type="dxa"/>
              <w:left w:w="120" w:type="dxa"/>
              <w:bottom w:w="90" w:type="dxa"/>
              <w:right w:w="120" w:type="dxa"/>
            </w:tcMar>
            <w:vAlign w:val="center"/>
          </w:tcPr>
          <w:p w14:paraId="13755CE1">
            <w:pPr>
              <w:keepLines/>
              <w:spacing w:before="0" w:after="0" w:line="240" w:lineRule="auto"/>
              <w:jc w:val="left"/>
            </w:pPr>
            <w:r>
              <w:rPr>
                <w:rFonts w:ascii="Arial" w:hAnsi="Arial" w:eastAsia="Arial"/>
                <w:b w:val="0"/>
                <w:color w:val="1A1A1A"/>
                <w:sz w:val="17"/>
              </w:rPr>
              <w:t>Codes 1-6, account purpose, masked bank/settlement details, status and owner</w:t>
            </w:r>
          </w:p>
        </w:tc>
      </w:tr>
      <w:tr w14:paraId="437A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36403280">
            <w:pPr>
              <w:keepLines/>
              <w:spacing w:before="0" w:after="0" w:line="240" w:lineRule="auto"/>
              <w:jc w:val="left"/>
            </w:pPr>
            <w:r>
              <w:rPr>
                <w:rFonts w:ascii="Arial" w:hAnsi="Arial" w:eastAsia="Arial"/>
                <w:b/>
                <w:color w:val="1A1A1A"/>
                <w:sz w:val="17"/>
              </w:rPr>
              <w:t>account_subledgers</w:t>
            </w:r>
          </w:p>
        </w:tc>
        <w:tc>
          <w:tcPr>
            <w:tcW w:w="6912" w:type="dxa"/>
            <w:shd w:val="clear" w:color="auto" w:fill="FBFBFB"/>
            <w:tcMar>
              <w:top w:w="90" w:type="dxa"/>
              <w:left w:w="120" w:type="dxa"/>
              <w:bottom w:w="90" w:type="dxa"/>
              <w:right w:w="120" w:type="dxa"/>
            </w:tcMar>
            <w:vAlign w:val="center"/>
          </w:tcPr>
          <w:p w14:paraId="5A3159C4">
            <w:pPr>
              <w:keepLines/>
              <w:spacing w:before="0" w:after="0" w:line="240" w:lineRule="auto"/>
              <w:jc w:val="left"/>
            </w:pPr>
            <w:r>
              <w:rPr>
                <w:rFonts w:ascii="Arial" w:hAnsi="Arial" w:eastAsia="Arial"/>
                <w:b w:val="0"/>
                <w:color w:val="1A1A1A"/>
                <w:sz w:val="17"/>
              </w:rPr>
              <w:t>Static sub-codes and dynamic customer/professional sub-ledgers</w:t>
            </w:r>
          </w:p>
        </w:tc>
      </w:tr>
      <w:tr w14:paraId="11F4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76463464">
            <w:pPr>
              <w:keepLines/>
              <w:spacing w:before="0" w:after="0" w:line="240" w:lineRule="auto"/>
              <w:jc w:val="left"/>
            </w:pPr>
            <w:r>
              <w:rPr>
                <w:rFonts w:ascii="Arial" w:hAnsi="Arial" w:eastAsia="Arial"/>
                <w:b/>
                <w:color w:val="1A1A1A"/>
                <w:sz w:val="17"/>
              </w:rPr>
              <w:t>id_register</w:t>
            </w:r>
          </w:p>
        </w:tc>
        <w:tc>
          <w:tcPr>
            <w:tcW w:w="6912" w:type="dxa"/>
            <w:tcMar>
              <w:top w:w="90" w:type="dxa"/>
              <w:left w:w="120" w:type="dxa"/>
              <w:bottom w:w="90" w:type="dxa"/>
              <w:right w:w="120" w:type="dxa"/>
            </w:tcMar>
            <w:vAlign w:val="center"/>
          </w:tcPr>
          <w:p w14:paraId="1F43F954">
            <w:pPr>
              <w:keepLines/>
              <w:spacing w:before="0" w:after="0" w:line="240" w:lineRule="auto"/>
              <w:jc w:val="left"/>
            </w:pPr>
            <w:r>
              <w:rPr>
                <w:rFonts w:ascii="Arial" w:hAnsi="Arial" w:eastAsia="Arial"/>
                <w:b w:val="0"/>
                <w:color w:val="1A1A1A"/>
                <w:sz w:val="17"/>
              </w:rPr>
              <w:t>All generated SBR IDs, record type, location, status, parent and linked IDs</w:t>
            </w:r>
          </w:p>
        </w:tc>
      </w:tr>
      <w:tr w14:paraId="2D08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4FBF92EA">
            <w:pPr>
              <w:keepLines/>
              <w:spacing w:before="0" w:after="0" w:line="240" w:lineRule="auto"/>
              <w:jc w:val="left"/>
            </w:pPr>
            <w:r>
              <w:rPr>
                <w:rFonts w:ascii="Arial" w:hAnsi="Arial" w:eastAsia="Arial"/>
                <w:b/>
                <w:color w:val="1A1A1A"/>
                <w:sz w:val="17"/>
              </w:rPr>
              <w:t>financial_transactions</w:t>
            </w:r>
          </w:p>
        </w:tc>
        <w:tc>
          <w:tcPr>
            <w:tcW w:w="6912" w:type="dxa"/>
            <w:shd w:val="clear" w:color="auto" w:fill="FBFBFB"/>
            <w:tcMar>
              <w:top w:w="90" w:type="dxa"/>
              <w:left w:w="120" w:type="dxa"/>
              <w:bottom w:w="90" w:type="dxa"/>
              <w:right w:w="120" w:type="dxa"/>
            </w:tcMar>
            <w:vAlign w:val="center"/>
          </w:tcPr>
          <w:p w14:paraId="42302F95">
            <w:pPr>
              <w:keepLines/>
              <w:spacing w:before="0" w:after="0" w:line="240" w:lineRule="auto"/>
              <w:jc w:val="left"/>
            </w:pPr>
            <w:r>
              <w:rPr>
                <w:rFonts w:ascii="Arial" w:hAnsi="Arial" w:eastAsia="Arial"/>
                <w:b w:val="0"/>
                <w:color w:val="1A1A1A"/>
                <w:sz w:val="17"/>
              </w:rPr>
              <w:t>Common financial event record for receipt, release, refund, fee, commission, tax and reversal</w:t>
            </w:r>
          </w:p>
        </w:tc>
      </w:tr>
      <w:tr w14:paraId="22E0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7EB7F003">
            <w:pPr>
              <w:keepLines/>
              <w:spacing w:before="0" w:after="0" w:line="240" w:lineRule="auto"/>
              <w:jc w:val="left"/>
            </w:pPr>
            <w:r>
              <w:rPr>
                <w:rFonts w:ascii="Arial" w:hAnsi="Arial" w:eastAsia="Arial"/>
                <w:b/>
                <w:color w:val="1A1A1A"/>
                <w:sz w:val="17"/>
              </w:rPr>
              <w:t>transaction_allocations</w:t>
            </w:r>
          </w:p>
        </w:tc>
        <w:tc>
          <w:tcPr>
            <w:tcW w:w="6912" w:type="dxa"/>
            <w:tcMar>
              <w:top w:w="90" w:type="dxa"/>
              <w:left w:w="120" w:type="dxa"/>
              <w:bottom w:w="90" w:type="dxa"/>
              <w:right w:w="120" w:type="dxa"/>
            </w:tcMar>
            <w:vAlign w:val="center"/>
          </w:tcPr>
          <w:p w14:paraId="4B8AF7F0">
            <w:pPr>
              <w:keepLines/>
              <w:spacing w:before="0" w:after="0" w:line="240" w:lineRule="auto"/>
              <w:jc w:val="left"/>
            </w:pPr>
            <w:r>
              <w:rPr>
                <w:rFonts w:ascii="Arial" w:hAnsi="Arial" w:eastAsia="Arial"/>
                <w:b w:val="0"/>
                <w:color w:val="1A1A1A"/>
                <w:sz w:val="17"/>
              </w:rPr>
              <w:t>Splits a financial transaction into principal, commission, VAT, fee, payable or suspense lines</w:t>
            </w:r>
          </w:p>
        </w:tc>
      </w:tr>
      <w:tr w14:paraId="20BC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027F6E5E">
            <w:pPr>
              <w:keepLines/>
              <w:spacing w:before="0" w:after="0" w:line="240" w:lineRule="auto"/>
              <w:jc w:val="left"/>
            </w:pPr>
            <w:r>
              <w:rPr>
                <w:rFonts w:ascii="Arial" w:hAnsi="Arial" w:eastAsia="Arial"/>
                <w:b/>
                <w:color w:val="1A1A1A"/>
                <w:sz w:val="17"/>
              </w:rPr>
              <w:t>escrow_transactions</w:t>
            </w:r>
          </w:p>
        </w:tc>
        <w:tc>
          <w:tcPr>
            <w:tcW w:w="6912" w:type="dxa"/>
            <w:shd w:val="clear" w:color="auto" w:fill="FBFBFB"/>
            <w:tcMar>
              <w:top w:w="90" w:type="dxa"/>
              <w:left w:w="120" w:type="dxa"/>
              <w:bottom w:w="90" w:type="dxa"/>
              <w:right w:w="120" w:type="dxa"/>
            </w:tcMar>
            <w:vAlign w:val="center"/>
          </w:tcPr>
          <w:p w14:paraId="21B78263">
            <w:pPr>
              <w:keepLines/>
              <w:spacing w:before="0" w:after="0" w:line="240" w:lineRule="auto"/>
              <w:jc w:val="left"/>
            </w:pPr>
            <w:r>
              <w:rPr>
                <w:rFonts w:ascii="Arial" w:hAnsi="Arial" w:eastAsia="Arial"/>
                <w:b w:val="0"/>
                <w:color w:val="1A1A1A"/>
                <w:sz w:val="17"/>
              </w:rPr>
              <w:t>Escrow sub-ledger, balance, conditions, status and parent transaction</w:t>
            </w:r>
          </w:p>
        </w:tc>
      </w:tr>
      <w:tr w14:paraId="77CE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607F3C18">
            <w:pPr>
              <w:keepLines/>
              <w:spacing w:before="0" w:after="0" w:line="240" w:lineRule="auto"/>
              <w:jc w:val="left"/>
            </w:pPr>
            <w:r>
              <w:rPr>
                <w:rFonts w:ascii="Arial" w:hAnsi="Arial" w:eastAsia="Arial"/>
                <w:b/>
                <w:color w:val="1A1A1A"/>
                <w:sz w:val="17"/>
              </w:rPr>
              <w:t>escrow_movements</w:t>
            </w:r>
          </w:p>
        </w:tc>
        <w:tc>
          <w:tcPr>
            <w:tcW w:w="6912" w:type="dxa"/>
            <w:tcMar>
              <w:top w:w="90" w:type="dxa"/>
              <w:left w:w="120" w:type="dxa"/>
              <w:bottom w:w="90" w:type="dxa"/>
              <w:right w:w="120" w:type="dxa"/>
            </w:tcMar>
            <w:vAlign w:val="center"/>
          </w:tcPr>
          <w:p w14:paraId="1322CB8C">
            <w:pPr>
              <w:keepLines/>
              <w:spacing w:before="0" w:after="0" w:line="240" w:lineRule="auto"/>
              <w:jc w:val="left"/>
            </w:pPr>
            <w:r>
              <w:rPr>
                <w:rFonts w:ascii="Arial" w:hAnsi="Arial" w:eastAsia="Arial"/>
                <w:b w:val="0"/>
                <w:color w:val="1A1A1A"/>
                <w:sz w:val="17"/>
              </w:rPr>
              <w:t>Every escrow deposit, release, refund, hold, reversal or adjustment</w:t>
            </w:r>
          </w:p>
        </w:tc>
      </w:tr>
      <w:tr w14:paraId="7C8B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4AED668A">
            <w:pPr>
              <w:keepLines/>
              <w:spacing w:before="0" w:after="0" w:line="240" w:lineRule="auto"/>
              <w:jc w:val="left"/>
            </w:pPr>
            <w:r>
              <w:rPr>
                <w:rFonts w:ascii="Arial" w:hAnsi="Arial" w:eastAsia="Arial"/>
                <w:b/>
                <w:color w:val="1A1A1A"/>
                <w:sz w:val="17"/>
              </w:rPr>
              <w:t>beneficiaries</w:t>
            </w:r>
          </w:p>
        </w:tc>
        <w:tc>
          <w:tcPr>
            <w:tcW w:w="6912" w:type="dxa"/>
            <w:shd w:val="clear" w:color="auto" w:fill="FBFBFB"/>
            <w:tcMar>
              <w:top w:w="90" w:type="dxa"/>
              <w:left w:w="120" w:type="dxa"/>
              <w:bottom w:w="90" w:type="dxa"/>
              <w:right w:w="120" w:type="dxa"/>
            </w:tcMar>
            <w:vAlign w:val="center"/>
          </w:tcPr>
          <w:p w14:paraId="58E3071F">
            <w:pPr>
              <w:keepLines/>
              <w:spacing w:before="0" w:after="0" w:line="240" w:lineRule="auto"/>
              <w:jc w:val="left"/>
            </w:pPr>
            <w:r>
              <w:rPr>
                <w:rFonts w:ascii="Arial" w:hAnsi="Arial" w:eastAsia="Arial"/>
                <w:b w:val="0"/>
                <w:color w:val="1A1A1A"/>
                <w:sz w:val="17"/>
              </w:rPr>
              <w:t>Verified seller/refund beneficiary details and change-control status</w:t>
            </w:r>
          </w:p>
        </w:tc>
      </w:tr>
      <w:tr w14:paraId="3196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176627D7">
            <w:pPr>
              <w:keepLines/>
              <w:spacing w:before="0" w:after="0" w:line="240" w:lineRule="auto"/>
              <w:jc w:val="left"/>
            </w:pPr>
            <w:r>
              <w:rPr>
                <w:rFonts w:ascii="Arial" w:hAnsi="Arial" w:eastAsia="Arial"/>
                <w:b/>
                <w:color w:val="1A1A1A"/>
                <w:sz w:val="17"/>
              </w:rPr>
              <w:t>professional_registry</w:t>
            </w:r>
          </w:p>
        </w:tc>
        <w:tc>
          <w:tcPr>
            <w:tcW w:w="6912" w:type="dxa"/>
            <w:tcMar>
              <w:top w:w="90" w:type="dxa"/>
              <w:left w:w="120" w:type="dxa"/>
              <w:bottom w:w="90" w:type="dxa"/>
              <w:right w:w="120" w:type="dxa"/>
            </w:tcMar>
            <w:vAlign w:val="center"/>
          </w:tcPr>
          <w:p w14:paraId="2DD79A12">
            <w:pPr>
              <w:keepLines/>
              <w:spacing w:before="0" w:after="0" w:line="240" w:lineRule="auto"/>
              <w:jc w:val="left"/>
            </w:pPr>
            <w:r>
              <w:rPr>
                <w:rFonts w:ascii="Arial" w:hAnsi="Arial" w:eastAsia="Arial"/>
                <w:b w:val="0"/>
                <w:color w:val="1A1A1A"/>
                <w:sz w:val="17"/>
              </w:rPr>
              <w:t>Professional IDs, category and active status</w:t>
            </w:r>
          </w:p>
        </w:tc>
      </w:tr>
      <w:tr w14:paraId="1091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7284AA2F">
            <w:pPr>
              <w:keepLines/>
              <w:spacing w:before="0" w:after="0" w:line="240" w:lineRule="auto"/>
              <w:jc w:val="left"/>
            </w:pPr>
            <w:r>
              <w:rPr>
                <w:rFonts w:ascii="Arial" w:hAnsi="Arial" w:eastAsia="Arial"/>
                <w:b/>
                <w:color w:val="1A1A1A"/>
                <w:sz w:val="17"/>
              </w:rPr>
              <w:t>invoices_receipts</w:t>
            </w:r>
          </w:p>
        </w:tc>
        <w:tc>
          <w:tcPr>
            <w:tcW w:w="6912" w:type="dxa"/>
            <w:shd w:val="clear" w:color="auto" w:fill="FBFBFB"/>
            <w:tcMar>
              <w:top w:w="90" w:type="dxa"/>
              <w:left w:w="120" w:type="dxa"/>
              <w:bottom w:w="90" w:type="dxa"/>
              <w:right w:w="120" w:type="dxa"/>
            </w:tcMar>
            <w:vAlign w:val="center"/>
          </w:tcPr>
          <w:p w14:paraId="110EE526">
            <w:pPr>
              <w:keepLines/>
              <w:spacing w:before="0" w:after="0" w:line="240" w:lineRule="auto"/>
              <w:jc w:val="left"/>
            </w:pPr>
            <w:r>
              <w:rPr>
                <w:rFonts w:ascii="Arial" w:hAnsi="Arial" w:eastAsia="Arial"/>
                <w:b w:val="0"/>
                <w:color w:val="1A1A1A"/>
                <w:sz w:val="17"/>
              </w:rPr>
              <w:t>Invoices, receipts, credit notes and settlement statements</w:t>
            </w:r>
          </w:p>
        </w:tc>
      </w:tr>
      <w:tr w14:paraId="15BB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65657096">
            <w:pPr>
              <w:keepLines/>
              <w:spacing w:before="0" w:after="0" w:line="240" w:lineRule="auto"/>
              <w:jc w:val="left"/>
            </w:pPr>
            <w:r>
              <w:rPr>
                <w:rFonts w:ascii="Arial" w:hAnsi="Arial" w:eastAsia="Arial"/>
                <w:b/>
                <w:color w:val="1A1A1A"/>
                <w:sz w:val="17"/>
              </w:rPr>
              <w:t>tax_records</w:t>
            </w:r>
          </w:p>
        </w:tc>
        <w:tc>
          <w:tcPr>
            <w:tcW w:w="6912" w:type="dxa"/>
            <w:tcMar>
              <w:top w:w="90" w:type="dxa"/>
              <w:left w:w="120" w:type="dxa"/>
              <w:bottom w:w="90" w:type="dxa"/>
              <w:right w:w="120" w:type="dxa"/>
            </w:tcMar>
            <w:vAlign w:val="center"/>
          </w:tcPr>
          <w:p w14:paraId="53572512">
            <w:pPr>
              <w:keepLines/>
              <w:spacing w:before="0" w:after="0" w:line="240" w:lineRule="auto"/>
              <w:jc w:val="left"/>
            </w:pPr>
            <w:r>
              <w:rPr>
                <w:rFonts w:ascii="Arial" w:hAnsi="Arial" w:eastAsia="Arial"/>
                <w:b w:val="0"/>
                <w:color w:val="1A1A1A"/>
                <w:sz w:val="17"/>
              </w:rPr>
              <w:t>VAT rates, VAT lines, adjustments and settlement status</w:t>
            </w:r>
          </w:p>
        </w:tc>
      </w:tr>
      <w:tr w14:paraId="614E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7CA1408A">
            <w:pPr>
              <w:keepLines/>
              <w:spacing w:before="0" w:after="0" w:line="240" w:lineRule="auto"/>
              <w:jc w:val="left"/>
            </w:pPr>
            <w:r>
              <w:rPr>
                <w:rFonts w:ascii="Arial" w:hAnsi="Arial" w:eastAsia="Arial"/>
                <w:b/>
                <w:color w:val="1A1A1A"/>
                <w:sz w:val="17"/>
              </w:rPr>
              <w:t>ledger_batches</w:t>
            </w:r>
          </w:p>
        </w:tc>
        <w:tc>
          <w:tcPr>
            <w:tcW w:w="6912" w:type="dxa"/>
            <w:shd w:val="clear" w:color="auto" w:fill="FBFBFB"/>
            <w:tcMar>
              <w:top w:w="90" w:type="dxa"/>
              <w:left w:w="120" w:type="dxa"/>
              <w:bottom w:w="90" w:type="dxa"/>
              <w:right w:w="120" w:type="dxa"/>
            </w:tcMar>
            <w:vAlign w:val="center"/>
          </w:tcPr>
          <w:p w14:paraId="253254C2">
            <w:pPr>
              <w:keepLines/>
              <w:spacing w:before="0" w:after="0" w:line="240" w:lineRule="auto"/>
              <w:jc w:val="left"/>
            </w:pPr>
            <w:r>
              <w:rPr>
                <w:rFonts w:ascii="Arial" w:hAnsi="Arial" w:eastAsia="Arial"/>
                <w:b w:val="0"/>
                <w:color w:val="1A1A1A"/>
                <w:sz w:val="17"/>
              </w:rPr>
              <w:t>Balanced double-entry batch headers</w:t>
            </w:r>
          </w:p>
        </w:tc>
      </w:tr>
      <w:tr w14:paraId="2C55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3D3CF68D">
            <w:pPr>
              <w:keepLines/>
              <w:spacing w:before="0" w:after="0" w:line="240" w:lineRule="auto"/>
              <w:jc w:val="left"/>
            </w:pPr>
            <w:r>
              <w:rPr>
                <w:rFonts w:ascii="Arial" w:hAnsi="Arial" w:eastAsia="Arial"/>
                <w:b/>
                <w:color w:val="1A1A1A"/>
                <w:sz w:val="17"/>
              </w:rPr>
              <w:t>ledger_entries</w:t>
            </w:r>
          </w:p>
        </w:tc>
        <w:tc>
          <w:tcPr>
            <w:tcW w:w="6912" w:type="dxa"/>
            <w:tcMar>
              <w:top w:w="90" w:type="dxa"/>
              <w:left w:w="120" w:type="dxa"/>
              <w:bottom w:w="90" w:type="dxa"/>
              <w:right w:w="120" w:type="dxa"/>
            </w:tcMar>
            <w:vAlign w:val="center"/>
          </w:tcPr>
          <w:p w14:paraId="32ECFC15">
            <w:pPr>
              <w:keepLines/>
              <w:spacing w:before="0" w:after="0" w:line="240" w:lineRule="auto"/>
              <w:jc w:val="left"/>
            </w:pPr>
            <w:r>
              <w:rPr>
                <w:rFonts w:ascii="Arial" w:hAnsi="Arial" w:eastAsia="Arial"/>
                <w:b w:val="0"/>
                <w:color w:val="1A1A1A"/>
                <w:sz w:val="17"/>
              </w:rPr>
              <w:t>Debit/credit lines mapped to main code, sub-code and IDs</w:t>
            </w:r>
          </w:p>
        </w:tc>
      </w:tr>
      <w:tr w14:paraId="18D4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33357B8B">
            <w:pPr>
              <w:keepLines/>
              <w:spacing w:before="0" w:after="0" w:line="240" w:lineRule="auto"/>
              <w:jc w:val="left"/>
            </w:pPr>
            <w:r>
              <w:rPr>
                <w:rFonts w:ascii="Arial" w:hAnsi="Arial" w:eastAsia="Arial"/>
                <w:b/>
                <w:color w:val="1A1A1A"/>
                <w:sz w:val="17"/>
              </w:rPr>
              <w:t>reconciliations</w:t>
            </w:r>
          </w:p>
        </w:tc>
        <w:tc>
          <w:tcPr>
            <w:tcW w:w="6912" w:type="dxa"/>
            <w:shd w:val="clear" w:color="auto" w:fill="FBFBFB"/>
            <w:tcMar>
              <w:top w:w="90" w:type="dxa"/>
              <w:left w:w="120" w:type="dxa"/>
              <w:bottom w:w="90" w:type="dxa"/>
              <w:right w:w="120" w:type="dxa"/>
            </w:tcMar>
            <w:vAlign w:val="center"/>
          </w:tcPr>
          <w:p w14:paraId="4E4BA336">
            <w:pPr>
              <w:keepLines/>
              <w:spacing w:before="0" w:after="0" w:line="240" w:lineRule="auto"/>
              <w:jc w:val="left"/>
            </w:pPr>
            <w:r>
              <w:rPr>
                <w:rFonts w:ascii="Arial" w:hAnsi="Arial" w:eastAsia="Arial"/>
                <w:b w:val="0"/>
                <w:color w:val="1A1A1A"/>
                <w:sz w:val="17"/>
              </w:rPr>
              <w:t>Bank/settlement statement matching and exception resolution</w:t>
            </w:r>
          </w:p>
        </w:tc>
      </w:tr>
      <w:tr w14:paraId="2D5B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46CE6936">
            <w:pPr>
              <w:keepLines/>
              <w:spacing w:before="0" w:after="0" w:line="240" w:lineRule="auto"/>
              <w:jc w:val="left"/>
            </w:pPr>
            <w:r>
              <w:rPr>
                <w:rFonts w:ascii="Arial" w:hAnsi="Arial" w:eastAsia="Arial"/>
                <w:b/>
                <w:color w:val="1A1A1A"/>
                <w:sz w:val="17"/>
              </w:rPr>
              <w:t>approval_records</w:t>
            </w:r>
          </w:p>
        </w:tc>
        <w:tc>
          <w:tcPr>
            <w:tcW w:w="6912" w:type="dxa"/>
            <w:tcMar>
              <w:top w:w="90" w:type="dxa"/>
              <w:left w:w="120" w:type="dxa"/>
              <w:bottom w:w="90" w:type="dxa"/>
              <w:right w:w="120" w:type="dxa"/>
            </w:tcMar>
            <w:vAlign w:val="center"/>
          </w:tcPr>
          <w:p w14:paraId="2ED262F2">
            <w:pPr>
              <w:keepLines/>
              <w:spacing w:before="0" w:after="0" w:line="240" w:lineRule="auto"/>
              <w:jc w:val="left"/>
            </w:pPr>
            <w:r>
              <w:rPr>
                <w:rFonts w:ascii="Arial" w:hAnsi="Arial" w:eastAsia="Arial"/>
                <w:b w:val="0"/>
                <w:color w:val="1A1A1A"/>
                <w:sz w:val="17"/>
              </w:rPr>
              <w:t>Maker-checker approvals and authority limits</w:t>
            </w:r>
          </w:p>
        </w:tc>
      </w:tr>
      <w:tr w14:paraId="22C4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3443ABC1">
            <w:pPr>
              <w:keepLines/>
              <w:spacing w:before="0" w:after="0" w:line="240" w:lineRule="auto"/>
              <w:jc w:val="left"/>
            </w:pPr>
            <w:r>
              <w:rPr>
                <w:rFonts w:ascii="Arial" w:hAnsi="Arial" w:eastAsia="Arial"/>
                <w:b/>
                <w:color w:val="1A1A1A"/>
                <w:sz w:val="17"/>
              </w:rPr>
              <w:t>audit_logs</w:t>
            </w:r>
          </w:p>
        </w:tc>
        <w:tc>
          <w:tcPr>
            <w:tcW w:w="6912" w:type="dxa"/>
            <w:shd w:val="clear" w:color="auto" w:fill="FBFBFB"/>
            <w:tcMar>
              <w:top w:w="90" w:type="dxa"/>
              <w:left w:w="120" w:type="dxa"/>
              <w:bottom w:w="90" w:type="dxa"/>
              <w:right w:w="120" w:type="dxa"/>
            </w:tcMar>
            <w:vAlign w:val="center"/>
          </w:tcPr>
          <w:p w14:paraId="4E884499">
            <w:pPr>
              <w:keepLines/>
              <w:spacing w:before="0" w:after="0" w:line="240" w:lineRule="auto"/>
              <w:jc w:val="left"/>
            </w:pPr>
            <w:r>
              <w:rPr>
                <w:rFonts w:ascii="Arial" w:hAnsi="Arial" w:eastAsia="Arial"/>
                <w:b w:val="0"/>
                <w:color w:val="1A1A1A"/>
                <w:sz w:val="17"/>
              </w:rPr>
              <w:t>Immutable record of creation, change, approval, export, login and failed action</w:t>
            </w:r>
          </w:p>
        </w:tc>
      </w:tr>
    </w:tbl>
    <w:p w14:paraId="1A57082F">
      <w:pPr>
        <w:spacing w:after="20"/>
      </w:pPr>
    </w:p>
    <w:p w14:paraId="09023C7A">
      <w:pPr>
        <w:pStyle w:val="3"/>
        <w:keepNext/>
        <w:pageBreakBefore w:val="0"/>
      </w:pPr>
      <w:r>
        <w:t>8.1 Minimum Financial Transaction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AF1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5C1949"/>
            <w:tcMar>
              <w:top w:w="100" w:type="dxa"/>
              <w:left w:w="120" w:type="dxa"/>
              <w:bottom w:w="100" w:type="dxa"/>
              <w:right w:w="120" w:type="dxa"/>
            </w:tcMar>
            <w:vAlign w:val="center"/>
          </w:tcPr>
          <w:p w14:paraId="35560B0B">
            <w:pPr>
              <w:keepLines/>
              <w:spacing w:before="0" w:after="0" w:line="240" w:lineRule="auto"/>
              <w:jc w:val="center"/>
            </w:pPr>
            <w:r>
              <w:rPr>
                <w:rFonts w:ascii="Arial" w:hAnsi="Arial" w:eastAsia="Arial"/>
                <w:b/>
                <w:color w:val="FFFFFF"/>
                <w:sz w:val="17"/>
              </w:rPr>
              <w:t>Field group</w:t>
            </w:r>
          </w:p>
        </w:tc>
        <w:tc>
          <w:tcPr>
            <w:tcW w:w="7704" w:type="dxa"/>
            <w:shd w:val="clear" w:color="auto" w:fill="5C1949"/>
            <w:tcMar>
              <w:top w:w="100" w:type="dxa"/>
              <w:left w:w="120" w:type="dxa"/>
              <w:bottom w:w="100" w:type="dxa"/>
              <w:right w:w="120" w:type="dxa"/>
            </w:tcMar>
            <w:vAlign w:val="center"/>
          </w:tcPr>
          <w:p w14:paraId="1B0D340A">
            <w:pPr>
              <w:keepLines/>
              <w:spacing w:before="0" w:after="0" w:line="240" w:lineRule="auto"/>
              <w:jc w:val="center"/>
            </w:pPr>
            <w:r>
              <w:rPr>
                <w:rFonts w:ascii="Arial" w:hAnsi="Arial" w:eastAsia="Arial"/>
                <w:b/>
                <w:color w:val="FFFFFF"/>
                <w:sz w:val="17"/>
              </w:rPr>
              <w:t>Mandatory fields</w:t>
            </w:r>
          </w:p>
        </w:tc>
      </w:tr>
      <w:tr w14:paraId="71E3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2BD1DAE7">
            <w:pPr>
              <w:keepLines/>
              <w:spacing w:before="0" w:after="0" w:line="240" w:lineRule="auto"/>
              <w:jc w:val="left"/>
            </w:pPr>
            <w:r>
              <w:rPr>
                <w:rFonts w:ascii="Arial" w:hAnsi="Arial" w:eastAsia="Arial"/>
                <w:b/>
                <w:color w:val="1A1A1A"/>
                <w:sz w:val="17"/>
              </w:rPr>
              <w:t>Identity</w:t>
            </w:r>
          </w:p>
        </w:tc>
        <w:tc>
          <w:tcPr>
            <w:tcW w:w="7704" w:type="dxa"/>
            <w:tcMar>
              <w:top w:w="90" w:type="dxa"/>
              <w:left w:w="120" w:type="dxa"/>
              <w:bottom w:w="90" w:type="dxa"/>
              <w:right w:w="120" w:type="dxa"/>
            </w:tcMar>
            <w:vAlign w:val="center"/>
          </w:tcPr>
          <w:p w14:paraId="3B8C9F9F">
            <w:pPr>
              <w:keepLines/>
              <w:spacing w:before="0" w:after="0" w:line="240" w:lineRule="auto"/>
              <w:jc w:val="left"/>
            </w:pPr>
            <w:r>
              <w:rPr>
                <w:rFonts w:ascii="Arial" w:hAnsi="Arial" w:eastAsia="Arial"/>
                <w:b w:val="0"/>
                <w:color w:val="1A1A1A"/>
                <w:sz w:val="17"/>
              </w:rPr>
              <w:t>internal UUID, public financial reference, main code, sub-code/sub-ledger, event type</w:t>
            </w:r>
          </w:p>
        </w:tc>
      </w:tr>
      <w:tr w14:paraId="1C97D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FBFBFB"/>
            <w:tcMar>
              <w:top w:w="90" w:type="dxa"/>
              <w:left w:w="120" w:type="dxa"/>
              <w:bottom w:w="90" w:type="dxa"/>
              <w:right w:w="120" w:type="dxa"/>
            </w:tcMar>
            <w:vAlign w:val="center"/>
          </w:tcPr>
          <w:p w14:paraId="1680AF85">
            <w:pPr>
              <w:keepLines/>
              <w:spacing w:before="0" w:after="0" w:line="240" w:lineRule="auto"/>
              <w:jc w:val="left"/>
            </w:pPr>
            <w:r>
              <w:rPr>
                <w:rFonts w:ascii="Arial" w:hAnsi="Arial" w:eastAsia="Arial"/>
                <w:b/>
                <w:color w:val="1A1A1A"/>
                <w:sz w:val="17"/>
              </w:rPr>
              <w:t>Relationships</w:t>
            </w:r>
          </w:p>
        </w:tc>
        <w:tc>
          <w:tcPr>
            <w:tcW w:w="7704" w:type="dxa"/>
            <w:shd w:val="clear" w:color="auto" w:fill="FBFBFB"/>
            <w:tcMar>
              <w:top w:w="90" w:type="dxa"/>
              <w:left w:w="120" w:type="dxa"/>
              <w:bottom w:w="90" w:type="dxa"/>
              <w:right w:w="120" w:type="dxa"/>
            </w:tcMar>
            <w:vAlign w:val="center"/>
          </w:tcPr>
          <w:p w14:paraId="00EEC246">
            <w:pPr>
              <w:keepLines/>
              <w:spacing w:before="0" w:after="0" w:line="240" w:lineRule="auto"/>
              <w:jc w:val="left"/>
            </w:pPr>
            <w:r>
              <w:rPr>
                <w:rFonts w:ascii="Arial" w:hAnsi="Arial" w:eastAsia="Arial"/>
                <w:b w:val="0"/>
                <w:color w:val="1A1A1A"/>
                <w:sz w:val="17"/>
              </w:rPr>
              <w:t>transaction ID, buyer ID, seller ID, property ID, case ID, escrow ID, professional ID as applicable</w:t>
            </w:r>
          </w:p>
        </w:tc>
      </w:tr>
      <w:tr w14:paraId="6E79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4D2B5E4E">
            <w:pPr>
              <w:keepLines/>
              <w:spacing w:before="0" w:after="0" w:line="240" w:lineRule="auto"/>
              <w:jc w:val="left"/>
            </w:pPr>
            <w:r>
              <w:rPr>
                <w:rFonts w:ascii="Arial" w:hAnsi="Arial" w:eastAsia="Arial"/>
                <w:b/>
                <w:color w:val="1A1A1A"/>
                <w:sz w:val="17"/>
              </w:rPr>
              <w:t>Money</w:t>
            </w:r>
          </w:p>
        </w:tc>
        <w:tc>
          <w:tcPr>
            <w:tcW w:w="7704" w:type="dxa"/>
            <w:tcMar>
              <w:top w:w="90" w:type="dxa"/>
              <w:left w:w="120" w:type="dxa"/>
              <w:bottom w:w="90" w:type="dxa"/>
              <w:right w:w="120" w:type="dxa"/>
            </w:tcMar>
            <w:vAlign w:val="center"/>
          </w:tcPr>
          <w:p w14:paraId="3551AF05">
            <w:pPr>
              <w:keepLines/>
              <w:spacing w:before="0" w:after="0" w:line="240" w:lineRule="auto"/>
              <w:jc w:val="left"/>
            </w:pPr>
            <w:r>
              <w:rPr>
                <w:rFonts w:ascii="Arial" w:hAnsi="Arial" w:eastAsia="Arial"/>
                <w:b w:val="0"/>
                <w:color w:val="1A1A1A"/>
                <w:sz w:val="17"/>
              </w:rPr>
              <w:t>currency, gross amount, principal, commission, VAT, fee, payable, refund and rounding difference</w:t>
            </w:r>
          </w:p>
        </w:tc>
      </w:tr>
      <w:tr w14:paraId="2B79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FBFBFB"/>
            <w:tcMar>
              <w:top w:w="90" w:type="dxa"/>
              <w:left w:w="120" w:type="dxa"/>
              <w:bottom w:w="90" w:type="dxa"/>
              <w:right w:w="120" w:type="dxa"/>
            </w:tcMar>
            <w:vAlign w:val="center"/>
          </w:tcPr>
          <w:p w14:paraId="65F20160">
            <w:pPr>
              <w:keepLines/>
              <w:spacing w:before="0" w:after="0" w:line="240" w:lineRule="auto"/>
              <w:jc w:val="left"/>
            </w:pPr>
            <w:r>
              <w:rPr>
                <w:rFonts w:ascii="Arial" w:hAnsi="Arial" w:eastAsia="Arial"/>
                <w:b/>
                <w:color w:val="1A1A1A"/>
                <w:sz w:val="17"/>
              </w:rPr>
              <w:t>Bank evidence</w:t>
            </w:r>
          </w:p>
        </w:tc>
        <w:tc>
          <w:tcPr>
            <w:tcW w:w="7704" w:type="dxa"/>
            <w:shd w:val="clear" w:color="auto" w:fill="FBFBFB"/>
            <w:tcMar>
              <w:top w:w="90" w:type="dxa"/>
              <w:left w:w="120" w:type="dxa"/>
              <w:bottom w:w="90" w:type="dxa"/>
              <w:right w:w="120" w:type="dxa"/>
            </w:tcMar>
            <w:vAlign w:val="center"/>
          </w:tcPr>
          <w:p w14:paraId="1FCB8005">
            <w:pPr>
              <w:keepLines/>
              <w:spacing w:before="0" w:after="0" w:line="240" w:lineRule="auto"/>
              <w:jc w:val="left"/>
            </w:pPr>
            <w:r>
              <w:rPr>
                <w:rFonts w:ascii="Arial" w:hAnsi="Arial" w:eastAsia="Arial"/>
                <w:b w:val="0"/>
                <w:color w:val="1A1A1A"/>
                <w:sz w:val="17"/>
              </w:rPr>
              <w:t>bank/settlement account, external reference, narration, value date, event date and confirmation status</w:t>
            </w:r>
          </w:p>
        </w:tc>
      </w:tr>
      <w:tr w14:paraId="43DE3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90" w:type="dxa"/>
              <w:left w:w="120" w:type="dxa"/>
              <w:bottom w:w="90" w:type="dxa"/>
              <w:right w:w="120" w:type="dxa"/>
            </w:tcMar>
            <w:vAlign w:val="center"/>
          </w:tcPr>
          <w:p w14:paraId="5D45FBD1">
            <w:pPr>
              <w:keepLines/>
              <w:spacing w:before="0" w:after="0" w:line="240" w:lineRule="auto"/>
              <w:jc w:val="left"/>
            </w:pPr>
            <w:r>
              <w:rPr>
                <w:rFonts w:ascii="Arial" w:hAnsi="Arial" w:eastAsia="Arial"/>
                <w:b/>
                <w:color w:val="1A1A1A"/>
                <w:sz w:val="17"/>
              </w:rPr>
              <w:t>Control</w:t>
            </w:r>
          </w:p>
        </w:tc>
        <w:tc>
          <w:tcPr>
            <w:tcW w:w="7704" w:type="dxa"/>
            <w:tcMar>
              <w:top w:w="90" w:type="dxa"/>
              <w:left w:w="120" w:type="dxa"/>
              <w:bottom w:w="90" w:type="dxa"/>
              <w:right w:w="120" w:type="dxa"/>
            </w:tcMar>
            <w:vAlign w:val="center"/>
          </w:tcPr>
          <w:p w14:paraId="63F27CF7">
            <w:pPr>
              <w:keepLines/>
              <w:spacing w:before="0" w:after="0" w:line="240" w:lineRule="auto"/>
              <w:jc w:val="left"/>
            </w:pPr>
            <w:r>
              <w:rPr>
                <w:rFonts w:ascii="Arial" w:hAnsi="Arial" w:eastAsia="Arial"/>
                <w:b w:val="0"/>
                <w:color w:val="1A1A1A"/>
                <w:sz w:val="17"/>
              </w:rPr>
              <w:t>status, created by, prepared by, approved by, released by, reconciliation status and timestamps</w:t>
            </w:r>
          </w:p>
        </w:tc>
      </w:tr>
      <w:tr w14:paraId="5E0A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FBFBFB"/>
            <w:tcMar>
              <w:top w:w="90" w:type="dxa"/>
              <w:left w:w="120" w:type="dxa"/>
              <w:bottom w:w="90" w:type="dxa"/>
              <w:right w:w="120" w:type="dxa"/>
            </w:tcMar>
            <w:vAlign w:val="center"/>
          </w:tcPr>
          <w:p w14:paraId="13CF70B7">
            <w:pPr>
              <w:keepLines/>
              <w:spacing w:before="0" w:after="0" w:line="240" w:lineRule="auto"/>
              <w:jc w:val="left"/>
            </w:pPr>
            <w:r>
              <w:rPr>
                <w:rFonts w:ascii="Arial" w:hAnsi="Arial" w:eastAsia="Arial"/>
                <w:b/>
                <w:color w:val="1A1A1A"/>
                <w:sz w:val="17"/>
              </w:rPr>
              <w:t>Audit</w:t>
            </w:r>
          </w:p>
        </w:tc>
        <w:tc>
          <w:tcPr>
            <w:tcW w:w="7704" w:type="dxa"/>
            <w:shd w:val="clear" w:color="auto" w:fill="FBFBFB"/>
            <w:tcMar>
              <w:top w:w="90" w:type="dxa"/>
              <w:left w:w="120" w:type="dxa"/>
              <w:bottom w:w="90" w:type="dxa"/>
              <w:right w:w="120" w:type="dxa"/>
            </w:tcMar>
            <w:vAlign w:val="center"/>
          </w:tcPr>
          <w:p w14:paraId="45014B35">
            <w:pPr>
              <w:keepLines/>
              <w:spacing w:before="0" w:after="0" w:line="240" w:lineRule="auto"/>
              <w:jc w:val="left"/>
            </w:pPr>
            <w:r>
              <w:rPr>
                <w:rFonts w:ascii="Arial" w:hAnsi="Arial" w:eastAsia="Arial"/>
                <w:b w:val="0"/>
                <w:color w:val="1A1A1A"/>
                <w:sz w:val="17"/>
              </w:rPr>
              <w:t>request ID, idempotency key, source channel, reason, supporting-document references</w:t>
            </w:r>
          </w:p>
        </w:tc>
      </w:tr>
    </w:tbl>
    <w:p w14:paraId="28461A0A">
      <w:pPr>
        <w:spacing w:after="20"/>
      </w:pPr>
    </w:p>
    <w:p w14:paraId="173FF33D">
      <w:pPr>
        <w:pStyle w:val="3"/>
        <w:keepNext/>
        <w:pageBreakBefore w:val="0"/>
      </w:pPr>
      <w:r>
        <w:t>8.2 Mandatory Constraints</w:t>
      </w:r>
    </w:p>
    <w:p w14:paraId="5DA44912">
      <w:pPr>
        <w:pStyle w:val="23"/>
        <w:spacing w:before="0" w:after="60" w:line="257" w:lineRule="auto"/>
        <w:ind w:left="360" w:hanging="173"/>
      </w:pPr>
      <w:r>
        <w:rPr>
          <w:rFonts w:ascii="Arial" w:hAnsi="Arial" w:eastAsia="Arial"/>
          <w:b w:val="0"/>
          <w:i w:val="0"/>
          <w:color w:val="1A1A1A"/>
          <w:sz w:val="20"/>
        </w:rPr>
        <w:t>Unique constraints on every SBR ID, public financial reference, external event reference and idempotency key.</w:t>
      </w:r>
    </w:p>
    <w:p w14:paraId="2E3D59BB">
      <w:pPr>
        <w:pStyle w:val="23"/>
        <w:spacing w:before="0" w:after="60" w:line="257" w:lineRule="auto"/>
        <w:ind w:left="360" w:hanging="173"/>
      </w:pPr>
      <w:r>
        <w:rPr>
          <w:rFonts w:ascii="Arial" w:hAnsi="Arial" w:eastAsia="Arial"/>
          <w:b w:val="0"/>
          <w:i w:val="0"/>
          <w:color w:val="1A1A1A"/>
          <w:sz w:val="20"/>
        </w:rPr>
        <w:t>Foreign-key or equivalent relationship enforcement between financial records and their parent IDs.</w:t>
      </w:r>
    </w:p>
    <w:p w14:paraId="4A6E7AE1">
      <w:pPr>
        <w:pStyle w:val="23"/>
        <w:spacing w:before="0" w:after="60" w:line="257" w:lineRule="auto"/>
        <w:ind w:left="360" w:hanging="173"/>
      </w:pPr>
      <w:r>
        <w:rPr>
          <w:rFonts w:ascii="Arial" w:hAnsi="Arial" w:eastAsia="Arial"/>
          <w:b w:val="0"/>
          <w:i w:val="0"/>
          <w:color w:val="1A1A1A"/>
          <w:sz w:val="20"/>
        </w:rPr>
        <w:t>Money stored in the smallest currency unit or another exact fixed-precision type; floating-point storage is prohibited.</w:t>
      </w:r>
    </w:p>
    <w:p w14:paraId="4A4596C0">
      <w:pPr>
        <w:pStyle w:val="23"/>
        <w:spacing w:before="0" w:after="60" w:line="257" w:lineRule="auto"/>
        <w:ind w:left="360" w:hanging="173"/>
      </w:pPr>
      <w:r>
        <w:rPr>
          <w:rFonts w:ascii="Arial" w:hAnsi="Arial" w:eastAsia="Arial"/>
          <w:b w:val="0"/>
          <w:i w:val="0"/>
          <w:color w:val="1A1A1A"/>
          <w:sz w:val="20"/>
        </w:rPr>
        <w:t>Posted ledger entries, confirmed escrow movements and issued receipts cannot be edited or deleted.</w:t>
      </w:r>
    </w:p>
    <w:p w14:paraId="5E6BA527">
      <w:pPr>
        <w:pStyle w:val="23"/>
        <w:spacing w:before="0" w:after="60" w:line="257" w:lineRule="auto"/>
        <w:ind w:left="360" w:hanging="173"/>
      </w:pPr>
      <w:r>
        <w:rPr>
          <w:rFonts w:ascii="Arial" w:hAnsi="Arial" w:eastAsia="Arial"/>
          <w:b w:val="0"/>
          <w:i w:val="0"/>
          <w:color w:val="1A1A1A"/>
          <w:sz w:val="20"/>
        </w:rPr>
        <w:t>A correction must use reversal and replacement records.</w:t>
      </w:r>
    </w:p>
    <w:p w14:paraId="01A95A2A">
      <w:pPr>
        <w:pStyle w:val="23"/>
        <w:spacing w:before="0" w:after="60" w:line="257" w:lineRule="auto"/>
        <w:ind w:left="360" w:hanging="173"/>
      </w:pPr>
      <w:r>
        <w:rPr>
          <w:rFonts w:ascii="Arial" w:hAnsi="Arial" w:eastAsia="Arial"/>
          <w:b w:val="0"/>
          <w:i w:val="0"/>
          <w:color w:val="1A1A1A"/>
          <w:sz w:val="20"/>
        </w:rPr>
        <w:t>A seller release or refund cannot exceed the verified available escrow balance.</w:t>
      </w:r>
    </w:p>
    <w:p w14:paraId="2EA36008">
      <w:pPr>
        <w:pStyle w:val="23"/>
        <w:spacing w:before="0" w:after="60" w:line="257" w:lineRule="auto"/>
        <w:ind w:left="360" w:hanging="173"/>
      </w:pPr>
      <w:r>
        <w:rPr>
          <w:rFonts w:ascii="Arial" w:hAnsi="Arial" w:eastAsia="Arial"/>
          <w:b w:val="0"/>
          <w:i w:val="0"/>
          <w:color w:val="1A1A1A"/>
          <w:sz w:val="20"/>
        </w:rPr>
        <w:t>A transaction cannot be marked reconciled without matching statement/settlement evidence or an approved exception.</w:t>
      </w:r>
    </w:p>
    <w:p w14:paraId="5D3BF7DC">
      <w:pPr>
        <w:pStyle w:val="2"/>
        <w:keepNext/>
        <w:pageBreakBefore w:val="0"/>
      </w:pPr>
      <w:r>
        <w:t>9. Website Screens and Dashboard Requirements</w:t>
      </w:r>
    </w:p>
    <w:p w14:paraId="589F60ED">
      <w:pPr>
        <w:pStyle w:val="3"/>
        <w:keepNext/>
        <w:pageBreakBefore w:val="0"/>
      </w:pPr>
      <w:r>
        <w:t>9.1 Finance Control Centre</w:t>
      </w:r>
    </w:p>
    <w:p w14:paraId="3EC63B47">
      <w:pPr>
        <w:pStyle w:val="23"/>
        <w:spacing w:before="0" w:after="60" w:line="257" w:lineRule="auto"/>
        <w:ind w:left="360" w:hanging="173"/>
      </w:pPr>
      <w:r>
        <w:rPr>
          <w:rFonts w:ascii="Arial" w:hAnsi="Arial" w:eastAsia="Arial"/>
          <w:b w:val="0"/>
          <w:i w:val="0"/>
          <w:color w:val="1A1A1A"/>
          <w:sz w:val="20"/>
        </w:rPr>
        <w:t>Balances by Code 1, 2, 3, 4 and VAT account.</w:t>
      </w:r>
    </w:p>
    <w:p w14:paraId="4250DB8B">
      <w:pPr>
        <w:pStyle w:val="23"/>
        <w:spacing w:before="0" w:after="60" w:line="257" w:lineRule="auto"/>
        <w:ind w:left="360" w:hanging="173"/>
      </w:pPr>
      <w:r>
        <w:rPr>
          <w:rFonts w:ascii="Arial" w:hAnsi="Arial" w:eastAsia="Arial"/>
          <w:b w:val="0"/>
          <w:i w:val="0"/>
          <w:color w:val="1A1A1A"/>
          <w:sz w:val="20"/>
        </w:rPr>
        <w:t>Today, month-to-date and year-to-date receipts by sub-code.</w:t>
      </w:r>
    </w:p>
    <w:p w14:paraId="357C390A">
      <w:pPr>
        <w:pStyle w:val="23"/>
        <w:spacing w:before="0" w:after="60" w:line="257" w:lineRule="auto"/>
        <w:ind w:left="360" w:hanging="173"/>
      </w:pPr>
      <w:r>
        <w:rPr>
          <w:rFonts w:ascii="Arial" w:hAnsi="Arial" w:eastAsia="Arial"/>
          <w:b w:val="0"/>
          <w:i w:val="0"/>
          <w:color w:val="1A1A1A"/>
          <w:sz w:val="20"/>
        </w:rPr>
        <w:t>Escrow funds held, seller releases pending, refunds pending and accounts on hold.</w:t>
      </w:r>
    </w:p>
    <w:p w14:paraId="70A427CA">
      <w:pPr>
        <w:pStyle w:val="23"/>
        <w:spacing w:before="0" w:after="60" w:line="257" w:lineRule="auto"/>
        <w:ind w:left="360" w:hanging="173"/>
      </w:pPr>
      <w:r>
        <w:rPr>
          <w:rFonts w:ascii="Arial" w:hAnsi="Arial" w:eastAsia="Arial"/>
          <w:b w:val="0"/>
          <w:i w:val="0"/>
          <w:color w:val="1A1A1A"/>
          <w:sz w:val="20"/>
        </w:rPr>
        <w:t>VAT collected, transferred/remitted, adjusted and outstanding.</w:t>
      </w:r>
    </w:p>
    <w:p w14:paraId="0FE042AF">
      <w:pPr>
        <w:pStyle w:val="23"/>
        <w:spacing w:before="0" w:after="60" w:line="257" w:lineRule="auto"/>
        <w:ind w:left="360" w:hanging="173"/>
      </w:pPr>
      <w:r>
        <w:rPr>
          <w:rFonts w:ascii="Arial" w:hAnsi="Arial" w:eastAsia="Arial"/>
          <w:b w:val="0"/>
          <w:i w:val="0"/>
          <w:color w:val="1A1A1A"/>
          <w:sz w:val="20"/>
        </w:rPr>
        <w:t>Unidentified receipts and reconciliation exceptions.</w:t>
      </w:r>
    </w:p>
    <w:p w14:paraId="01BB5BF9">
      <w:pPr>
        <w:pStyle w:val="23"/>
        <w:spacing w:before="0" w:after="60" w:line="257" w:lineRule="auto"/>
        <w:ind w:left="360" w:hanging="173"/>
      </w:pPr>
      <w:r>
        <w:rPr>
          <w:rFonts w:ascii="Arial" w:hAnsi="Arial" w:eastAsia="Arial"/>
          <w:b w:val="0"/>
          <w:i w:val="0"/>
          <w:color w:val="1A1A1A"/>
          <w:sz w:val="20"/>
        </w:rPr>
        <w:t>Search by any SBR ID, bank reference, invoice, amount, client or date.</w:t>
      </w:r>
    </w:p>
    <w:p w14:paraId="0340FF71">
      <w:pPr>
        <w:pStyle w:val="23"/>
        <w:spacing w:before="0" w:after="60" w:line="257" w:lineRule="auto"/>
        <w:ind w:left="360" w:hanging="173"/>
      </w:pPr>
      <w:r>
        <w:rPr>
          <w:rFonts w:ascii="Arial" w:hAnsi="Arial" w:eastAsia="Arial"/>
          <w:b w:val="0"/>
          <w:i w:val="0"/>
          <w:color w:val="1A1A1A"/>
          <w:sz w:val="20"/>
        </w:rPr>
        <w:t>Approval queue, release queue, failed events and audit alerts.</w:t>
      </w:r>
    </w:p>
    <w:p w14:paraId="4CA23426">
      <w:pPr>
        <w:pStyle w:val="3"/>
        <w:keepNext/>
        <w:pageBreakBefore w:val="0"/>
      </w:pPr>
      <w:r>
        <w:t>9.2 Account-Specific Views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62F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5C1949"/>
            <w:tcMar>
              <w:top w:w="100" w:type="dxa"/>
              <w:left w:w="120" w:type="dxa"/>
              <w:bottom w:w="100" w:type="dxa"/>
              <w:right w:w="120" w:type="dxa"/>
            </w:tcMar>
            <w:vAlign w:val="center"/>
          </w:tcPr>
          <w:p w14:paraId="250BDFAF">
            <w:pPr>
              <w:keepLines/>
              <w:spacing w:before="0" w:after="0" w:line="240" w:lineRule="auto"/>
              <w:jc w:val="center"/>
            </w:pPr>
            <w:r>
              <w:rPr>
                <w:rFonts w:ascii="Arial" w:hAnsi="Arial" w:eastAsia="Arial"/>
                <w:b/>
                <w:color w:val="FFFFFF"/>
                <w:sz w:val="17"/>
              </w:rPr>
              <w:t>View</w:t>
            </w:r>
          </w:p>
        </w:tc>
        <w:tc>
          <w:tcPr>
            <w:tcW w:w="7776" w:type="dxa"/>
            <w:shd w:val="clear" w:color="auto" w:fill="5C1949"/>
            <w:tcMar>
              <w:top w:w="100" w:type="dxa"/>
              <w:left w:w="120" w:type="dxa"/>
              <w:bottom w:w="100" w:type="dxa"/>
              <w:right w:w="120" w:type="dxa"/>
            </w:tcMar>
            <w:vAlign w:val="center"/>
          </w:tcPr>
          <w:p w14:paraId="5EF958BD">
            <w:pPr>
              <w:keepLines/>
              <w:spacing w:before="0" w:after="0" w:line="240" w:lineRule="auto"/>
              <w:jc w:val="center"/>
            </w:pPr>
            <w:r>
              <w:rPr>
                <w:rFonts w:ascii="Arial" w:hAnsi="Arial" w:eastAsia="Arial"/>
                <w:b/>
                <w:color w:val="FFFFFF"/>
                <w:sz w:val="17"/>
              </w:rPr>
              <w:t>Required content</w:t>
            </w:r>
          </w:p>
        </w:tc>
      </w:tr>
      <w:tr w14:paraId="79F7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90" w:type="dxa"/>
              <w:left w:w="120" w:type="dxa"/>
              <w:bottom w:w="90" w:type="dxa"/>
              <w:right w:w="120" w:type="dxa"/>
            </w:tcMar>
            <w:vAlign w:val="center"/>
          </w:tcPr>
          <w:p w14:paraId="0C61593D">
            <w:pPr>
              <w:keepLines/>
              <w:spacing w:before="0" w:after="0" w:line="240" w:lineRule="auto"/>
              <w:jc w:val="left"/>
            </w:pPr>
            <w:r>
              <w:rPr>
                <w:rFonts w:ascii="Arial" w:hAnsi="Arial" w:eastAsia="Arial"/>
                <w:b/>
                <w:color w:val="1A1A1A"/>
                <w:sz w:val="17"/>
              </w:rPr>
              <w:t>Code 1</w:t>
            </w:r>
          </w:p>
        </w:tc>
        <w:tc>
          <w:tcPr>
            <w:tcW w:w="7776" w:type="dxa"/>
            <w:tcMar>
              <w:top w:w="90" w:type="dxa"/>
              <w:left w:w="120" w:type="dxa"/>
              <w:bottom w:w="90" w:type="dxa"/>
              <w:right w:w="120" w:type="dxa"/>
            </w:tcMar>
            <w:vAlign w:val="center"/>
          </w:tcPr>
          <w:p w14:paraId="2FEA0E14">
            <w:pPr>
              <w:keepLines/>
              <w:spacing w:before="0" w:after="0" w:line="240" w:lineRule="auto"/>
              <w:jc w:val="left"/>
            </w:pPr>
            <w:r>
              <w:rPr>
                <w:rFonts w:ascii="Arial" w:hAnsi="Arial" w:eastAsia="Arial"/>
                <w:b w:val="0"/>
                <w:color w:val="1A1A1A"/>
                <w:sz w:val="17"/>
              </w:rPr>
              <w:t>Buyer/seller commissions, sub-code, property, client, transaction, VAT, receipt and reconciliation status</w:t>
            </w:r>
          </w:p>
        </w:tc>
      </w:tr>
      <w:tr w14:paraId="297A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BFBFB"/>
            <w:tcMar>
              <w:top w:w="90" w:type="dxa"/>
              <w:left w:w="120" w:type="dxa"/>
              <w:bottom w:w="90" w:type="dxa"/>
              <w:right w:w="120" w:type="dxa"/>
            </w:tcMar>
            <w:vAlign w:val="center"/>
          </w:tcPr>
          <w:p w14:paraId="3CC1D05D">
            <w:pPr>
              <w:keepLines/>
              <w:spacing w:before="0" w:after="0" w:line="240" w:lineRule="auto"/>
              <w:jc w:val="left"/>
            </w:pPr>
            <w:r>
              <w:rPr>
                <w:rFonts w:ascii="Arial" w:hAnsi="Arial" w:eastAsia="Arial"/>
                <w:b/>
                <w:color w:val="1A1A1A"/>
                <w:sz w:val="17"/>
              </w:rPr>
              <w:t>Code 2</w:t>
            </w:r>
          </w:p>
        </w:tc>
        <w:tc>
          <w:tcPr>
            <w:tcW w:w="7776" w:type="dxa"/>
            <w:shd w:val="clear" w:color="auto" w:fill="FBFBFB"/>
            <w:tcMar>
              <w:top w:w="90" w:type="dxa"/>
              <w:left w:w="120" w:type="dxa"/>
              <w:bottom w:w="90" w:type="dxa"/>
              <w:right w:w="120" w:type="dxa"/>
            </w:tcMar>
            <w:vAlign w:val="center"/>
          </w:tcPr>
          <w:p w14:paraId="7C0255FD">
            <w:pPr>
              <w:keepLines/>
              <w:spacing w:before="0" w:after="0" w:line="240" w:lineRule="auto"/>
              <w:jc w:val="left"/>
            </w:pPr>
            <w:r>
              <w:rPr>
                <w:rFonts w:ascii="Arial" w:hAnsi="Arial" w:eastAsia="Arial"/>
                <w:b w:val="0"/>
                <w:color w:val="1A1A1A"/>
                <w:sz w:val="17"/>
              </w:rPr>
              <w:t>Due-diligence receipts by service code, case, property, client and assigned professional</w:t>
            </w:r>
          </w:p>
        </w:tc>
      </w:tr>
      <w:tr w14:paraId="72DE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90" w:type="dxa"/>
              <w:left w:w="120" w:type="dxa"/>
              <w:bottom w:w="90" w:type="dxa"/>
              <w:right w:w="120" w:type="dxa"/>
            </w:tcMar>
            <w:vAlign w:val="center"/>
          </w:tcPr>
          <w:p w14:paraId="7DE0810C">
            <w:pPr>
              <w:keepLines/>
              <w:spacing w:before="0" w:after="0" w:line="240" w:lineRule="auto"/>
              <w:jc w:val="left"/>
            </w:pPr>
            <w:r>
              <w:rPr>
                <w:rFonts w:ascii="Arial" w:hAnsi="Arial" w:eastAsia="Arial"/>
                <w:b/>
                <w:color w:val="1A1A1A"/>
                <w:sz w:val="17"/>
              </w:rPr>
              <w:t>Code 3</w:t>
            </w:r>
          </w:p>
        </w:tc>
        <w:tc>
          <w:tcPr>
            <w:tcW w:w="7776" w:type="dxa"/>
            <w:tcMar>
              <w:top w:w="90" w:type="dxa"/>
              <w:left w:w="120" w:type="dxa"/>
              <w:bottom w:w="90" w:type="dxa"/>
              <w:right w:w="120" w:type="dxa"/>
            </w:tcMar>
            <w:vAlign w:val="center"/>
          </w:tcPr>
          <w:p w14:paraId="50B64C81">
            <w:pPr>
              <w:keepLines/>
              <w:spacing w:before="0" w:after="0" w:line="240" w:lineRule="auto"/>
              <w:jc w:val="left"/>
            </w:pPr>
            <w:r>
              <w:rPr>
                <w:rFonts w:ascii="Arial" w:hAnsi="Arial" w:eastAsia="Arial"/>
                <w:b w:val="0"/>
                <w:color w:val="1A1A1A"/>
                <w:sz w:val="17"/>
              </w:rPr>
              <w:t>Escrow account summary plus one sub-ledger per Escrow ID, inflow/outflow timeline and available balance</w:t>
            </w:r>
          </w:p>
        </w:tc>
      </w:tr>
      <w:tr w14:paraId="7080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BFBFB"/>
            <w:tcMar>
              <w:top w:w="90" w:type="dxa"/>
              <w:left w:w="120" w:type="dxa"/>
              <w:bottom w:w="90" w:type="dxa"/>
              <w:right w:w="120" w:type="dxa"/>
            </w:tcMar>
            <w:vAlign w:val="center"/>
          </w:tcPr>
          <w:p w14:paraId="28842EE9">
            <w:pPr>
              <w:keepLines/>
              <w:spacing w:before="0" w:after="0" w:line="240" w:lineRule="auto"/>
              <w:jc w:val="left"/>
            </w:pPr>
            <w:r>
              <w:rPr>
                <w:rFonts w:ascii="Arial" w:hAnsi="Arial" w:eastAsia="Arial"/>
                <w:b/>
                <w:color w:val="1A1A1A"/>
                <w:sz w:val="17"/>
              </w:rPr>
              <w:t>Code 4</w:t>
            </w:r>
          </w:p>
        </w:tc>
        <w:tc>
          <w:tcPr>
            <w:tcW w:w="7776" w:type="dxa"/>
            <w:shd w:val="clear" w:color="auto" w:fill="FBFBFB"/>
            <w:tcMar>
              <w:top w:w="90" w:type="dxa"/>
              <w:left w:w="120" w:type="dxa"/>
              <w:bottom w:w="90" w:type="dxa"/>
              <w:right w:w="120" w:type="dxa"/>
            </w:tcMar>
            <w:vAlign w:val="center"/>
          </w:tcPr>
          <w:p w14:paraId="38D4D3DA">
            <w:pPr>
              <w:keepLines/>
              <w:spacing w:before="0" w:after="0" w:line="240" w:lineRule="auto"/>
              <w:jc w:val="left"/>
            </w:pPr>
            <w:r>
              <w:rPr>
                <w:rFonts w:ascii="Arial" w:hAnsi="Arial" w:eastAsia="Arial"/>
                <w:b w:val="0"/>
                <w:color w:val="1A1A1A"/>
                <w:sz w:val="17"/>
              </w:rPr>
              <w:t>Professional commission by Professional ID, category, assignment, transaction and VAT</w:t>
            </w:r>
          </w:p>
        </w:tc>
      </w:tr>
      <w:tr w14:paraId="1995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90" w:type="dxa"/>
              <w:left w:w="120" w:type="dxa"/>
              <w:bottom w:w="90" w:type="dxa"/>
              <w:right w:w="120" w:type="dxa"/>
            </w:tcMar>
            <w:vAlign w:val="center"/>
          </w:tcPr>
          <w:p w14:paraId="36FEB026">
            <w:pPr>
              <w:keepLines/>
              <w:spacing w:before="0" w:after="0" w:line="240" w:lineRule="auto"/>
              <w:jc w:val="left"/>
            </w:pPr>
            <w:r>
              <w:rPr>
                <w:rFonts w:ascii="Arial" w:hAnsi="Arial" w:eastAsia="Arial"/>
                <w:b/>
                <w:color w:val="1A1A1A"/>
                <w:sz w:val="17"/>
              </w:rPr>
              <w:t>VAT</w:t>
            </w:r>
          </w:p>
        </w:tc>
        <w:tc>
          <w:tcPr>
            <w:tcW w:w="7776" w:type="dxa"/>
            <w:tcMar>
              <w:top w:w="90" w:type="dxa"/>
              <w:left w:w="120" w:type="dxa"/>
              <w:bottom w:w="90" w:type="dxa"/>
              <w:right w:w="120" w:type="dxa"/>
            </w:tcMar>
            <w:vAlign w:val="center"/>
          </w:tcPr>
          <w:p w14:paraId="06665C77">
            <w:pPr>
              <w:keepLines/>
              <w:spacing w:before="0" w:after="0" w:line="240" w:lineRule="auto"/>
              <w:jc w:val="left"/>
            </w:pPr>
            <w:r>
              <w:rPr>
                <w:rFonts w:ascii="Arial" w:hAnsi="Arial" w:eastAsia="Arial"/>
                <w:b w:val="0"/>
                <w:color w:val="1A1A1A"/>
                <w:sz w:val="17"/>
              </w:rPr>
              <w:t>VAT lines by source code, tax rate, invoice, period, adjustment and settlement status</w:t>
            </w:r>
          </w:p>
        </w:tc>
      </w:tr>
      <w:tr w14:paraId="52D5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BFBFB"/>
            <w:tcMar>
              <w:top w:w="90" w:type="dxa"/>
              <w:left w:w="120" w:type="dxa"/>
              <w:bottom w:w="90" w:type="dxa"/>
              <w:right w:w="120" w:type="dxa"/>
            </w:tcMar>
            <w:vAlign w:val="center"/>
          </w:tcPr>
          <w:p w14:paraId="18BFE369">
            <w:pPr>
              <w:keepLines/>
              <w:spacing w:before="0" w:after="0" w:line="240" w:lineRule="auto"/>
              <w:jc w:val="left"/>
            </w:pPr>
            <w:r>
              <w:rPr>
                <w:rFonts w:ascii="Arial" w:hAnsi="Arial" w:eastAsia="Arial"/>
                <w:b/>
                <w:color w:val="1A1A1A"/>
                <w:sz w:val="17"/>
              </w:rPr>
              <w:t>Operations reference</w:t>
            </w:r>
          </w:p>
        </w:tc>
        <w:tc>
          <w:tcPr>
            <w:tcW w:w="7776" w:type="dxa"/>
            <w:shd w:val="clear" w:color="auto" w:fill="FBFBFB"/>
            <w:tcMar>
              <w:top w:w="90" w:type="dxa"/>
              <w:left w:w="120" w:type="dxa"/>
              <w:bottom w:w="90" w:type="dxa"/>
              <w:right w:w="120" w:type="dxa"/>
            </w:tcMar>
            <w:vAlign w:val="center"/>
          </w:tcPr>
          <w:p w14:paraId="219B3C1A">
            <w:pPr>
              <w:keepLines/>
              <w:spacing w:before="0" w:after="0" w:line="240" w:lineRule="auto"/>
              <w:jc w:val="left"/>
            </w:pPr>
            <w:r>
              <w:rPr>
                <w:rFonts w:ascii="Arial" w:hAnsi="Arial" w:eastAsia="Arial"/>
                <w:b w:val="0"/>
                <w:color w:val="1A1A1A"/>
                <w:sz w:val="17"/>
              </w:rPr>
              <w:t>Restricted finance-only summary; no customer-facing account details or transaction routing</w:t>
            </w:r>
          </w:p>
        </w:tc>
      </w:tr>
    </w:tbl>
    <w:p w14:paraId="7E3D873E">
      <w:pPr>
        <w:spacing w:after="20"/>
      </w:pPr>
    </w:p>
    <w:p w14:paraId="6B17E7BD">
      <w:pPr>
        <w:pStyle w:val="3"/>
        <w:keepNext/>
        <w:pageBreakBefore w:val="0"/>
      </w:pPr>
      <w:r>
        <w:t>9.3 Escrow Case Screen</w:t>
      </w:r>
    </w:p>
    <w:p w14:paraId="6A1B2814">
      <w:pPr>
        <w:pStyle w:val="23"/>
        <w:spacing w:before="0" w:after="60" w:line="257" w:lineRule="auto"/>
        <w:ind w:left="360" w:hanging="173"/>
      </w:pPr>
      <w:r>
        <w:rPr>
          <w:rFonts w:ascii="Arial" w:hAnsi="Arial" w:eastAsia="Arial"/>
          <w:b w:val="0"/>
          <w:i w:val="0"/>
          <w:color w:val="1A1A1A"/>
          <w:sz w:val="20"/>
        </w:rPr>
        <w:t>Escrow ID and parent Transaction ID displayed prominently.</w:t>
      </w:r>
    </w:p>
    <w:p w14:paraId="282E7FB6">
      <w:pPr>
        <w:pStyle w:val="23"/>
        <w:spacing w:before="0" w:after="60" w:line="257" w:lineRule="auto"/>
        <w:ind w:left="360" w:hanging="173"/>
      </w:pPr>
      <w:r>
        <w:rPr>
          <w:rFonts w:ascii="Arial" w:hAnsi="Arial" w:eastAsia="Arial"/>
          <w:b w:val="0"/>
          <w:i w:val="0"/>
          <w:color w:val="1A1A1A"/>
          <w:sz w:val="20"/>
        </w:rPr>
        <w:t>Buyer, seller, property and due-diligence links.</w:t>
      </w:r>
    </w:p>
    <w:p w14:paraId="09902F54">
      <w:pPr>
        <w:pStyle w:val="23"/>
        <w:spacing w:before="0" w:after="60" w:line="257" w:lineRule="auto"/>
        <w:ind w:left="360" w:hanging="173"/>
      </w:pPr>
      <w:r>
        <w:rPr>
          <w:rFonts w:ascii="Arial" w:hAnsi="Arial" w:eastAsia="Arial"/>
          <w:b w:val="0"/>
          <w:i w:val="0"/>
          <w:color w:val="1A1A1A"/>
          <w:sz w:val="20"/>
        </w:rPr>
        <w:t>Escrow account/payment instruction and deposit status.</w:t>
      </w:r>
    </w:p>
    <w:p w14:paraId="392D19B1">
      <w:pPr>
        <w:pStyle w:val="23"/>
        <w:spacing w:before="0" w:after="60" w:line="257" w:lineRule="auto"/>
        <w:ind w:left="360" w:hanging="173"/>
      </w:pPr>
      <w:r>
        <w:rPr>
          <w:rFonts w:ascii="Arial" w:hAnsi="Arial" w:eastAsia="Arial"/>
          <w:b w:val="0"/>
          <w:i w:val="0"/>
          <w:color w:val="1A1A1A"/>
          <w:sz w:val="20"/>
        </w:rPr>
        <w:t>Deposit, allocation, commission, VAT, seller net, refund and available-balance summary.</w:t>
      </w:r>
    </w:p>
    <w:p w14:paraId="3440E699">
      <w:pPr>
        <w:pStyle w:val="23"/>
        <w:spacing w:before="0" w:after="60" w:line="257" w:lineRule="auto"/>
        <w:ind w:left="360" w:hanging="173"/>
      </w:pPr>
      <w:r>
        <w:rPr>
          <w:rFonts w:ascii="Arial" w:hAnsi="Arial" w:eastAsia="Arial"/>
          <w:b w:val="0"/>
          <w:i w:val="0"/>
          <w:color w:val="1A1A1A"/>
          <w:sz w:val="20"/>
        </w:rPr>
        <w:t>Conditions checklist, legal/compliance holds and release eligibility.</w:t>
      </w:r>
    </w:p>
    <w:p w14:paraId="0C6F6B0E">
      <w:pPr>
        <w:pStyle w:val="23"/>
        <w:spacing w:before="0" w:after="60" w:line="257" w:lineRule="auto"/>
        <w:ind w:left="360" w:hanging="173"/>
      </w:pPr>
      <w:r>
        <w:rPr>
          <w:rFonts w:ascii="Arial" w:hAnsi="Arial" w:eastAsia="Arial"/>
          <w:b w:val="0"/>
          <w:i w:val="0"/>
          <w:color w:val="1A1A1A"/>
          <w:sz w:val="20"/>
        </w:rPr>
        <w:t>Verified beneficiary, masked account details and beneficiary change history.</w:t>
      </w:r>
    </w:p>
    <w:p w14:paraId="2E3C2C5F">
      <w:pPr>
        <w:pStyle w:val="23"/>
        <w:spacing w:before="0" w:after="60" w:line="257" w:lineRule="auto"/>
        <w:ind w:left="360" w:hanging="173"/>
      </w:pPr>
      <w:r>
        <w:rPr>
          <w:rFonts w:ascii="Arial" w:hAnsi="Arial" w:eastAsia="Arial"/>
          <w:b w:val="0"/>
          <w:i w:val="0"/>
          <w:color w:val="1A1A1A"/>
          <w:sz w:val="20"/>
        </w:rPr>
        <w:t>Approval timeline, external confirmation, statements and reconciliation result.</w:t>
      </w:r>
    </w:p>
    <w:p w14:paraId="5EEC67E5">
      <w:pPr>
        <w:pStyle w:val="2"/>
        <w:keepNext/>
        <w:pageBreakBefore w:val="0"/>
      </w:pPr>
      <w:r>
        <w:t>10. Roles, Approvals and Segregation of Duties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F43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5C1949"/>
            <w:tcMar>
              <w:top w:w="100" w:type="dxa"/>
              <w:left w:w="120" w:type="dxa"/>
              <w:bottom w:w="100" w:type="dxa"/>
              <w:right w:w="120" w:type="dxa"/>
            </w:tcMar>
            <w:vAlign w:val="center"/>
          </w:tcPr>
          <w:p w14:paraId="77D9F10B">
            <w:pPr>
              <w:keepLines/>
              <w:spacing w:before="0" w:after="0" w:line="240" w:lineRule="auto"/>
              <w:jc w:val="center"/>
            </w:pPr>
            <w:r>
              <w:rPr>
                <w:rFonts w:ascii="Arial" w:hAnsi="Arial" w:eastAsia="Arial"/>
                <w:b/>
                <w:color w:val="FFFFFF"/>
                <w:sz w:val="17"/>
              </w:rPr>
              <w:t>Role</w:t>
            </w:r>
          </w:p>
        </w:tc>
        <w:tc>
          <w:tcPr>
            <w:tcW w:w="6912" w:type="dxa"/>
            <w:shd w:val="clear" w:color="auto" w:fill="5C1949"/>
            <w:tcMar>
              <w:top w:w="100" w:type="dxa"/>
              <w:left w:w="120" w:type="dxa"/>
              <w:bottom w:w="100" w:type="dxa"/>
              <w:right w:w="120" w:type="dxa"/>
            </w:tcMar>
            <w:vAlign w:val="center"/>
          </w:tcPr>
          <w:p w14:paraId="41BB109A">
            <w:pPr>
              <w:keepLines/>
              <w:spacing w:before="0" w:after="0" w:line="240" w:lineRule="auto"/>
              <w:jc w:val="center"/>
            </w:pPr>
            <w:r>
              <w:rPr>
                <w:rFonts w:ascii="Arial" w:hAnsi="Arial" w:eastAsia="Arial"/>
                <w:b/>
                <w:color w:val="FFFFFF"/>
                <w:sz w:val="17"/>
              </w:rPr>
              <w:t>Core authority</w:t>
            </w:r>
          </w:p>
        </w:tc>
      </w:tr>
      <w:tr w14:paraId="7D70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1D761008">
            <w:pPr>
              <w:keepLines/>
              <w:spacing w:before="0" w:after="0" w:line="240" w:lineRule="auto"/>
              <w:jc w:val="left"/>
            </w:pPr>
            <w:r>
              <w:rPr>
                <w:rFonts w:ascii="Arial" w:hAnsi="Arial" w:eastAsia="Arial"/>
                <w:b/>
                <w:color w:val="1A1A1A"/>
                <w:sz w:val="17"/>
              </w:rPr>
              <w:t>Finance Viewer</w:t>
            </w:r>
          </w:p>
        </w:tc>
        <w:tc>
          <w:tcPr>
            <w:tcW w:w="6912" w:type="dxa"/>
            <w:tcMar>
              <w:top w:w="90" w:type="dxa"/>
              <w:left w:w="120" w:type="dxa"/>
              <w:bottom w:w="90" w:type="dxa"/>
              <w:right w:w="120" w:type="dxa"/>
            </w:tcMar>
            <w:vAlign w:val="center"/>
          </w:tcPr>
          <w:p w14:paraId="3F74E20B">
            <w:pPr>
              <w:keepLines/>
              <w:spacing w:before="0" w:after="0" w:line="240" w:lineRule="auto"/>
              <w:jc w:val="left"/>
            </w:pPr>
            <w:r>
              <w:rPr>
                <w:rFonts w:ascii="Arial" w:hAnsi="Arial" w:eastAsia="Arial"/>
                <w:b w:val="0"/>
                <w:color w:val="1A1A1A"/>
                <w:sz w:val="17"/>
              </w:rPr>
              <w:t>Read approved financial records and reports; no preparation or approval rights</w:t>
            </w:r>
          </w:p>
        </w:tc>
      </w:tr>
      <w:tr w14:paraId="37BD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6FED5404">
            <w:pPr>
              <w:keepLines/>
              <w:spacing w:before="0" w:after="0" w:line="240" w:lineRule="auto"/>
              <w:jc w:val="left"/>
            </w:pPr>
            <w:r>
              <w:rPr>
                <w:rFonts w:ascii="Arial" w:hAnsi="Arial" w:eastAsia="Arial"/>
                <w:b/>
                <w:color w:val="1A1A1A"/>
                <w:sz w:val="17"/>
              </w:rPr>
              <w:t>Finance Preparer</w:t>
            </w:r>
          </w:p>
        </w:tc>
        <w:tc>
          <w:tcPr>
            <w:tcW w:w="6912" w:type="dxa"/>
            <w:shd w:val="clear" w:color="auto" w:fill="FBFBFB"/>
            <w:tcMar>
              <w:top w:w="90" w:type="dxa"/>
              <w:left w:w="120" w:type="dxa"/>
              <w:bottom w:w="90" w:type="dxa"/>
              <w:right w:w="120" w:type="dxa"/>
            </w:tcMar>
            <w:vAlign w:val="center"/>
          </w:tcPr>
          <w:p w14:paraId="3F8E2B3E">
            <w:pPr>
              <w:keepLines/>
              <w:spacing w:before="0" w:after="0" w:line="240" w:lineRule="auto"/>
              <w:jc w:val="left"/>
            </w:pPr>
            <w:r>
              <w:rPr>
                <w:rFonts w:ascii="Arial" w:hAnsi="Arial" w:eastAsia="Arial"/>
                <w:b w:val="0"/>
                <w:color w:val="1A1A1A"/>
                <w:sz w:val="17"/>
              </w:rPr>
              <w:t>Prepare allocations, journals, refunds and seller releases within limits</w:t>
            </w:r>
          </w:p>
        </w:tc>
      </w:tr>
      <w:tr w14:paraId="14DB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59E7C408">
            <w:pPr>
              <w:keepLines/>
              <w:spacing w:before="0" w:after="0" w:line="240" w:lineRule="auto"/>
              <w:jc w:val="left"/>
            </w:pPr>
            <w:r>
              <w:rPr>
                <w:rFonts w:ascii="Arial" w:hAnsi="Arial" w:eastAsia="Arial"/>
                <w:b/>
                <w:color w:val="1A1A1A"/>
                <w:sz w:val="17"/>
              </w:rPr>
              <w:t>Finance Approver</w:t>
            </w:r>
          </w:p>
        </w:tc>
        <w:tc>
          <w:tcPr>
            <w:tcW w:w="6912" w:type="dxa"/>
            <w:tcMar>
              <w:top w:w="90" w:type="dxa"/>
              <w:left w:w="120" w:type="dxa"/>
              <w:bottom w:w="90" w:type="dxa"/>
              <w:right w:w="120" w:type="dxa"/>
            </w:tcMar>
            <w:vAlign w:val="center"/>
          </w:tcPr>
          <w:p w14:paraId="597F4F2B">
            <w:pPr>
              <w:keepLines/>
              <w:spacing w:before="0" w:after="0" w:line="240" w:lineRule="auto"/>
              <w:jc w:val="left"/>
            </w:pPr>
            <w:r>
              <w:rPr>
                <w:rFonts w:ascii="Arial" w:hAnsi="Arial" w:eastAsia="Arial"/>
                <w:b w:val="0"/>
                <w:color w:val="1A1A1A"/>
                <w:sz w:val="17"/>
              </w:rPr>
              <w:t>Review and approve prepared financial actions within authority limits</w:t>
            </w:r>
          </w:p>
        </w:tc>
      </w:tr>
      <w:tr w14:paraId="2DAF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101C613B">
            <w:pPr>
              <w:keepLines/>
              <w:spacing w:before="0" w:after="0" w:line="240" w:lineRule="auto"/>
              <w:jc w:val="left"/>
            </w:pPr>
            <w:r>
              <w:rPr>
                <w:rFonts w:ascii="Arial" w:hAnsi="Arial" w:eastAsia="Arial"/>
                <w:b/>
                <w:color w:val="1A1A1A"/>
                <w:sz w:val="17"/>
              </w:rPr>
              <w:t>Escrow Release Officer</w:t>
            </w:r>
          </w:p>
        </w:tc>
        <w:tc>
          <w:tcPr>
            <w:tcW w:w="6912" w:type="dxa"/>
            <w:shd w:val="clear" w:color="auto" w:fill="FBFBFB"/>
            <w:tcMar>
              <w:top w:w="90" w:type="dxa"/>
              <w:left w:w="120" w:type="dxa"/>
              <w:bottom w:w="90" w:type="dxa"/>
              <w:right w:w="120" w:type="dxa"/>
            </w:tcMar>
            <w:vAlign w:val="center"/>
          </w:tcPr>
          <w:p w14:paraId="1AD99660">
            <w:pPr>
              <w:keepLines/>
              <w:spacing w:before="0" w:after="0" w:line="240" w:lineRule="auto"/>
              <w:jc w:val="left"/>
            </w:pPr>
            <w:r>
              <w:rPr>
                <w:rFonts w:ascii="Arial" w:hAnsi="Arial" w:eastAsia="Arial"/>
                <w:b w:val="0"/>
                <w:color w:val="1A1A1A"/>
                <w:sz w:val="17"/>
              </w:rPr>
              <w:t>Execute an independently approved escrow release; cannot prepare or approve it</w:t>
            </w:r>
          </w:p>
        </w:tc>
      </w:tr>
      <w:tr w14:paraId="1D05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3BBE902C">
            <w:pPr>
              <w:keepLines/>
              <w:spacing w:before="0" w:after="0" w:line="240" w:lineRule="auto"/>
              <w:jc w:val="left"/>
            </w:pPr>
            <w:r>
              <w:rPr>
                <w:rFonts w:ascii="Arial" w:hAnsi="Arial" w:eastAsia="Arial"/>
                <w:b/>
                <w:color w:val="1A1A1A"/>
                <w:sz w:val="17"/>
              </w:rPr>
              <w:t>Reconciliation Officer</w:t>
            </w:r>
          </w:p>
        </w:tc>
        <w:tc>
          <w:tcPr>
            <w:tcW w:w="6912" w:type="dxa"/>
            <w:tcMar>
              <w:top w:w="90" w:type="dxa"/>
              <w:left w:w="120" w:type="dxa"/>
              <w:bottom w:w="90" w:type="dxa"/>
              <w:right w:w="120" w:type="dxa"/>
            </w:tcMar>
            <w:vAlign w:val="center"/>
          </w:tcPr>
          <w:p w14:paraId="22AACC3F">
            <w:pPr>
              <w:keepLines/>
              <w:spacing w:before="0" w:after="0" w:line="240" w:lineRule="auto"/>
              <w:jc w:val="left"/>
            </w:pPr>
            <w:r>
              <w:rPr>
                <w:rFonts w:ascii="Arial" w:hAnsi="Arial" w:eastAsia="Arial"/>
                <w:b w:val="0"/>
                <w:color w:val="1A1A1A"/>
                <w:sz w:val="17"/>
              </w:rPr>
              <w:t>Import/match statements and prepare exceptions; cannot approve own exception resolution</w:t>
            </w:r>
          </w:p>
        </w:tc>
      </w:tr>
      <w:tr w14:paraId="7475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26AE14C8">
            <w:pPr>
              <w:keepLines/>
              <w:spacing w:before="0" w:after="0" w:line="240" w:lineRule="auto"/>
              <w:jc w:val="left"/>
            </w:pPr>
            <w:r>
              <w:rPr>
                <w:rFonts w:ascii="Arial" w:hAnsi="Arial" w:eastAsia="Arial"/>
                <w:b/>
                <w:color w:val="1A1A1A"/>
                <w:sz w:val="17"/>
              </w:rPr>
              <w:t>Legal &amp; Compliance</w:t>
            </w:r>
          </w:p>
        </w:tc>
        <w:tc>
          <w:tcPr>
            <w:tcW w:w="6912" w:type="dxa"/>
            <w:shd w:val="clear" w:color="auto" w:fill="FBFBFB"/>
            <w:tcMar>
              <w:top w:w="90" w:type="dxa"/>
              <w:left w:w="120" w:type="dxa"/>
              <w:bottom w:w="90" w:type="dxa"/>
              <w:right w:w="120" w:type="dxa"/>
            </w:tcMar>
            <w:vAlign w:val="center"/>
          </w:tcPr>
          <w:p w14:paraId="1751714E">
            <w:pPr>
              <w:keepLines/>
              <w:spacing w:before="0" w:after="0" w:line="240" w:lineRule="auto"/>
              <w:jc w:val="left"/>
            </w:pPr>
            <w:r>
              <w:rPr>
                <w:rFonts w:ascii="Arial" w:hAnsi="Arial" w:eastAsia="Arial"/>
                <w:b w:val="0"/>
                <w:color w:val="1A1A1A"/>
                <w:sz w:val="17"/>
              </w:rPr>
              <w:t>Place/clear holds, approve legal/compliance conditions and review disputes</w:t>
            </w:r>
          </w:p>
        </w:tc>
      </w:tr>
      <w:tr w14:paraId="6473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4FC5599F">
            <w:pPr>
              <w:keepLines/>
              <w:spacing w:before="0" w:after="0" w:line="240" w:lineRule="auto"/>
              <w:jc w:val="left"/>
            </w:pPr>
            <w:r>
              <w:rPr>
                <w:rFonts w:ascii="Arial" w:hAnsi="Arial" w:eastAsia="Arial"/>
                <w:b/>
                <w:color w:val="1A1A1A"/>
                <w:sz w:val="17"/>
              </w:rPr>
              <w:t>Digital Records/Admin</w:t>
            </w:r>
          </w:p>
        </w:tc>
        <w:tc>
          <w:tcPr>
            <w:tcW w:w="6912" w:type="dxa"/>
            <w:tcMar>
              <w:top w:w="90" w:type="dxa"/>
              <w:left w:w="120" w:type="dxa"/>
              <w:bottom w:w="90" w:type="dxa"/>
              <w:right w:w="120" w:type="dxa"/>
            </w:tcMar>
            <w:vAlign w:val="center"/>
          </w:tcPr>
          <w:p w14:paraId="3FA52E20">
            <w:pPr>
              <w:keepLines/>
              <w:spacing w:before="0" w:after="0" w:line="240" w:lineRule="auto"/>
              <w:jc w:val="left"/>
            </w:pPr>
            <w:r>
              <w:rPr>
                <w:rFonts w:ascii="Arial" w:hAnsi="Arial" w:eastAsia="Arial"/>
                <w:b w:val="0"/>
                <w:color w:val="1A1A1A"/>
                <w:sz w:val="17"/>
              </w:rPr>
              <w:t>Manage ID register quality, file naming and linked records; no fund-release authority</w:t>
            </w:r>
          </w:p>
        </w:tc>
      </w:tr>
      <w:tr w14:paraId="5B06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BFBFB"/>
            <w:tcMar>
              <w:top w:w="90" w:type="dxa"/>
              <w:left w:w="120" w:type="dxa"/>
              <w:bottom w:w="90" w:type="dxa"/>
              <w:right w:w="120" w:type="dxa"/>
            </w:tcMar>
            <w:vAlign w:val="center"/>
          </w:tcPr>
          <w:p w14:paraId="4EDAEB8F">
            <w:pPr>
              <w:keepLines/>
              <w:spacing w:before="0" w:after="0" w:line="240" w:lineRule="auto"/>
              <w:jc w:val="left"/>
            </w:pPr>
            <w:r>
              <w:rPr>
                <w:rFonts w:ascii="Arial" w:hAnsi="Arial" w:eastAsia="Arial"/>
                <w:b/>
                <w:color w:val="1A1A1A"/>
                <w:sz w:val="17"/>
              </w:rPr>
              <w:t>Internal Audit / Read-only Reviewer</w:t>
            </w:r>
          </w:p>
        </w:tc>
        <w:tc>
          <w:tcPr>
            <w:tcW w:w="6912" w:type="dxa"/>
            <w:shd w:val="clear" w:color="auto" w:fill="FBFBFB"/>
            <w:tcMar>
              <w:top w:w="90" w:type="dxa"/>
              <w:left w:w="120" w:type="dxa"/>
              <w:bottom w:w="90" w:type="dxa"/>
              <w:right w:w="120" w:type="dxa"/>
            </w:tcMar>
            <w:vAlign w:val="center"/>
          </w:tcPr>
          <w:p w14:paraId="728BFDCE">
            <w:pPr>
              <w:keepLines/>
              <w:spacing w:before="0" w:after="0" w:line="240" w:lineRule="auto"/>
              <w:jc w:val="left"/>
            </w:pPr>
            <w:r>
              <w:rPr>
                <w:rFonts w:ascii="Arial" w:hAnsi="Arial" w:eastAsia="Arial"/>
                <w:b w:val="0"/>
                <w:color w:val="1A1A1A"/>
                <w:sz w:val="17"/>
              </w:rPr>
              <w:t>Access immutable audit, ledger and reconciliation evidence</w:t>
            </w:r>
          </w:p>
        </w:tc>
      </w:tr>
      <w:tr w14:paraId="32F2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90" w:type="dxa"/>
              <w:left w:w="120" w:type="dxa"/>
              <w:bottom w:w="90" w:type="dxa"/>
              <w:right w:w="120" w:type="dxa"/>
            </w:tcMar>
            <w:vAlign w:val="center"/>
          </w:tcPr>
          <w:p w14:paraId="5B3D78ED">
            <w:pPr>
              <w:keepLines/>
              <w:spacing w:before="0" w:after="0" w:line="240" w:lineRule="auto"/>
              <w:jc w:val="left"/>
            </w:pPr>
            <w:r>
              <w:rPr>
                <w:rFonts w:ascii="Arial" w:hAnsi="Arial" w:eastAsia="Arial"/>
                <w:b/>
                <w:color w:val="1A1A1A"/>
                <w:sz w:val="17"/>
              </w:rPr>
              <w:t>Technology Administrator</w:t>
            </w:r>
          </w:p>
        </w:tc>
        <w:tc>
          <w:tcPr>
            <w:tcW w:w="6912" w:type="dxa"/>
            <w:tcMar>
              <w:top w:w="90" w:type="dxa"/>
              <w:left w:w="120" w:type="dxa"/>
              <w:bottom w:w="90" w:type="dxa"/>
              <w:right w:w="120" w:type="dxa"/>
            </w:tcMar>
            <w:vAlign w:val="center"/>
          </w:tcPr>
          <w:p w14:paraId="0C900ADD">
            <w:pPr>
              <w:keepLines/>
              <w:spacing w:before="0" w:after="0" w:line="240" w:lineRule="auto"/>
              <w:jc w:val="left"/>
            </w:pPr>
            <w:r>
              <w:rPr>
                <w:rFonts w:ascii="Arial" w:hAnsi="Arial" w:eastAsia="Arial"/>
                <w:b w:val="0"/>
                <w:color w:val="1A1A1A"/>
                <w:sz w:val="17"/>
              </w:rPr>
              <w:t>Maintain systems and access configuration; no automatic financial authority</w:t>
            </w:r>
          </w:p>
        </w:tc>
      </w:tr>
    </w:tbl>
    <w:p w14:paraId="42A43B53">
      <w:pPr>
        <w:spacing w:after="20"/>
      </w:pPr>
    </w:p>
    <w:p w14:paraId="4460314F">
      <w:pPr>
        <w:pStyle w:val="3"/>
        <w:keepNext/>
        <w:pageBreakBefore w:val="0"/>
      </w:pPr>
      <w:r>
        <w:t>10.1 Non-Negotiable Segregation Rules</w:t>
      </w:r>
    </w:p>
    <w:p w14:paraId="0EC80D0E">
      <w:pPr>
        <w:pStyle w:val="23"/>
        <w:spacing w:before="0" w:after="60" w:line="257" w:lineRule="auto"/>
        <w:ind w:left="360" w:hanging="173"/>
      </w:pPr>
      <w:r>
        <w:rPr>
          <w:rFonts w:ascii="Arial" w:hAnsi="Arial" w:eastAsia="Arial"/>
          <w:b w:val="0"/>
          <w:i w:val="0"/>
          <w:color w:val="1A1A1A"/>
          <w:sz w:val="20"/>
        </w:rPr>
        <w:t>The same person cannot prepare, approve and execute the same escrow release or refund.</w:t>
      </w:r>
    </w:p>
    <w:p w14:paraId="6CCEA560">
      <w:pPr>
        <w:pStyle w:val="23"/>
        <w:spacing w:before="0" w:after="60" w:line="257" w:lineRule="auto"/>
        <w:ind w:left="360" w:hanging="173"/>
      </w:pPr>
      <w:r>
        <w:rPr>
          <w:rFonts w:ascii="Arial" w:hAnsi="Arial" w:eastAsia="Arial"/>
          <w:b w:val="0"/>
          <w:i w:val="0"/>
          <w:color w:val="1A1A1A"/>
          <w:sz w:val="20"/>
        </w:rPr>
        <w:t>A technology administrator cannot release money merely because the person can administer the application.</w:t>
      </w:r>
    </w:p>
    <w:p w14:paraId="0F4EAC3D">
      <w:pPr>
        <w:pStyle w:val="23"/>
        <w:spacing w:before="0" w:after="60" w:line="257" w:lineRule="auto"/>
        <w:ind w:left="360" w:hanging="173"/>
      </w:pPr>
      <w:r>
        <w:rPr>
          <w:rFonts w:ascii="Arial" w:hAnsi="Arial" w:eastAsia="Arial"/>
          <w:b w:val="0"/>
          <w:i w:val="0"/>
          <w:color w:val="1A1A1A"/>
          <w:sz w:val="20"/>
        </w:rPr>
        <w:t>Changing beneficiary details, commission rate, VAT rate, release amount or transaction terms after approval invalidates the prior approval.</w:t>
      </w:r>
    </w:p>
    <w:p w14:paraId="14675E84">
      <w:pPr>
        <w:pStyle w:val="23"/>
        <w:spacing w:before="0" w:after="60" w:line="257" w:lineRule="auto"/>
        <w:ind w:left="360" w:hanging="173"/>
      </w:pPr>
      <w:r>
        <w:rPr>
          <w:rFonts w:ascii="Arial" w:hAnsi="Arial" w:eastAsia="Arial"/>
          <w:b w:val="0"/>
          <w:i w:val="0"/>
          <w:color w:val="1A1A1A"/>
          <w:sz w:val="20"/>
        </w:rPr>
        <w:t>Manual ID override, receipt allocation and reconciliation exception resolution require independent approval.</w:t>
      </w:r>
    </w:p>
    <w:p w14:paraId="54C5109F">
      <w:pPr>
        <w:pStyle w:val="23"/>
        <w:spacing w:before="0" w:after="60" w:line="257" w:lineRule="auto"/>
        <w:ind w:left="360" w:hanging="173"/>
      </w:pPr>
      <w:r>
        <w:rPr>
          <w:rFonts w:ascii="Arial" w:hAnsi="Arial" w:eastAsia="Arial"/>
          <w:b w:val="0"/>
          <w:i w:val="0"/>
          <w:color w:val="1A1A1A"/>
          <w:sz w:val="20"/>
        </w:rPr>
        <w:t>Legal, compliance or dispute holds block escrow release until properly cleared.</w:t>
      </w:r>
    </w:p>
    <w:p w14:paraId="5D173A5B">
      <w:pPr>
        <w:pStyle w:val="2"/>
        <w:keepNext/>
        <w:pageBreakBefore w:val="0"/>
      </w:pPr>
      <w:r>
        <w:t>11. Reconciliation, Reporting and Accounting Controls</w:t>
      </w:r>
    </w:p>
    <w:p w14:paraId="6D94EE9F">
      <w:pPr>
        <w:pStyle w:val="3"/>
        <w:keepNext/>
        <w:pageBreakBefore w:val="0"/>
      </w:pPr>
      <w:r>
        <w:t>11.1 Daily Reconciliation</w:t>
      </w:r>
    </w:p>
    <w:p w14:paraId="2200F8DE">
      <w:pPr>
        <w:spacing w:before="0" w:after="80" w:line="259" w:lineRule="auto"/>
        <w:ind w:left="432" w:hanging="360"/>
      </w:pPr>
      <w:r>
        <w:rPr>
          <w:rFonts w:ascii="Arial" w:hAnsi="Arial" w:eastAsia="Arial"/>
          <w:b/>
          <w:i w:val="0"/>
          <w:color w:val="5C1949"/>
          <w:sz w:val="20"/>
        </w:rPr>
        <w:t xml:space="preserve">1. </w:t>
      </w:r>
      <w:r>
        <w:rPr>
          <w:rFonts w:ascii="Arial" w:hAnsi="Arial" w:eastAsia="Arial"/>
          <w:b w:val="0"/>
          <w:i w:val="0"/>
          <w:color w:val="1A1A1A"/>
          <w:sz w:val="20"/>
        </w:rPr>
        <w:t>Obtain statement or settlement records for the integrated main accounts.</w:t>
      </w:r>
    </w:p>
    <w:p w14:paraId="4E19A376">
      <w:pPr>
        <w:spacing w:before="0" w:after="80" w:line="259" w:lineRule="auto"/>
        <w:ind w:left="432" w:hanging="360"/>
      </w:pPr>
      <w:r>
        <w:rPr>
          <w:rFonts w:ascii="Arial" w:hAnsi="Arial" w:eastAsia="Arial"/>
          <w:b/>
          <w:i w:val="0"/>
          <w:color w:val="5C1949"/>
          <w:sz w:val="20"/>
        </w:rPr>
        <w:t xml:space="preserve">2. </w:t>
      </w:r>
      <w:r>
        <w:rPr>
          <w:rFonts w:ascii="Arial" w:hAnsi="Arial" w:eastAsia="Arial"/>
          <w:b w:val="0"/>
          <w:i w:val="0"/>
          <w:color w:val="1A1A1A"/>
          <w:sz w:val="20"/>
        </w:rPr>
        <w:t>Match each bank event to a financial reference, SBR ID, amount, currency and value date.</w:t>
      </w:r>
    </w:p>
    <w:p w14:paraId="146F3A18">
      <w:pPr>
        <w:spacing w:before="0" w:after="80" w:line="259" w:lineRule="auto"/>
        <w:ind w:left="432" w:hanging="360"/>
      </w:pPr>
      <w:r>
        <w:rPr>
          <w:rFonts w:ascii="Arial" w:hAnsi="Arial" w:eastAsia="Arial"/>
          <w:b/>
          <w:i w:val="0"/>
          <w:color w:val="5C1949"/>
          <w:sz w:val="20"/>
        </w:rPr>
        <w:t xml:space="preserve">3. </w:t>
      </w:r>
      <w:r>
        <w:rPr>
          <w:rFonts w:ascii="Arial" w:hAnsi="Arial" w:eastAsia="Arial"/>
          <w:b w:val="0"/>
          <w:i w:val="0"/>
          <w:color w:val="1A1A1A"/>
          <w:sz w:val="20"/>
        </w:rPr>
        <w:t>Classify exact matches, partial matches, duplicates, missing records, timing differences and unexplained exceptions.</w:t>
      </w:r>
    </w:p>
    <w:p w14:paraId="30E92E47">
      <w:pPr>
        <w:spacing w:before="0" w:after="80" w:line="259" w:lineRule="auto"/>
        <w:ind w:left="432" w:hanging="360"/>
      </w:pPr>
      <w:r>
        <w:rPr>
          <w:rFonts w:ascii="Arial" w:hAnsi="Arial" w:eastAsia="Arial"/>
          <w:b/>
          <w:i w:val="0"/>
          <w:color w:val="5C1949"/>
          <w:sz w:val="20"/>
        </w:rPr>
        <w:t xml:space="preserve">4. </w:t>
      </w:r>
      <w:r>
        <w:rPr>
          <w:rFonts w:ascii="Arial" w:hAnsi="Arial" w:eastAsia="Arial"/>
          <w:b w:val="0"/>
          <w:i w:val="0"/>
          <w:color w:val="1A1A1A"/>
          <w:sz w:val="20"/>
        </w:rPr>
        <w:t>Reconcile the Code 3 bank balance to the total of all escrow sub-ledger balances and approved timing differences.</w:t>
      </w:r>
    </w:p>
    <w:p w14:paraId="264E52AA">
      <w:pPr>
        <w:spacing w:before="0" w:after="80" w:line="259" w:lineRule="auto"/>
        <w:ind w:left="432" w:hanging="360"/>
      </w:pPr>
      <w:r>
        <w:rPr>
          <w:rFonts w:ascii="Arial" w:hAnsi="Arial" w:eastAsia="Arial"/>
          <w:b/>
          <w:i w:val="0"/>
          <w:color w:val="5C1949"/>
          <w:sz w:val="20"/>
        </w:rPr>
        <w:t xml:space="preserve">5. </w:t>
      </w:r>
      <w:r>
        <w:rPr>
          <w:rFonts w:ascii="Arial" w:hAnsi="Arial" w:eastAsia="Arial"/>
          <w:b w:val="0"/>
          <w:i w:val="0"/>
          <w:color w:val="1A1A1A"/>
          <w:sz w:val="20"/>
        </w:rPr>
        <w:t>Reconcile VAT collected to VAT ledger and central VAT account activity.</w:t>
      </w:r>
    </w:p>
    <w:p w14:paraId="2D719FFC">
      <w:pPr>
        <w:spacing w:before="0" w:after="80" w:line="259" w:lineRule="auto"/>
        <w:ind w:left="432" w:hanging="360"/>
      </w:pPr>
      <w:r>
        <w:rPr>
          <w:rFonts w:ascii="Arial" w:hAnsi="Arial" w:eastAsia="Arial"/>
          <w:b/>
          <w:i w:val="0"/>
          <w:color w:val="5C1949"/>
          <w:sz w:val="20"/>
        </w:rPr>
        <w:t xml:space="preserve">6. </w:t>
      </w:r>
      <w:r>
        <w:rPr>
          <w:rFonts w:ascii="Arial" w:hAnsi="Arial" w:eastAsia="Arial"/>
          <w:b w:val="0"/>
          <w:i w:val="0"/>
          <w:color w:val="1A1A1A"/>
          <w:sz w:val="20"/>
        </w:rPr>
        <w:t>Obtain independent approval for material exception resolution and close the daily reconciliation.</w:t>
      </w:r>
    </w:p>
    <w:p w14:paraId="7EEFBFD8">
      <w:pPr>
        <w:spacing w:before="20" w:after="60" w:line="259" w:lineRule="auto"/>
      </w:pPr>
      <w:r>
        <w:rPr>
          <w:rFonts w:ascii="Arial" w:hAnsi="Arial" w:eastAsia="Arial"/>
          <w:b/>
          <w:i w:val="0"/>
          <w:color w:val="0F6B77"/>
          <w:sz w:val="19"/>
        </w:rPr>
        <w:t>Core escrow reconciliation equation</w:t>
      </w:r>
    </w:p>
    <w:tbl>
      <w:tblPr>
        <w:tblStyle w:val="12"/>
        <w:tblW w:w="0" w:type="auto"/>
        <w:jc w:val="center"/>
        <w:tblLayout w:type="fixed"/>
        <w:tblCellMar>
          <w:top w:w="0" w:type="dxa"/>
          <w:left w:w="108" w:type="dxa"/>
          <w:bottom w:w="0" w:type="dxa"/>
          <w:right w:w="108" w:type="dxa"/>
        </w:tblCellMar>
      </w:tblPr>
      <w:tblGrid>
        <w:gridCol w:w="10166"/>
      </w:tblGrid>
      <w:tr w14:paraId="5F2C8C46">
        <w:tblPrEx>
          <w:tblCellMar>
            <w:top w:w="0" w:type="dxa"/>
            <w:left w:w="108" w:type="dxa"/>
            <w:bottom w:w="0" w:type="dxa"/>
            <w:right w:w="108" w:type="dxa"/>
          </w:tblCellMar>
        </w:tblPrEx>
        <w:trPr>
          <w:jc w:val="center"/>
        </w:trPr>
        <w:tc>
          <w:tcPr>
            <w:tcW w:w="10166" w:type="dxa"/>
            <w:tcBorders>
              <w:top w:val="single" w:color="C9CDD0" w:sz="6" w:space="0"/>
              <w:left w:val="single" w:color="C9CDD0" w:sz="6" w:space="0"/>
              <w:bottom w:val="single" w:color="C9CDD0" w:sz="6" w:space="0"/>
              <w:right w:val="single" w:color="C9CDD0" w:sz="6" w:space="0"/>
            </w:tcBorders>
            <w:shd w:val="clear" w:color="auto" w:fill="F7F7F7"/>
            <w:tcMar>
              <w:top w:w="130" w:type="dxa"/>
              <w:left w:w="160" w:type="dxa"/>
              <w:bottom w:w="130" w:type="dxa"/>
              <w:right w:w="160" w:type="dxa"/>
            </w:tcMar>
          </w:tcPr>
          <w:p w14:paraId="4898CE9D">
            <w:pPr>
              <w:keepLines/>
              <w:spacing w:before="0" w:after="0" w:line="240" w:lineRule="auto"/>
            </w:pPr>
            <w:r>
              <w:rPr>
                <w:rFonts w:ascii="Courier New" w:hAnsi="Courier New" w:eastAsia="Courier New"/>
                <w:color w:val="1A1A1A"/>
                <w:sz w:val="17"/>
              </w:rPr>
              <w:t>Escrow Account bank/settlement balance</w:t>
            </w:r>
            <w:r>
              <w:rPr>
                <w:rFonts w:ascii="Arial" w:hAnsi="Arial" w:eastAsia="Arial"/>
                <w:sz w:val="18"/>
              </w:rPr>
              <w:br w:type="textWrapping"/>
            </w:r>
            <w:r>
              <w:rPr>
                <w:rFonts w:ascii="Courier New" w:hAnsi="Courier New" w:eastAsia="Courier New"/>
                <w:color w:val="1A1A1A"/>
                <w:sz w:val="17"/>
              </w:rPr>
              <w:t xml:space="preserve">  = total customer escrow sub-ledger balances</w:t>
            </w:r>
            <w:r>
              <w:rPr>
                <w:rFonts w:ascii="Arial" w:hAnsi="Arial" w:eastAsia="Arial"/>
                <w:sz w:val="18"/>
              </w:rPr>
              <w:br w:type="textWrapping"/>
            </w:r>
            <w:r>
              <w:rPr>
                <w:rFonts w:ascii="Courier New" w:hAnsi="Courier New" w:eastAsia="Courier New"/>
                <w:color w:val="1A1A1A"/>
                <w:sz w:val="17"/>
              </w:rPr>
              <w:t xml:space="preserve">  + seller releases payable</w:t>
            </w:r>
            <w:r>
              <w:rPr>
                <w:rFonts w:ascii="Arial" w:hAnsi="Arial" w:eastAsia="Arial"/>
                <w:sz w:val="18"/>
              </w:rPr>
              <w:br w:type="textWrapping"/>
            </w:r>
            <w:r>
              <w:rPr>
                <w:rFonts w:ascii="Courier New" w:hAnsi="Courier New" w:eastAsia="Courier New"/>
                <w:color w:val="1A1A1A"/>
                <w:sz w:val="17"/>
              </w:rPr>
              <w:t xml:space="preserve">  + buyer refunds payable</w:t>
            </w:r>
            <w:r>
              <w:rPr>
                <w:rFonts w:ascii="Arial" w:hAnsi="Arial" w:eastAsia="Arial"/>
                <w:sz w:val="18"/>
              </w:rPr>
              <w:br w:type="textWrapping"/>
            </w:r>
            <w:r>
              <w:rPr>
                <w:rFonts w:ascii="Courier New" w:hAnsi="Courier New" w:eastAsia="Courier New"/>
                <w:color w:val="1A1A1A"/>
                <w:sz w:val="17"/>
              </w:rPr>
              <w:t xml:space="preserve">  + unidentified escrow receipts</w:t>
            </w:r>
            <w:r>
              <w:rPr>
                <w:rFonts w:ascii="Arial" w:hAnsi="Arial" w:eastAsia="Arial"/>
                <w:sz w:val="18"/>
              </w:rPr>
              <w:br w:type="textWrapping"/>
            </w:r>
            <w:r>
              <w:rPr>
                <w:rFonts w:ascii="Courier New" w:hAnsi="Courier New" w:eastAsia="Courier New"/>
                <w:color w:val="1A1A1A"/>
                <w:sz w:val="17"/>
              </w:rPr>
              <w:t xml:space="preserve">  +/- approved timing differences</w:t>
            </w:r>
          </w:p>
        </w:tc>
      </w:tr>
    </w:tbl>
    <w:p w14:paraId="7FB8B613">
      <w:pPr>
        <w:spacing w:after="20"/>
      </w:pPr>
    </w:p>
    <w:p w14:paraId="2AF2CB3D">
      <w:pPr>
        <w:pStyle w:val="3"/>
        <w:keepNext/>
        <w:pageBreakBefore w:val="0"/>
      </w:pPr>
      <w:r>
        <w:t>11.2 Required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A81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5C1949"/>
            <w:tcMar>
              <w:top w:w="100" w:type="dxa"/>
              <w:left w:w="120" w:type="dxa"/>
              <w:bottom w:w="100" w:type="dxa"/>
              <w:right w:w="120" w:type="dxa"/>
            </w:tcMar>
            <w:vAlign w:val="center"/>
          </w:tcPr>
          <w:p w14:paraId="487B5FED">
            <w:pPr>
              <w:keepLines/>
              <w:spacing w:before="0" w:after="0" w:line="240" w:lineRule="auto"/>
              <w:jc w:val="center"/>
            </w:pPr>
            <w:r>
              <w:rPr>
                <w:rFonts w:ascii="Arial" w:hAnsi="Arial" w:eastAsia="Arial"/>
                <w:b/>
                <w:color w:val="FFFFFF"/>
                <w:sz w:val="17"/>
              </w:rPr>
              <w:t>Report</w:t>
            </w:r>
          </w:p>
        </w:tc>
        <w:tc>
          <w:tcPr>
            <w:tcW w:w="6336" w:type="dxa"/>
            <w:shd w:val="clear" w:color="auto" w:fill="5C1949"/>
            <w:tcMar>
              <w:top w:w="100" w:type="dxa"/>
              <w:left w:w="120" w:type="dxa"/>
              <w:bottom w:w="100" w:type="dxa"/>
              <w:right w:w="120" w:type="dxa"/>
            </w:tcMar>
            <w:vAlign w:val="center"/>
          </w:tcPr>
          <w:p w14:paraId="32BBC098">
            <w:pPr>
              <w:keepLines/>
              <w:spacing w:before="0" w:after="0" w:line="240" w:lineRule="auto"/>
              <w:jc w:val="center"/>
            </w:pPr>
            <w:r>
              <w:rPr>
                <w:rFonts w:ascii="Arial" w:hAnsi="Arial" w:eastAsia="Arial"/>
                <w:b/>
                <w:color w:val="FFFFFF"/>
                <w:sz w:val="17"/>
              </w:rPr>
              <w:t>Minimum filters</w:t>
            </w:r>
          </w:p>
        </w:tc>
      </w:tr>
      <w:tr w14:paraId="58D1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2FBDC5DB">
            <w:pPr>
              <w:keepLines/>
              <w:spacing w:before="0" w:after="0" w:line="240" w:lineRule="auto"/>
              <w:jc w:val="left"/>
            </w:pPr>
            <w:r>
              <w:rPr>
                <w:rFonts w:ascii="Arial" w:hAnsi="Arial" w:eastAsia="Arial"/>
                <w:b/>
                <w:color w:val="1A1A1A"/>
                <w:sz w:val="17"/>
              </w:rPr>
              <w:t>Code 1 Commission Report</w:t>
            </w:r>
          </w:p>
        </w:tc>
        <w:tc>
          <w:tcPr>
            <w:tcW w:w="6336" w:type="dxa"/>
            <w:tcMar>
              <w:top w:w="90" w:type="dxa"/>
              <w:left w:w="120" w:type="dxa"/>
              <w:bottom w:w="90" w:type="dxa"/>
              <w:right w:w="120" w:type="dxa"/>
            </w:tcMar>
            <w:vAlign w:val="center"/>
          </w:tcPr>
          <w:p w14:paraId="30370D87">
            <w:pPr>
              <w:keepLines/>
              <w:spacing w:before="0" w:after="0" w:line="240" w:lineRule="auto"/>
              <w:jc w:val="left"/>
            </w:pPr>
            <w:r>
              <w:rPr>
                <w:rFonts w:ascii="Arial" w:hAnsi="Arial" w:eastAsia="Arial"/>
                <w:b w:val="0"/>
                <w:color w:val="1A1A1A"/>
                <w:sz w:val="17"/>
              </w:rPr>
              <w:t>Buyer/seller sub-code, property, transaction, payer, period and reconciliation status</w:t>
            </w:r>
          </w:p>
        </w:tc>
      </w:tr>
      <w:tr w14:paraId="573A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5AD76259">
            <w:pPr>
              <w:keepLines/>
              <w:spacing w:before="0" w:after="0" w:line="240" w:lineRule="auto"/>
              <w:jc w:val="left"/>
            </w:pPr>
            <w:r>
              <w:rPr>
                <w:rFonts w:ascii="Arial" w:hAnsi="Arial" w:eastAsia="Arial"/>
                <w:b/>
                <w:color w:val="1A1A1A"/>
                <w:sz w:val="17"/>
              </w:rPr>
              <w:t>Code 2 Due Diligence Revenue Report</w:t>
            </w:r>
          </w:p>
        </w:tc>
        <w:tc>
          <w:tcPr>
            <w:tcW w:w="6336" w:type="dxa"/>
            <w:shd w:val="clear" w:color="auto" w:fill="FBFBFB"/>
            <w:tcMar>
              <w:top w:w="90" w:type="dxa"/>
              <w:left w:w="120" w:type="dxa"/>
              <w:bottom w:w="90" w:type="dxa"/>
              <w:right w:w="120" w:type="dxa"/>
            </w:tcMar>
            <w:vAlign w:val="center"/>
          </w:tcPr>
          <w:p w14:paraId="305DF995">
            <w:pPr>
              <w:keepLines/>
              <w:spacing w:before="0" w:after="0" w:line="240" w:lineRule="auto"/>
              <w:jc w:val="left"/>
            </w:pPr>
            <w:r>
              <w:rPr>
                <w:rFonts w:ascii="Arial" w:hAnsi="Arial" w:eastAsia="Arial"/>
                <w:b w:val="0"/>
                <w:color w:val="1A1A1A"/>
                <w:sz w:val="17"/>
              </w:rPr>
              <w:t>Service sub-code, case, property, client, professional and period</w:t>
            </w:r>
          </w:p>
        </w:tc>
      </w:tr>
      <w:tr w14:paraId="787F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5EE0831E">
            <w:pPr>
              <w:keepLines/>
              <w:spacing w:before="0" w:after="0" w:line="240" w:lineRule="auto"/>
              <w:jc w:val="left"/>
            </w:pPr>
            <w:r>
              <w:rPr>
                <w:rFonts w:ascii="Arial" w:hAnsi="Arial" w:eastAsia="Arial"/>
                <w:b/>
                <w:color w:val="1A1A1A"/>
                <w:sz w:val="17"/>
              </w:rPr>
              <w:t>Escrow Movement and Balance Report</w:t>
            </w:r>
          </w:p>
        </w:tc>
        <w:tc>
          <w:tcPr>
            <w:tcW w:w="6336" w:type="dxa"/>
            <w:tcMar>
              <w:top w:w="90" w:type="dxa"/>
              <w:left w:w="120" w:type="dxa"/>
              <w:bottom w:w="90" w:type="dxa"/>
              <w:right w:w="120" w:type="dxa"/>
            </w:tcMar>
            <w:vAlign w:val="center"/>
          </w:tcPr>
          <w:p w14:paraId="0E81C558">
            <w:pPr>
              <w:keepLines/>
              <w:spacing w:before="0" w:after="0" w:line="240" w:lineRule="auto"/>
              <w:jc w:val="left"/>
            </w:pPr>
            <w:r>
              <w:rPr>
                <w:rFonts w:ascii="Arial" w:hAnsi="Arial" w:eastAsia="Arial"/>
                <w:b w:val="0"/>
                <w:color w:val="1A1A1A"/>
                <w:sz w:val="17"/>
              </w:rPr>
              <w:t>Escrow ID, buyer, seller, property, status, deposit, release, refund and hold</w:t>
            </w:r>
          </w:p>
        </w:tc>
      </w:tr>
      <w:tr w14:paraId="65F8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195C061D">
            <w:pPr>
              <w:keepLines/>
              <w:spacing w:before="0" w:after="0" w:line="240" w:lineRule="auto"/>
              <w:jc w:val="left"/>
            </w:pPr>
            <w:r>
              <w:rPr>
                <w:rFonts w:ascii="Arial" w:hAnsi="Arial" w:eastAsia="Arial"/>
                <w:b/>
                <w:color w:val="1A1A1A"/>
                <w:sz w:val="17"/>
              </w:rPr>
              <w:t>Professional Commission Report</w:t>
            </w:r>
          </w:p>
        </w:tc>
        <w:tc>
          <w:tcPr>
            <w:tcW w:w="6336" w:type="dxa"/>
            <w:shd w:val="clear" w:color="auto" w:fill="FBFBFB"/>
            <w:tcMar>
              <w:top w:w="90" w:type="dxa"/>
              <w:left w:w="120" w:type="dxa"/>
              <w:bottom w:w="90" w:type="dxa"/>
              <w:right w:w="120" w:type="dxa"/>
            </w:tcMar>
            <w:vAlign w:val="center"/>
          </w:tcPr>
          <w:p w14:paraId="6EC36A49">
            <w:pPr>
              <w:keepLines/>
              <w:spacing w:before="0" w:after="0" w:line="240" w:lineRule="auto"/>
              <w:jc w:val="left"/>
            </w:pPr>
            <w:r>
              <w:rPr>
                <w:rFonts w:ascii="Arial" w:hAnsi="Arial" w:eastAsia="Arial"/>
                <w:b w:val="0"/>
                <w:color w:val="1A1A1A"/>
                <w:sz w:val="17"/>
              </w:rPr>
              <w:t>Professional ID, category, assignment, transaction, location and period</w:t>
            </w:r>
          </w:p>
        </w:tc>
      </w:tr>
      <w:tr w14:paraId="6608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41DA37C3">
            <w:pPr>
              <w:keepLines/>
              <w:spacing w:before="0" w:after="0" w:line="240" w:lineRule="auto"/>
              <w:jc w:val="left"/>
            </w:pPr>
            <w:r>
              <w:rPr>
                <w:rFonts w:ascii="Arial" w:hAnsi="Arial" w:eastAsia="Arial"/>
                <w:b/>
                <w:color w:val="1A1A1A"/>
                <w:sz w:val="17"/>
              </w:rPr>
              <w:t>VAT Register</w:t>
            </w:r>
          </w:p>
        </w:tc>
        <w:tc>
          <w:tcPr>
            <w:tcW w:w="6336" w:type="dxa"/>
            <w:tcMar>
              <w:top w:w="90" w:type="dxa"/>
              <w:left w:w="120" w:type="dxa"/>
              <w:bottom w:w="90" w:type="dxa"/>
              <w:right w:w="120" w:type="dxa"/>
            </w:tcMar>
            <w:vAlign w:val="center"/>
          </w:tcPr>
          <w:p w14:paraId="234E9379">
            <w:pPr>
              <w:keepLines/>
              <w:spacing w:before="0" w:after="0" w:line="240" w:lineRule="auto"/>
              <w:jc w:val="left"/>
            </w:pPr>
            <w:r>
              <w:rPr>
                <w:rFonts w:ascii="Arial" w:hAnsi="Arial" w:eastAsia="Arial"/>
                <w:b w:val="0"/>
                <w:color w:val="1A1A1A"/>
                <w:sz w:val="17"/>
              </w:rPr>
              <w:t>Source code, invoice, client, tax rate, period, adjustment and status</w:t>
            </w:r>
          </w:p>
        </w:tc>
      </w:tr>
      <w:tr w14:paraId="4973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1A155E10">
            <w:pPr>
              <w:keepLines/>
              <w:spacing w:before="0" w:after="0" w:line="240" w:lineRule="auto"/>
              <w:jc w:val="left"/>
            </w:pPr>
            <w:r>
              <w:rPr>
                <w:rFonts w:ascii="Arial" w:hAnsi="Arial" w:eastAsia="Arial"/>
                <w:b/>
                <w:color w:val="1A1A1A"/>
                <w:sz w:val="17"/>
              </w:rPr>
              <w:t>Unidentified Receipts Report</w:t>
            </w:r>
          </w:p>
        </w:tc>
        <w:tc>
          <w:tcPr>
            <w:tcW w:w="6336" w:type="dxa"/>
            <w:shd w:val="clear" w:color="auto" w:fill="FBFBFB"/>
            <w:tcMar>
              <w:top w:w="90" w:type="dxa"/>
              <w:left w:w="120" w:type="dxa"/>
              <w:bottom w:w="90" w:type="dxa"/>
              <w:right w:w="120" w:type="dxa"/>
            </w:tcMar>
            <w:vAlign w:val="center"/>
          </w:tcPr>
          <w:p w14:paraId="0BEC9DB0">
            <w:pPr>
              <w:keepLines/>
              <w:spacing w:before="0" w:after="0" w:line="240" w:lineRule="auto"/>
              <w:jc w:val="left"/>
            </w:pPr>
            <w:r>
              <w:rPr>
                <w:rFonts w:ascii="Arial" w:hAnsi="Arial" w:eastAsia="Arial"/>
                <w:b w:val="0"/>
                <w:color w:val="1A1A1A"/>
                <w:sz w:val="17"/>
              </w:rPr>
              <w:t>Account, amount, date, narration, age, investigator and resolution status</w:t>
            </w:r>
          </w:p>
        </w:tc>
      </w:tr>
      <w:tr w14:paraId="2704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21D828EA">
            <w:pPr>
              <w:keepLines/>
              <w:spacing w:before="0" w:after="0" w:line="240" w:lineRule="auto"/>
              <w:jc w:val="left"/>
            </w:pPr>
            <w:r>
              <w:rPr>
                <w:rFonts w:ascii="Arial" w:hAnsi="Arial" w:eastAsia="Arial"/>
                <w:b/>
                <w:color w:val="1A1A1A"/>
                <w:sz w:val="17"/>
              </w:rPr>
              <w:t>Reconciliation Exception Report</w:t>
            </w:r>
          </w:p>
        </w:tc>
        <w:tc>
          <w:tcPr>
            <w:tcW w:w="6336" w:type="dxa"/>
            <w:tcMar>
              <w:top w:w="90" w:type="dxa"/>
              <w:left w:w="120" w:type="dxa"/>
              <w:bottom w:w="90" w:type="dxa"/>
              <w:right w:w="120" w:type="dxa"/>
            </w:tcMar>
            <w:vAlign w:val="center"/>
          </w:tcPr>
          <w:p w14:paraId="4649880A">
            <w:pPr>
              <w:keepLines/>
              <w:spacing w:before="0" w:after="0" w:line="240" w:lineRule="auto"/>
              <w:jc w:val="left"/>
            </w:pPr>
            <w:r>
              <w:rPr>
                <w:rFonts w:ascii="Arial" w:hAnsi="Arial" w:eastAsia="Arial"/>
                <w:b w:val="0"/>
                <w:color w:val="1A1A1A"/>
                <w:sz w:val="17"/>
              </w:rPr>
              <w:t>Account, reference, variance, category, owner, age and approval status</w:t>
            </w:r>
          </w:p>
        </w:tc>
      </w:tr>
      <w:tr w14:paraId="57078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4DFBBAE3">
            <w:pPr>
              <w:keepLines/>
              <w:spacing w:before="0" w:after="0" w:line="240" w:lineRule="auto"/>
              <w:jc w:val="left"/>
            </w:pPr>
            <w:r>
              <w:rPr>
                <w:rFonts w:ascii="Arial" w:hAnsi="Arial" w:eastAsia="Arial"/>
                <w:b/>
                <w:color w:val="1A1A1A"/>
                <w:sz w:val="17"/>
              </w:rPr>
              <w:t>Audit Trail Report</w:t>
            </w:r>
          </w:p>
        </w:tc>
        <w:tc>
          <w:tcPr>
            <w:tcW w:w="6336" w:type="dxa"/>
            <w:shd w:val="clear" w:color="auto" w:fill="FBFBFB"/>
            <w:tcMar>
              <w:top w:w="90" w:type="dxa"/>
              <w:left w:w="120" w:type="dxa"/>
              <w:bottom w:w="90" w:type="dxa"/>
              <w:right w:w="120" w:type="dxa"/>
            </w:tcMar>
            <w:vAlign w:val="center"/>
          </w:tcPr>
          <w:p w14:paraId="46C37CA1">
            <w:pPr>
              <w:keepLines/>
              <w:spacing w:before="0" w:after="0" w:line="240" w:lineRule="auto"/>
              <w:jc w:val="left"/>
            </w:pPr>
            <w:r>
              <w:rPr>
                <w:rFonts w:ascii="Arial" w:hAnsi="Arial" w:eastAsia="Arial"/>
                <w:b w:val="0"/>
                <w:color w:val="1A1A1A"/>
                <w:sz w:val="17"/>
              </w:rPr>
              <w:t>User, event, record, previous/new values, timestamp and request ID</w:t>
            </w:r>
          </w:p>
        </w:tc>
      </w:tr>
    </w:tbl>
    <w:p w14:paraId="53EFC7EB">
      <w:pPr>
        <w:spacing w:after="20"/>
      </w:pPr>
    </w:p>
    <w:p w14:paraId="29013957">
      <w:pPr>
        <w:pStyle w:val="3"/>
        <w:keepNext/>
        <w:pageBreakBefore w:val="0"/>
      </w:pPr>
      <w:r>
        <w:t>11.3 Double-Entry Control</w:t>
      </w:r>
    </w:p>
    <w:p w14:paraId="1E4DA532">
      <w:pPr>
        <w:pStyle w:val="23"/>
        <w:spacing w:before="0" w:after="60" w:line="257" w:lineRule="auto"/>
        <w:ind w:left="360" w:hanging="173"/>
      </w:pPr>
      <w:r>
        <w:rPr>
          <w:rFonts w:ascii="Arial" w:hAnsi="Arial" w:eastAsia="Arial"/>
          <w:b w:val="0"/>
          <w:i w:val="0"/>
          <w:color w:val="1A1A1A"/>
          <w:sz w:val="20"/>
        </w:rPr>
        <w:t>Every posted financial batch must have equal total debits and credits.</w:t>
      </w:r>
    </w:p>
    <w:p w14:paraId="0B3DAD7A">
      <w:pPr>
        <w:pStyle w:val="23"/>
        <w:spacing w:before="0" w:after="60" w:line="257" w:lineRule="auto"/>
        <w:ind w:left="360" w:hanging="173"/>
      </w:pPr>
      <w:r>
        <w:rPr>
          <w:rFonts w:ascii="Arial" w:hAnsi="Arial" w:eastAsia="Arial"/>
          <w:b w:val="0"/>
          <w:i w:val="0"/>
          <w:color w:val="1A1A1A"/>
          <w:sz w:val="20"/>
        </w:rPr>
        <w:t>Operational code and SBR identifiers must be stored on relevant ledger lines.</w:t>
      </w:r>
    </w:p>
    <w:p w14:paraId="6C21F6C2">
      <w:pPr>
        <w:pStyle w:val="23"/>
        <w:spacing w:before="0" w:after="60" w:line="257" w:lineRule="auto"/>
        <w:ind w:left="360" w:hanging="173"/>
      </w:pPr>
      <w:r>
        <w:rPr>
          <w:rFonts w:ascii="Arial" w:hAnsi="Arial" w:eastAsia="Arial"/>
          <w:b w:val="0"/>
          <w:i w:val="0"/>
          <w:color w:val="1A1A1A"/>
          <w:sz w:val="20"/>
        </w:rPr>
        <w:t>Escrow principal is posted to a client-funds liability, not revenue.</w:t>
      </w:r>
    </w:p>
    <w:p w14:paraId="0A163505">
      <w:pPr>
        <w:pStyle w:val="23"/>
        <w:spacing w:before="0" w:after="60" w:line="257" w:lineRule="auto"/>
        <w:ind w:left="360" w:hanging="173"/>
      </w:pPr>
      <w:r>
        <w:rPr>
          <w:rFonts w:ascii="Arial" w:hAnsi="Arial" w:eastAsia="Arial"/>
          <w:b w:val="0"/>
          <w:i w:val="0"/>
          <w:color w:val="1A1A1A"/>
          <w:sz w:val="20"/>
        </w:rPr>
        <w:t>Commission revenue, VAT liability, seller payable and refund payable must be separated.</w:t>
      </w:r>
    </w:p>
    <w:p w14:paraId="3730FBCB">
      <w:pPr>
        <w:pStyle w:val="23"/>
        <w:spacing w:before="0" w:after="60" w:line="257" w:lineRule="auto"/>
        <w:ind w:left="360" w:hanging="173"/>
      </w:pPr>
      <w:r>
        <w:rPr>
          <w:rFonts w:ascii="Arial" w:hAnsi="Arial" w:eastAsia="Arial"/>
          <w:b w:val="0"/>
          <w:i w:val="0"/>
          <w:color w:val="1A1A1A"/>
          <w:sz w:val="20"/>
        </w:rPr>
        <w:t>Periods may be closed and locked; post-close corrections use approved adjustment entries.</w:t>
      </w:r>
    </w:p>
    <w:p w14:paraId="5A8084AA">
      <w:pPr>
        <w:pStyle w:val="2"/>
        <w:keepNext/>
        <w:pageBreakBefore w:val="0"/>
      </w:pPr>
      <w:r>
        <w:t>12. Security, Audit and Data-Integrity Controls</w:t>
      </w:r>
    </w:p>
    <w:p w14:paraId="6B7B8042">
      <w:pPr>
        <w:pStyle w:val="23"/>
        <w:spacing w:before="0" w:after="60" w:line="257" w:lineRule="auto"/>
        <w:ind w:left="360" w:hanging="173"/>
      </w:pPr>
      <w:r>
        <w:rPr>
          <w:rFonts w:ascii="Arial" w:hAnsi="Arial" w:eastAsia="Arial"/>
          <w:b w:val="0"/>
          <w:i w:val="0"/>
          <w:color w:val="1A1A1A"/>
          <w:sz w:val="20"/>
        </w:rPr>
        <w:t>Financial actions must be performed through authenticated server-side functions; browser code must not determine final balances or release money.</w:t>
      </w:r>
    </w:p>
    <w:p w14:paraId="61E223D1">
      <w:pPr>
        <w:pStyle w:val="23"/>
        <w:spacing w:before="0" w:after="60" w:line="257" w:lineRule="auto"/>
        <w:ind w:left="360" w:hanging="173"/>
      </w:pPr>
      <w:r>
        <w:rPr>
          <w:rFonts w:ascii="Arial" w:hAnsi="Arial" w:eastAsia="Arial"/>
          <w:b w:val="0"/>
          <w:i w:val="0"/>
          <w:color w:val="1A1A1A"/>
          <w:sz w:val="20"/>
        </w:rPr>
        <w:t>Sensitive bank, identity and tax details must be encrypted or otherwise protected and displayed in masked form.</w:t>
      </w:r>
    </w:p>
    <w:p w14:paraId="24256DBC">
      <w:pPr>
        <w:pStyle w:val="23"/>
        <w:spacing w:before="0" w:after="60" w:line="257" w:lineRule="auto"/>
        <w:ind w:left="360" w:hanging="173"/>
      </w:pPr>
      <w:r>
        <w:rPr>
          <w:rFonts w:ascii="Arial" w:hAnsi="Arial" w:eastAsia="Arial"/>
          <w:b w:val="0"/>
          <w:i w:val="0"/>
          <w:color w:val="1A1A1A"/>
          <w:sz w:val="20"/>
        </w:rPr>
        <w:t>Record-level access must restrict each user to authorised records and fields.</w:t>
      </w:r>
    </w:p>
    <w:p w14:paraId="66904372">
      <w:pPr>
        <w:pStyle w:val="23"/>
        <w:spacing w:before="0" w:after="60" w:line="257" w:lineRule="auto"/>
        <w:ind w:left="360" w:hanging="173"/>
      </w:pPr>
      <w:r>
        <w:rPr>
          <w:rFonts w:ascii="Arial" w:hAnsi="Arial" w:eastAsia="Arial"/>
          <w:b w:val="0"/>
          <w:i w:val="0"/>
          <w:color w:val="1A1A1A"/>
          <w:sz w:val="20"/>
        </w:rPr>
        <w:t>Multi-factor or step-up authentication should be required for approvals, beneficiary changes and releases.</w:t>
      </w:r>
    </w:p>
    <w:p w14:paraId="1E8C3F7A">
      <w:pPr>
        <w:pStyle w:val="23"/>
        <w:spacing w:before="0" w:after="60" w:line="257" w:lineRule="auto"/>
        <w:ind w:left="360" w:hanging="173"/>
      </w:pPr>
      <w:r>
        <w:rPr>
          <w:rFonts w:ascii="Arial" w:hAnsi="Arial" w:eastAsia="Arial"/>
          <w:b w:val="0"/>
          <w:i w:val="0"/>
          <w:color w:val="1A1A1A"/>
          <w:sz w:val="20"/>
        </w:rPr>
        <w:t>All create, edit, approval, rejection, release, refund, export, login and failed-access events must be audited.</w:t>
      </w:r>
    </w:p>
    <w:p w14:paraId="5FBDF6B2">
      <w:pPr>
        <w:pStyle w:val="23"/>
        <w:spacing w:before="0" w:after="60" w:line="257" w:lineRule="auto"/>
        <w:ind w:left="360" w:hanging="173"/>
      </w:pPr>
      <w:r>
        <w:rPr>
          <w:rFonts w:ascii="Arial" w:hAnsi="Arial" w:eastAsia="Arial"/>
          <w:b w:val="0"/>
          <w:i w:val="0"/>
          <w:color w:val="1A1A1A"/>
          <w:sz w:val="20"/>
        </w:rPr>
        <w:t>Audit logs must record actor, timestamp, record, action, previous/new values, reason and request/source reference.</w:t>
      </w:r>
    </w:p>
    <w:p w14:paraId="4F7A54C3">
      <w:pPr>
        <w:pStyle w:val="23"/>
        <w:spacing w:before="0" w:after="60" w:line="257" w:lineRule="auto"/>
        <w:ind w:left="360" w:hanging="173"/>
      </w:pPr>
      <w:r>
        <w:rPr>
          <w:rFonts w:ascii="Arial" w:hAnsi="Arial" w:eastAsia="Arial"/>
          <w:b w:val="0"/>
          <w:i w:val="0"/>
          <w:color w:val="1A1A1A"/>
          <w:sz w:val="20"/>
        </w:rPr>
        <w:t>IDs, issued receipts, confirmed escrow movements and posted ledger entries must be immutable.</w:t>
      </w:r>
    </w:p>
    <w:p w14:paraId="4C5D75A0">
      <w:pPr>
        <w:pStyle w:val="23"/>
        <w:spacing w:before="0" w:after="60" w:line="257" w:lineRule="auto"/>
        <w:ind w:left="360" w:hanging="173"/>
      </w:pPr>
      <w:r>
        <w:rPr>
          <w:rFonts w:ascii="Arial" w:hAnsi="Arial" w:eastAsia="Arial"/>
          <w:b w:val="0"/>
          <w:i w:val="0"/>
          <w:color w:val="1A1A1A"/>
          <w:sz w:val="20"/>
        </w:rPr>
        <w:t>Backups, restore tests and operational recovery procedures must cover financial records and linked documents.</w:t>
      </w:r>
    </w:p>
    <w:p w14:paraId="06C9D0E5">
      <w:pPr>
        <w:pStyle w:val="3"/>
        <w:keepNext/>
        <w:pageBreakBefore w:val="0"/>
      </w:pPr>
      <w:r>
        <w:t>12.1 Duplicate Prevention</w:t>
      </w:r>
    </w:p>
    <w:p w14:paraId="25F51F98">
      <w:pPr>
        <w:pStyle w:val="23"/>
        <w:spacing w:before="0" w:after="60" w:line="257" w:lineRule="auto"/>
        <w:ind w:left="360" w:hanging="173"/>
      </w:pPr>
      <w:r>
        <w:rPr>
          <w:rFonts w:ascii="Arial" w:hAnsi="Arial" w:eastAsia="Arial"/>
          <w:b w:val="0"/>
          <w:i w:val="0"/>
          <w:color w:val="1A1A1A"/>
          <w:sz w:val="20"/>
        </w:rPr>
        <w:t>Check duplicate buyers/sellers by phone, email and approved identity fields.</w:t>
      </w:r>
    </w:p>
    <w:p w14:paraId="262DC3DF">
      <w:pPr>
        <w:pStyle w:val="23"/>
        <w:spacing w:before="0" w:after="60" w:line="257" w:lineRule="auto"/>
        <w:ind w:left="360" w:hanging="173"/>
      </w:pPr>
      <w:r>
        <w:rPr>
          <w:rFonts w:ascii="Arial" w:hAnsi="Arial" w:eastAsia="Arial"/>
          <w:b w:val="0"/>
          <w:i w:val="0"/>
          <w:color w:val="1A1A1A"/>
          <w:sz w:val="20"/>
        </w:rPr>
        <w:t>Check duplicate property records by address, survey number, title reference and location.</w:t>
      </w:r>
    </w:p>
    <w:p w14:paraId="27A66C24">
      <w:pPr>
        <w:pStyle w:val="23"/>
        <w:spacing w:before="0" w:after="60" w:line="257" w:lineRule="auto"/>
        <w:ind w:left="360" w:hanging="173"/>
      </w:pPr>
      <w:r>
        <w:rPr>
          <w:rFonts w:ascii="Arial" w:hAnsi="Arial" w:eastAsia="Arial"/>
          <w:b w:val="0"/>
          <w:i w:val="0"/>
          <w:color w:val="1A1A1A"/>
          <w:sz w:val="20"/>
        </w:rPr>
        <w:t>Check duplicate payments by external reference, amount, payer, date and idempotency key.</w:t>
      </w:r>
    </w:p>
    <w:p w14:paraId="33E94C8E">
      <w:pPr>
        <w:pStyle w:val="23"/>
        <w:spacing w:before="0" w:after="60" w:line="257" w:lineRule="auto"/>
        <w:ind w:left="360" w:hanging="173"/>
      </w:pPr>
      <w:r>
        <w:rPr>
          <w:rFonts w:ascii="Arial" w:hAnsi="Arial" w:eastAsia="Arial"/>
          <w:b w:val="0"/>
          <w:i w:val="0"/>
          <w:color w:val="1A1A1A"/>
          <w:sz w:val="20"/>
        </w:rPr>
        <w:t>Check duplicate professional records by registration details, phone, email and category.</w:t>
      </w:r>
    </w:p>
    <w:p w14:paraId="618FE737">
      <w:pPr>
        <w:pStyle w:val="2"/>
        <w:keepNext/>
        <w:pageBreakBefore w:val="0"/>
      </w:pPr>
      <w:r>
        <w:t>13. Server-Side and Integration Requirements</w:t>
      </w:r>
    </w:p>
    <w:p w14:paraId="1488E721">
      <w:pPr>
        <w:pStyle w:val="13"/>
        <w:spacing w:before="0" w:after="120" w:line="269" w:lineRule="auto"/>
      </w:pPr>
      <w:r>
        <w:rPr>
          <w:rFonts w:ascii="Arial" w:hAnsi="Arial" w:eastAsia="Arial"/>
          <w:color w:val="1A1A1A"/>
          <w:sz w:val="20"/>
        </w:rPr>
        <w:t>The specification is vendor-neutral. The system may integrate through secure APIs, signed event notifications, approved statement files or controlled manual confirmation. Regardless of method, the controls below are mandatory.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E50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6" w:type="dxa"/>
            <w:shd w:val="clear" w:color="auto" w:fill="5C1949"/>
            <w:tcMar>
              <w:top w:w="100" w:type="dxa"/>
              <w:left w:w="120" w:type="dxa"/>
              <w:bottom w:w="100" w:type="dxa"/>
              <w:right w:w="120" w:type="dxa"/>
            </w:tcMar>
            <w:vAlign w:val="center"/>
          </w:tcPr>
          <w:p w14:paraId="28490816">
            <w:pPr>
              <w:keepLines/>
              <w:spacing w:before="0" w:after="0" w:line="240" w:lineRule="auto"/>
              <w:jc w:val="center"/>
            </w:pPr>
            <w:r>
              <w:rPr>
                <w:rFonts w:ascii="Arial" w:hAnsi="Arial" w:eastAsia="Arial"/>
                <w:b/>
                <w:color w:val="FFFFFF"/>
                <w:sz w:val="17"/>
              </w:rPr>
              <w:t>Service function</w:t>
            </w:r>
          </w:p>
        </w:tc>
        <w:tc>
          <w:tcPr>
            <w:tcW w:w="6696" w:type="dxa"/>
            <w:shd w:val="clear" w:color="auto" w:fill="5C1949"/>
            <w:tcMar>
              <w:top w:w="100" w:type="dxa"/>
              <w:left w:w="120" w:type="dxa"/>
              <w:bottom w:w="100" w:type="dxa"/>
              <w:right w:w="120" w:type="dxa"/>
            </w:tcMar>
            <w:vAlign w:val="center"/>
          </w:tcPr>
          <w:p w14:paraId="292A3B4E">
            <w:pPr>
              <w:keepLines/>
              <w:spacing w:before="0" w:after="0" w:line="240" w:lineRule="auto"/>
              <w:jc w:val="center"/>
            </w:pPr>
            <w:r>
              <w:rPr>
                <w:rFonts w:ascii="Arial" w:hAnsi="Arial" w:eastAsia="Arial"/>
                <w:b/>
                <w:color w:val="FFFFFF"/>
                <w:sz w:val="17"/>
              </w:rPr>
              <w:t>Mandatory behaviour</w:t>
            </w:r>
          </w:p>
        </w:tc>
      </w:tr>
      <w:tr w14:paraId="0084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Mar>
              <w:top w:w="90" w:type="dxa"/>
              <w:left w:w="120" w:type="dxa"/>
              <w:bottom w:w="90" w:type="dxa"/>
              <w:right w:w="120" w:type="dxa"/>
            </w:tcMar>
            <w:vAlign w:val="center"/>
          </w:tcPr>
          <w:p w14:paraId="37627C56">
            <w:pPr>
              <w:keepLines/>
              <w:spacing w:before="0" w:after="0" w:line="240" w:lineRule="auto"/>
              <w:jc w:val="left"/>
            </w:pPr>
            <w:r>
              <w:rPr>
                <w:rFonts w:ascii="Arial" w:hAnsi="Arial" w:eastAsia="Arial"/>
                <w:b/>
                <w:color w:val="1A1A1A"/>
                <w:sz w:val="17"/>
              </w:rPr>
              <w:t>generate_id</w:t>
            </w:r>
          </w:p>
        </w:tc>
        <w:tc>
          <w:tcPr>
            <w:tcW w:w="6696" w:type="dxa"/>
            <w:tcMar>
              <w:top w:w="90" w:type="dxa"/>
              <w:left w:w="120" w:type="dxa"/>
              <w:bottom w:w="90" w:type="dxa"/>
              <w:right w:w="120" w:type="dxa"/>
            </w:tcMar>
            <w:vAlign w:val="center"/>
          </w:tcPr>
          <w:p w14:paraId="03E7ED32">
            <w:pPr>
              <w:keepLines/>
              <w:spacing w:before="0" w:after="0" w:line="240" w:lineRule="auto"/>
              <w:jc w:val="left"/>
            </w:pPr>
            <w:r>
              <w:rPr>
                <w:rFonts w:ascii="Arial" w:hAnsi="Arial" w:eastAsia="Arial"/>
                <w:b w:val="0"/>
                <w:color w:val="1A1A1A"/>
                <w:sz w:val="17"/>
              </w:rPr>
              <w:t>Generate the correct SBR ID atomically, create ID-register record and return parent/child links</w:t>
            </w:r>
          </w:p>
        </w:tc>
      </w:tr>
      <w:tr w14:paraId="0C91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shd w:val="clear" w:color="auto" w:fill="FBFBFB"/>
            <w:tcMar>
              <w:top w:w="90" w:type="dxa"/>
              <w:left w:w="120" w:type="dxa"/>
              <w:bottom w:w="90" w:type="dxa"/>
              <w:right w:w="120" w:type="dxa"/>
            </w:tcMar>
            <w:vAlign w:val="center"/>
          </w:tcPr>
          <w:p w14:paraId="48431C87">
            <w:pPr>
              <w:keepLines/>
              <w:spacing w:before="0" w:after="0" w:line="240" w:lineRule="auto"/>
              <w:jc w:val="left"/>
            </w:pPr>
            <w:r>
              <w:rPr>
                <w:rFonts w:ascii="Arial" w:hAnsi="Arial" w:eastAsia="Arial"/>
                <w:b/>
                <w:color w:val="1A1A1A"/>
                <w:sz w:val="17"/>
              </w:rPr>
              <w:t>create_payment_instruction</w:t>
            </w:r>
          </w:p>
        </w:tc>
        <w:tc>
          <w:tcPr>
            <w:tcW w:w="6696" w:type="dxa"/>
            <w:shd w:val="clear" w:color="auto" w:fill="FBFBFB"/>
            <w:tcMar>
              <w:top w:w="90" w:type="dxa"/>
              <w:left w:w="120" w:type="dxa"/>
              <w:bottom w:w="90" w:type="dxa"/>
              <w:right w:w="120" w:type="dxa"/>
            </w:tcMar>
            <w:vAlign w:val="center"/>
          </w:tcPr>
          <w:p w14:paraId="3E9D57EB">
            <w:pPr>
              <w:keepLines/>
              <w:spacing w:before="0" w:after="0" w:line="240" w:lineRule="auto"/>
              <w:jc w:val="left"/>
            </w:pPr>
            <w:r>
              <w:rPr>
                <w:rFonts w:ascii="Arial" w:hAnsi="Arial" w:eastAsia="Arial"/>
                <w:b w:val="0"/>
                <w:color w:val="1A1A1A"/>
                <w:sz w:val="17"/>
              </w:rPr>
              <w:t>Create an approved account/reference instruction linked to code, sub-code and SBR IDs</w:t>
            </w:r>
          </w:p>
        </w:tc>
      </w:tr>
      <w:tr w14:paraId="4658B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Mar>
              <w:top w:w="90" w:type="dxa"/>
              <w:left w:w="120" w:type="dxa"/>
              <w:bottom w:w="90" w:type="dxa"/>
              <w:right w:w="120" w:type="dxa"/>
            </w:tcMar>
            <w:vAlign w:val="center"/>
          </w:tcPr>
          <w:p w14:paraId="129EEDCA">
            <w:pPr>
              <w:keepLines/>
              <w:spacing w:before="0" w:after="0" w:line="240" w:lineRule="auto"/>
              <w:jc w:val="left"/>
            </w:pPr>
            <w:r>
              <w:rPr>
                <w:rFonts w:ascii="Arial" w:hAnsi="Arial" w:eastAsia="Arial"/>
                <w:b/>
                <w:color w:val="1A1A1A"/>
                <w:sz w:val="17"/>
              </w:rPr>
              <w:t>record_bank_event</w:t>
            </w:r>
          </w:p>
        </w:tc>
        <w:tc>
          <w:tcPr>
            <w:tcW w:w="6696" w:type="dxa"/>
            <w:tcMar>
              <w:top w:w="90" w:type="dxa"/>
              <w:left w:w="120" w:type="dxa"/>
              <w:bottom w:w="90" w:type="dxa"/>
              <w:right w:w="120" w:type="dxa"/>
            </w:tcMar>
            <w:vAlign w:val="center"/>
          </w:tcPr>
          <w:p w14:paraId="4B48DB51">
            <w:pPr>
              <w:keepLines/>
              <w:spacing w:before="0" w:after="0" w:line="240" w:lineRule="auto"/>
              <w:jc w:val="left"/>
            </w:pPr>
            <w:r>
              <w:rPr>
                <w:rFonts w:ascii="Arial" w:hAnsi="Arial" w:eastAsia="Arial"/>
                <w:b w:val="0"/>
                <w:color w:val="1A1A1A"/>
                <w:sz w:val="17"/>
              </w:rPr>
              <w:t>Validate authenticity/source, prevent duplicate processing and store raw event evidence</w:t>
            </w:r>
          </w:p>
        </w:tc>
      </w:tr>
      <w:tr w14:paraId="383B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shd w:val="clear" w:color="auto" w:fill="FBFBFB"/>
            <w:tcMar>
              <w:top w:w="90" w:type="dxa"/>
              <w:left w:w="120" w:type="dxa"/>
              <w:bottom w:w="90" w:type="dxa"/>
              <w:right w:w="120" w:type="dxa"/>
            </w:tcMar>
            <w:vAlign w:val="center"/>
          </w:tcPr>
          <w:p w14:paraId="580BB413">
            <w:pPr>
              <w:keepLines/>
              <w:spacing w:before="0" w:after="0" w:line="240" w:lineRule="auto"/>
              <w:jc w:val="left"/>
            </w:pPr>
            <w:r>
              <w:rPr>
                <w:rFonts w:ascii="Arial" w:hAnsi="Arial" w:eastAsia="Arial"/>
                <w:b/>
                <w:color w:val="1A1A1A"/>
                <w:sz w:val="17"/>
              </w:rPr>
              <w:t>allocate_receipt</w:t>
            </w:r>
          </w:p>
        </w:tc>
        <w:tc>
          <w:tcPr>
            <w:tcW w:w="6696" w:type="dxa"/>
            <w:shd w:val="clear" w:color="auto" w:fill="FBFBFB"/>
            <w:tcMar>
              <w:top w:w="90" w:type="dxa"/>
              <w:left w:w="120" w:type="dxa"/>
              <w:bottom w:w="90" w:type="dxa"/>
              <w:right w:w="120" w:type="dxa"/>
            </w:tcMar>
            <w:vAlign w:val="center"/>
          </w:tcPr>
          <w:p w14:paraId="4818D90A">
            <w:pPr>
              <w:keepLines/>
              <w:spacing w:before="0" w:after="0" w:line="240" w:lineRule="auto"/>
              <w:jc w:val="left"/>
            </w:pPr>
            <w:r>
              <w:rPr>
                <w:rFonts w:ascii="Arial" w:hAnsi="Arial" w:eastAsia="Arial"/>
                <w:b w:val="0"/>
                <w:color w:val="1A1A1A"/>
                <w:sz w:val="17"/>
              </w:rPr>
              <w:t>Apply exact server-side allocation to principal, commission, VAT, fee, payable or suspense</w:t>
            </w:r>
          </w:p>
        </w:tc>
      </w:tr>
      <w:tr w14:paraId="64EF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Mar>
              <w:top w:w="90" w:type="dxa"/>
              <w:left w:w="120" w:type="dxa"/>
              <w:bottom w:w="90" w:type="dxa"/>
              <w:right w:w="120" w:type="dxa"/>
            </w:tcMar>
            <w:vAlign w:val="center"/>
          </w:tcPr>
          <w:p w14:paraId="4725478B">
            <w:pPr>
              <w:keepLines/>
              <w:spacing w:before="0" w:after="0" w:line="240" w:lineRule="auto"/>
              <w:jc w:val="left"/>
            </w:pPr>
            <w:r>
              <w:rPr>
                <w:rFonts w:ascii="Arial" w:hAnsi="Arial" w:eastAsia="Arial"/>
                <w:b/>
                <w:color w:val="1A1A1A"/>
                <w:sz w:val="17"/>
              </w:rPr>
              <w:t>create_escrow_release</w:t>
            </w:r>
          </w:p>
        </w:tc>
        <w:tc>
          <w:tcPr>
            <w:tcW w:w="6696" w:type="dxa"/>
            <w:tcMar>
              <w:top w:w="90" w:type="dxa"/>
              <w:left w:w="120" w:type="dxa"/>
              <w:bottom w:w="90" w:type="dxa"/>
              <w:right w:w="120" w:type="dxa"/>
            </w:tcMar>
            <w:vAlign w:val="center"/>
          </w:tcPr>
          <w:p w14:paraId="2AC2B241">
            <w:pPr>
              <w:keepLines/>
              <w:spacing w:before="0" w:after="0" w:line="240" w:lineRule="auto"/>
              <w:jc w:val="left"/>
            </w:pPr>
            <w:r>
              <w:rPr>
                <w:rFonts w:ascii="Arial" w:hAnsi="Arial" w:eastAsia="Arial"/>
                <w:b w:val="0"/>
                <w:color w:val="1A1A1A"/>
                <w:sz w:val="17"/>
              </w:rPr>
              <w:t>Validate balance, beneficiary, holds, conditions and authority before preparation</w:t>
            </w:r>
          </w:p>
        </w:tc>
      </w:tr>
      <w:tr w14:paraId="61E9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shd w:val="clear" w:color="auto" w:fill="FBFBFB"/>
            <w:tcMar>
              <w:top w:w="90" w:type="dxa"/>
              <w:left w:w="120" w:type="dxa"/>
              <w:bottom w:w="90" w:type="dxa"/>
              <w:right w:w="120" w:type="dxa"/>
            </w:tcMar>
            <w:vAlign w:val="center"/>
          </w:tcPr>
          <w:p w14:paraId="02A1704A">
            <w:pPr>
              <w:keepLines/>
              <w:spacing w:before="0" w:after="0" w:line="240" w:lineRule="auto"/>
              <w:jc w:val="left"/>
            </w:pPr>
            <w:r>
              <w:rPr>
                <w:rFonts w:ascii="Arial" w:hAnsi="Arial" w:eastAsia="Arial"/>
                <w:b/>
                <w:color w:val="1A1A1A"/>
                <w:sz w:val="17"/>
              </w:rPr>
              <w:t>approve_financial_action</w:t>
            </w:r>
          </w:p>
        </w:tc>
        <w:tc>
          <w:tcPr>
            <w:tcW w:w="6696" w:type="dxa"/>
            <w:shd w:val="clear" w:color="auto" w:fill="FBFBFB"/>
            <w:tcMar>
              <w:top w:w="90" w:type="dxa"/>
              <w:left w:w="120" w:type="dxa"/>
              <w:bottom w:w="90" w:type="dxa"/>
              <w:right w:w="120" w:type="dxa"/>
            </w:tcMar>
            <w:vAlign w:val="center"/>
          </w:tcPr>
          <w:p w14:paraId="4FA91966">
            <w:pPr>
              <w:keepLines/>
              <w:spacing w:before="0" w:after="0" w:line="240" w:lineRule="auto"/>
              <w:jc w:val="left"/>
            </w:pPr>
            <w:r>
              <w:rPr>
                <w:rFonts w:ascii="Arial" w:hAnsi="Arial" w:eastAsia="Arial"/>
                <w:b w:val="0"/>
                <w:color w:val="1A1A1A"/>
                <w:sz w:val="17"/>
              </w:rPr>
              <w:t>Enforce maker-checker, amount limits and invalidation rules</w:t>
            </w:r>
          </w:p>
        </w:tc>
      </w:tr>
      <w:tr w14:paraId="6DCF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Mar>
              <w:top w:w="90" w:type="dxa"/>
              <w:left w:w="120" w:type="dxa"/>
              <w:bottom w:w="90" w:type="dxa"/>
              <w:right w:w="120" w:type="dxa"/>
            </w:tcMar>
            <w:vAlign w:val="center"/>
          </w:tcPr>
          <w:p w14:paraId="08A2ADEA">
            <w:pPr>
              <w:keepLines/>
              <w:spacing w:before="0" w:after="0" w:line="240" w:lineRule="auto"/>
              <w:jc w:val="left"/>
            </w:pPr>
            <w:r>
              <w:rPr>
                <w:rFonts w:ascii="Arial" w:hAnsi="Arial" w:eastAsia="Arial"/>
                <w:b/>
                <w:color w:val="1A1A1A"/>
                <w:sz w:val="17"/>
              </w:rPr>
              <w:t>execute_release_or_refund</w:t>
            </w:r>
          </w:p>
        </w:tc>
        <w:tc>
          <w:tcPr>
            <w:tcW w:w="6696" w:type="dxa"/>
            <w:tcMar>
              <w:top w:w="90" w:type="dxa"/>
              <w:left w:w="120" w:type="dxa"/>
              <w:bottom w:w="90" w:type="dxa"/>
              <w:right w:w="120" w:type="dxa"/>
            </w:tcMar>
            <w:vAlign w:val="center"/>
          </w:tcPr>
          <w:p w14:paraId="00E488DE">
            <w:pPr>
              <w:keepLines/>
              <w:spacing w:before="0" w:after="0" w:line="240" w:lineRule="auto"/>
              <w:jc w:val="left"/>
            </w:pPr>
            <w:r>
              <w:rPr>
                <w:rFonts w:ascii="Arial" w:hAnsi="Arial" w:eastAsia="Arial"/>
                <w:b w:val="0"/>
                <w:color w:val="1A1A1A"/>
                <w:sz w:val="17"/>
              </w:rPr>
              <w:t>Execute only an approved action and retain the external reference/outcome</w:t>
            </w:r>
          </w:p>
        </w:tc>
      </w:tr>
      <w:tr w14:paraId="5073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shd w:val="clear" w:color="auto" w:fill="FBFBFB"/>
            <w:tcMar>
              <w:top w:w="90" w:type="dxa"/>
              <w:left w:w="120" w:type="dxa"/>
              <w:bottom w:w="90" w:type="dxa"/>
              <w:right w:w="120" w:type="dxa"/>
            </w:tcMar>
            <w:vAlign w:val="center"/>
          </w:tcPr>
          <w:p w14:paraId="46C9F02A">
            <w:pPr>
              <w:keepLines/>
              <w:spacing w:before="0" w:after="0" w:line="240" w:lineRule="auto"/>
              <w:jc w:val="left"/>
            </w:pPr>
            <w:r>
              <w:rPr>
                <w:rFonts w:ascii="Arial" w:hAnsi="Arial" w:eastAsia="Arial"/>
                <w:b/>
                <w:color w:val="1A1A1A"/>
                <w:sz w:val="17"/>
              </w:rPr>
              <w:t>post_ledger_batch</w:t>
            </w:r>
          </w:p>
        </w:tc>
        <w:tc>
          <w:tcPr>
            <w:tcW w:w="6696" w:type="dxa"/>
            <w:shd w:val="clear" w:color="auto" w:fill="FBFBFB"/>
            <w:tcMar>
              <w:top w:w="90" w:type="dxa"/>
              <w:left w:w="120" w:type="dxa"/>
              <w:bottom w:w="90" w:type="dxa"/>
              <w:right w:w="120" w:type="dxa"/>
            </w:tcMar>
            <w:vAlign w:val="center"/>
          </w:tcPr>
          <w:p w14:paraId="1246804D">
            <w:pPr>
              <w:keepLines/>
              <w:spacing w:before="0" w:after="0" w:line="240" w:lineRule="auto"/>
              <w:jc w:val="left"/>
            </w:pPr>
            <w:r>
              <w:rPr>
                <w:rFonts w:ascii="Arial" w:hAnsi="Arial" w:eastAsia="Arial"/>
                <w:b w:val="0"/>
                <w:color w:val="1A1A1A"/>
                <w:sz w:val="17"/>
              </w:rPr>
              <w:t>Create balanced immutable accounting entries</w:t>
            </w:r>
          </w:p>
        </w:tc>
      </w:tr>
      <w:tr w14:paraId="2EAA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Mar>
              <w:top w:w="90" w:type="dxa"/>
              <w:left w:w="120" w:type="dxa"/>
              <w:bottom w:w="90" w:type="dxa"/>
              <w:right w:w="120" w:type="dxa"/>
            </w:tcMar>
            <w:vAlign w:val="center"/>
          </w:tcPr>
          <w:p w14:paraId="0C8B651C">
            <w:pPr>
              <w:keepLines/>
              <w:spacing w:before="0" w:after="0" w:line="240" w:lineRule="auto"/>
              <w:jc w:val="left"/>
            </w:pPr>
            <w:r>
              <w:rPr>
                <w:rFonts w:ascii="Arial" w:hAnsi="Arial" w:eastAsia="Arial"/>
                <w:b/>
                <w:color w:val="1A1A1A"/>
                <w:sz w:val="17"/>
              </w:rPr>
              <w:t>reconcile_account</w:t>
            </w:r>
          </w:p>
        </w:tc>
        <w:tc>
          <w:tcPr>
            <w:tcW w:w="6696" w:type="dxa"/>
            <w:tcMar>
              <w:top w:w="90" w:type="dxa"/>
              <w:left w:w="120" w:type="dxa"/>
              <w:bottom w:w="90" w:type="dxa"/>
              <w:right w:w="120" w:type="dxa"/>
            </w:tcMar>
            <w:vAlign w:val="center"/>
          </w:tcPr>
          <w:p w14:paraId="4583CEF9">
            <w:pPr>
              <w:keepLines/>
              <w:spacing w:before="0" w:after="0" w:line="240" w:lineRule="auto"/>
              <w:jc w:val="left"/>
            </w:pPr>
            <w:r>
              <w:rPr>
                <w:rFonts w:ascii="Arial" w:hAnsi="Arial" w:eastAsia="Arial"/>
                <w:b w:val="0"/>
                <w:color w:val="1A1A1A"/>
                <w:sz w:val="17"/>
              </w:rPr>
              <w:t>Match statement lines, classify exceptions and retain reviewer/approver evidence</w:t>
            </w:r>
          </w:p>
        </w:tc>
      </w:tr>
      <w:tr w14:paraId="454D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shd w:val="clear" w:color="auto" w:fill="FBFBFB"/>
            <w:tcMar>
              <w:top w:w="90" w:type="dxa"/>
              <w:left w:w="120" w:type="dxa"/>
              <w:bottom w:w="90" w:type="dxa"/>
              <w:right w:w="120" w:type="dxa"/>
            </w:tcMar>
            <w:vAlign w:val="center"/>
          </w:tcPr>
          <w:p w14:paraId="02D34997">
            <w:pPr>
              <w:keepLines/>
              <w:spacing w:before="0" w:after="0" w:line="240" w:lineRule="auto"/>
              <w:jc w:val="left"/>
            </w:pPr>
            <w:r>
              <w:rPr>
                <w:rFonts w:ascii="Arial" w:hAnsi="Arial" w:eastAsia="Arial"/>
                <w:b/>
                <w:color w:val="1A1A1A"/>
                <w:sz w:val="17"/>
              </w:rPr>
              <w:t>generate_document</w:t>
            </w:r>
          </w:p>
        </w:tc>
        <w:tc>
          <w:tcPr>
            <w:tcW w:w="6696" w:type="dxa"/>
            <w:shd w:val="clear" w:color="auto" w:fill="FBFBFB"/>
            <w:tcMar>
              <w:top w:w="90" w:type="dxa"/>
              <w:left w:w="120" w:type="dxa"/>
              <w:bottom w:w="90" w:type="dxa"/>
              <w:right w:w="120" w:type="dxa"/>
            </w:tcMar>
            <w:vAlign w:val="center"/>
          </w:tcPr>
          <w:p w14:paraId="7C01AB5F">
            <w:pPr>
              <w:keepLines/>
              <w:spacing w:before="0" w:after="0" w:line="240" w:lineRule="auto"/>
              <w:jc w:val="left"/>
            </w:pPr>
            <w:r>
              <w:rPr>
                <w:rFonts w:ascii="Arial" w:hAnsi="Arial" w:eastAsia="Arial"/>
                <w:b w:val="0"/>
                <w:color w:val="1A1A1A"/>
                <w:sz w:val="17"/>
              </w:rPr>
              <w:t>Generate invoice, receipt or statement with mandatory IDs, code, tax and audit metadata</w:t>
            </w:r>
          </w:p>
        </w:tc>
      </w:tr>
    </w:tbl>
    <w:p w14:paraId="6574EA9A">
      <w:pPr>
        <w:spacing w:after="20"/>
      </w:pPr>
    </w:p>
    <w:p w14:paraId="689573CD">
      <w:pPr>
        <w:pStyle w:val="3"/>
        <w:keepNext/>
        <w:pageBreakBefore w:val="0"/>
      </w:pPr>
      <w:r>
        <w:t>13.1 Common Validation Rules</w:t>
      </w:r>
    </w:p>
    <w:p w14:paraId="68B3049F">
      <w:pPr>
        <w:pStyle w:val="23"/>
        <w:spacing w:before="0" w:after="60" w:line="257" w:lineRule="auto"/>
        <w:ind w:left="360" w:hanging="173"/>
      </w:pPr>
      <w:r>
        <w:rPr>
          <w:rFonts w:ascii="Arial" w:hAnsi="Arial" w:eastAsia="Arial"/>
          <w:b w:val="0"/>
          <w:i w:val="0"/>
          <w:color w:val="1A1A1A"/>
          <w:sz w:val="20"/>
        </w:rPr>
        <w:t>Reject missing or invalid main code, sub-code, transaction ID or parent relationship.</w:t>
      </w:r>
    </w:p>
    <w:p w14:paraId="267F212D">
      <w:pPr>
        <w:pStyle w:val="23"/>
        <w:spacing w:before="0" w:after="60" w:line="257" w:lineRule="auto"/>
        <w:ind w:left="360" w:hanging="173"/>
      </w:pPr>
      <w:r>
        <w:rPr>
          <w:rFonts w:ascii="Arial" w:hAnsi="Arial" w:eastAsia="Arial"/>
          <w:b w:val="0"/>
          <w:i w:val="0"/>
          <w:color w:val="1A1A1A"/>
          <w:sz w:val="20"/>
        </w:rPr>
        <w:t>Reject negative or over-limit allocations unless the event is an approved reversal.</w:t>
      </w:r>
    </w:p>
    <w:p w14:paraId="65FC2540">
      <w:pPr>
        <w:pStyle w:val="23"/>
        <w:spacing w:before="0" w:after="60" w:line="257" w:lineRule="auto"/>
        <w:ind w:left="360" w:hanging="173"/>
      </w:pPr>
      <w:r>
        <w:rPr>
          <w:rFonts w:ascii="Arial" w:hAnsi="Arial" w:eastAsia="Arial"/>
          <w:b w:val="0"/>
          <w:i w:val="0"/>
          <w:color w:val="1A1A1A"/>
          <w:sz w:val="20"/>
        </w:rPr>
        <w:t>Reject a duplicate external event or duplicate idempotency key.</w:t>
      </w:r>
    </w:p>
    <w:p w14:paraId="3D799C06">
      <w:pPr>
        <w:pStyle w:val="23"/>
        <w:spacing w:before="0" w:after="60" w:line="257" w:lineRule="auto"/>
        <w:ind w:left="360" w:hanging="173"/>
      </w:pPr>
      <w:r>
        <w:rPr>
          <w:rFonts w:ascii="Arial" w:hAnsi="Arial" w:eastAsia="Arial"/>
          <w:b w:val="0"/>
          <w:i w:val="0"/>
          <w:color w:val="1A1A1A"/>
          <w:sz w:val="20"/>
        </w:rPr>
        <w:t>Reject a release/refund when the escrow balance is insufficient or a hold is active.</w:t>
      </w:r>
    </w:p>
    <w:p w14:paraId="51FB36EE">
      <w:pPr>
        <w:pStyle w:val="23"/>
        <w:spacing w:before="0" w:after="60" w:line="257" w:lineRule="auto"/>
        <w:ind w:left="360" w:hanging="173"/>
      </w:pPr>
      <w:r>
        <w:rPr>
          <w:rFonts w:ascii="Arial" w:hAnsi="Arial" w:eastAsia="Arial"/>
          <w:b w:val="0"/>
          <w:i w:val="0"/>
          <w:color w:val="1A1A1A"/>
          <w:sz w:val="20"/>
        </w:rPr>
        <w:t>Reject beneficiary details that are unverified, inactive or changed after approval.</w:t>
      </w:r>
    </w:p>
    <w:p w14:paraId="6D30BDF1">
      <w:pPr>
        <w:pStyle w:val="23"/>
        <w:spacing w:before="0" w:after="60" w:line="257" w:lineRule="auto"/>
        <w:ind w:left="360" w:hanging="173"/>
      </w:pPr>
      <w:r>
        <w:rPr>
          <w:rFonts w:ascii="Arial" w:hAnsi="Arial" w:eastAsia="Arial"/>
          <w:b w:val="0"/>
          <w:i w:val="0"/>
          <w:color w:val="1A1A1A"/>
          <w:sz w:val="20"/>
        </w:rPr>
        <w:t>Reject a final status unless external evidence and ledger posting are complete.</w:t>
      </w:r>
    </w:p>
    <w:p w14:paraId="3550D1CC">
      <w:pPr>
        <w:pStyle w:val="2"/>
        <w:keepNext/>
        <w:pageBreakBefore w:val="0"/>
      </w:pPr>
      <w:r>
        <w:t>14. Testing and Acceptance Criteria</w:t>
      </w:r>
    </w:p>
    <w:p w14:paraId="51E88582">
      <w:pPr>
        <w:pStyle w:val="3"/>
        <w:keepNext/>
        <w:pageBreakBefore w:val="0"/>
      </w:pPr>
      <w:r>
        <w:t>14.1 Mandatory Test Scenarios</w:t>
      </w:r>
    </w:p>
    <w:p w14:paraId="55F5438F">
      <w:r>
        <w:rPr>
          <w:rFonts w:ascii="Arial" w:hAnsi="Arial" w:eastAsia="Arial"/>
          <w:b/>
          <w:i w:val="0"/>
          <w:color w:val="5C1949"/>
          <w:sz w:val="20"/>
        </w:rPr>
        <w:t xml:space="preserve">☐ </w:t>
      </w:r>
      <w:r>
        <w:rPr>
          <w:rFonts w:ascii="Arial" w:hAnsi="Arial" w:eastAsia="Arial"/>
          <w:b w:val="0"/>
          <w:i w:val="0"/>
          <w:color w:val="1A1A1A"/>
          <w:sz w:val="20"/>
        </w:rPr>
        <w:t>A Code 1 buyer commission and seller commission enter the same bank account and remain separately reportable by sub-code 11 and 12.</w:t>
      </w:r>
    </w:p>
    <w:p w14:paraId="60E50297">
      <w:r>
        <w:rPr>
          <w:rFonts w:ascii="Arial" w:hAnsi="Arial" w:eastAsia="Arial"/>
          <w:b/>
          <w:i w:val="0"/>
          <w:color w:val="5C1949"/>
          <w:sz w:val="20"/>
        </w:rPr>
        <w:t xml:space="preserve">☐ </w:t>
      </w:r>
      <w:r>
        <w:rPr>
          <w:rFonts w:ascii="Arial" w:hAnsi="Arial" w:eastAsia="Arial"/>
          <w:b w:val="0"/>
          <w:i w:val="0"/>
          <w:color w:val="1A1A1A"/>
          <w:sz w:val="20"/>
        </w:rPr>
        <w:t>A Code 2 comprehensive payment is correctly allocated across legal, environmental, physical and security sub-codes.</w:t>
      </w:r>
    </w:p>
    <w:p w14:paraId="072C8DAC">
      <w:r>
        <w:rPr>
          <w:rFonts w:ascii="Arial" w:hAnsi="Arial" w:eastAsia="Arial"/>
          <w:b/>
          <w:i w:val="0"/>
          <w:color w:val="5C1949"/>
          <w:sz w:val="20"/>
        </w:rPr>
        <w:t xml:space="preserve">☐ </w:t>
      </w:r>
      <w:r>
        <w:rPr>
          <w:rFonts w:ascii="Arial" w:hAnsi="Arial" w:eastAsia="Arial"/>
          <w:b w:val="0"/>
          <w:i w:val="0"/>
          <w:color w:val="1A1A1A"/>
          <w:sz w:val="20"/>
        </w:rPr>
        <w:t>An escrow deposit creates one escrow sub-ledger, one SBR-ESC ID and one parent Transaction ID relationship.</w:t>
      </w:r>
    </w:p>
    <w:p w14:paraId="66FD0069">
      <w:r>
        <w:rPr>
          <w:rFonts w:ascii="Arial" w:hAnsi="Arial" w:eastAsia="Arial"/>
          <w:b/>
          <w:i w:val="0"/>
          <w:color w:val="5C1949"/>
          <w:sz w:val="20"/>
        </w:rPr>
        <w:t xml:space="preserve">☐ </w:t>
      </w:r>
      <w:r>
        <w:rPr>
          <w:rFonts w:ascii="Arial" w:hAnsi="Arial" w:eastAsia="Arial"/>
          <w:b w:val="0"/>
          <w:i w:val="0"/>
          <w:color w:val="1A1A1A"/>
          <w:sz w:val="20"/>
        </w:rPr>
        <w:t>The same escrow IDs trace the buyer inflow through commission/VAT allocation to seller release.</w:t>
      </w:r>
    </w:p>
    <w:p w14:paraId="32B51A3A">
      <w:r>
        <w:rPr>
          <w:rFonts w:ascii="Arial" w:hAnsi="Arial" w:eastAsia="Arial"/>
          <w:b/>
          <w:i w:val="0"/>
          <w:color w:val="5C1949"/>
          <w:sz w:val="20"/>
        </w:rPr>
        <w:t xml:space="preserve">☐ </w:t>
      </w:r>
      <w:r>
        <w:rPr>
          <w:rFonts w:ascii="Arial" w:hAnsi="Arial" w:eastAsia="Arial"/>
          <w:b w:val="0"/>
          <w:i w:val="0"/>
          <w:color w:val="1A1A1A"/>
          <w:sz w:val="20"/>
        </w:rPr>
        <w:t>A duplicate bank event does not create a duplicate receipt, allocation, journal or balance.</w:t>
      </w:r>
    </w:p>
    <w:p w14:paraId="373CB1D0">
      <w:r>
        <w:rPr>
          <w:rFonts w:ascii="Arial" w:hAnsi="Arial" w:eastAsia="Arial"/>
          <w:b/>
          <w:i w:val="0"/>
          <w:color w:val="5C1949"/>
          <w:sz w:val="20"/>
        </w:rPr>
        <w:t xml:space="preserve">☐ </w:t>
      </w:r>
      <w:r>
        <w:rPr>
          <w:rFonts w:ascii="Arial" w:hAnsi="Arial" w:eastAsia="Arial"/>
          <w:b w:val="0"/>
          <w:i w:val="0"/>
          <w:color w:val="1A1A1A"/>
          <w:sz w:val="20"/>
        </w:rPr>
        <w:t>A seller release cannot exceed the available escrow balance.</w:t>
      </w:r>
    </w:p>
    <w:p w14:paraId="6A8477CA">
      <w:r>
        <w:rPr>
          <w:rFonts w:ascii="Arial" w:hAnsi="Arial" w:eastAsia="Arial"/>
          <w:b/>
          <w:i w:val="0"/>
          <w:color w:val="5C1949"/>
          <w:sz w:val="20"/>
        </w:rPr>
        <w:t xml:space="preserve">☐ </w:t>
      </w:r>
      <w:r>
        <w:rPr>
          <w:rFonts w:ascii="Arial" w:hAnsi="Arial" w:eastAsia="Arial"/>
          <w:b w:val="0"/>
          <w:i w:val="0"/>
          <w:color w:val="1A1A1A"/>
          <w:sz w:val="20"/>
        </w:rPr>
        <w:t>A legal/compliance hold blocks seller release and buyer refund.</w:t>
      </w:r>
    </w:p>
    <w:p w14:paraId="7FBE1E82">
      <w:r>
        <w:rPr>
          <w:rFonts w:ascii="Arial" w:hAnsi="Arial" w:eastAsia="Arial"/>
          <w:b/>
          <w:i w:val="0"/>
          <w:color w:val="5C1949"/>
          <w:sz w:val="20"/>
        </w:rPr>
        <w:t xml:space="preserve">☐ </w:t>
      </w:r>
      <w:r>
        <w:rPr>
          <w:rFonts w:ascii="Arial" w:hAnsi="Arial" w:eastAsia="Arial"/>
          <w:b w:val="0"/>
          <w:i w:val="0"/>
          <w:color w:val="1A1A1A"/>
          <w:sz w:val="20"/>
        </w:rPr>
        <w:t>A beneficiary change invalidates existing approval and requires new independent approval.</w:t>
      </w:r>
    </w:p>
    <w:p w14:paraId="65DBCDFF">
      <w:r>
        <w:rPr>
          <w:rFonts w:ascii="Arial" w:hAnsi="Arial" w:eastAsia="Arial"/>
          <w:b/>
          <w:i w:val="0"/>
          <w:color w:val="5C1949"/>
          <w:sz w:val="20"/>
        </w:rPr>
        <w:t xml:space="preserve">☐ </w:t>
      </w:r>
      <w:r>
        <w:rPr>
          <w:rFonts w:ascii="Arial" w:hAnsi="Arial" w:eastAsia="Arial"/>
          <w:b w:val="0"/>
          <w:i w:val="0"/>
          <w:color w:val="1A1A1A"/>
          <w:sz w:val="20"/>
        </w:rPr>
        <w:t>VAT is applied to commission/service lines but not to escrow principal.</w:t>
      </w:r>
    </w:p>
    <w:p w14:paraId="49E1C4EA">
      <w:r>
        <w:rPr>
          <w:rFonts w:ascii="Arial" w:hAnsi="Arial" w:eastAsia="Arial"/>
          <w:b/>
          <w:i w:val="0"/>
          <w:color w:val="5C1949"/>
          <w:sz w:val="20"/>
        </w:rPr>
        <w:t xml:space="preserve">☐ </w:t>
      </w:r>
      <w:r>
        <w:rPr>
          <w:rFonts w:ascii="Arial" w:hAnsi="Arial" w:eastAsia="Arial"/>
          <w:b w:val="0"/>
          <w:i w:val="0"/>
          <w:color w:val="1A1A1A"/>
          <w:sz w:val="20"/>
        </w:rPr>
        <w:t>A Code 4 professional commission is traceable by Professional ID and transaction/case ID.</w:t>
      </w:r>
    </w:p>
    <w:p w14:paraId="096089DE">
      <w:r>
        <w:rPr>
          <w:rFonts w:ascii="Arial" w:hAnsi="Arial" w:eastAsia="Arial"/>
          <w:b/>
          <w:i w:val="0"/>
          <w:color w:val="5C1949"/>
          <w:sz w:val="20"/>
        </w:rPr>
        <w:t xml:space="preserve">☐ </w:t>
      </w:r>
      <w:r>
        <w:rPr>
          <w:rFonts w:ascii="Arial" w:hAnsi="Arial" w:eastAsia="Arial"/>
          <w:b w:val="0"/>
          <w:i w:val="0"/>
          <w:color w:val="1A1A1A"/>
          <w:sz w:val="20"/>
        </w:rPr>
        <w:t>An unidentified receipt remains in suspense until independently allocated.</w:t>
      </w:r>
    </w:p>
    <w:p w14:paraId="463E6922">
      <w:r>
        <w:rPr>
          <w:rFonts w:ascii="Arial" w:hAnsi="Arial" w:eastAsia="Arial"/>
          <w:b/>
          <w:i w:val="0"/>
          <w:color w:val="5C1949"/>
          <w:sz w:val="20"/>
        </w:rPr>
        <w:t xml:space="preserve">☐ </w:t>
      </w:r>
      <w:r>
        <w:rPr>
          <w:rFonts w:ascii="Arial" w:hAnsi="Arial" w:eastAsia="Arial"/>
          <w:b w:val="0"/>
          <w:i w:val="0"/>
          <w:color w:val="1A1A1A"/>
          <w:sz w:val="20"/>
        </w:rPr>
        <w:t>All IDs remain immutable and are not reused after archive or rejection.</w:t>
      </w:r>
    </w:p>
    <w:p w14:paraId="106D1C54">
      <w:r>
        <w:rPr>
          <w:rFonts w:ascii="Arial" w:hAnsi="Arial" w:eastAsia="Arial"/>
          <w:b/>
          <w:i w:val="0"/>
          <w:color w:val="5C1949"/>
          <w:sz w:val="20"/>
        </w:rPr>
        <w:t xml:space="preserve">☐ </w:t>
      </w:r>
      <w:r>
        <w:rPr>
          <w:rFonts w:ascii="Arial" w:hAnsi="Arial" w:eastAsia="Arial"/>
          <w:b w:val="0"/>
          <w:i w:val="0"/>
          <w:color w:val="1A1A1A"/>
          <w:sz w:val="20"/>
        </w:rPr>
        <w:t>Escrow bank balance reconciles to escrow sub-ledgers with no unexplained variance.</w:t>
      </w:r>
    </w:p>
    <w:p w14:paraId="7A588657">
      <w:r>
        <w:rPr>
          <w:rFonts w:ascii="Arial" w:hAnsi="Arial" w:eastAsia="Arial"/>
          <w:b/>
          <w:i w:val="0"/>
          <w:color w:val="5C1949"/>
          <w:sz w:val="20"/>
        </w:rPr>
        <w:t xml:space="preserve">☐ </w:t>
      </w:r>
      <w:r>
        <w:rPr>
          <w:rFonts w:ascii="Arial" w:hAnsi="Arial" w:eastAsia="Arial"/>
          <w:b w:val="0"/>
          <w:i w:val="0"/>
          <w:color w:val="1A1A1A"/>
          <w:sz w:val="20"/>
        </w:rPr>
        <w:t>Posted accounting entries cannot be edited or deleted; reversal is required.</w:t>
      </w:r>
    </w:p>
    <w:p w14:paraId="2C94433A">
      <w:r>
        <w:rPr>
          <w:rFonts w:ascii="Arial" w:hAnsi="Arial" w:eastAsia="Arial"/>
          <w:b/>
          <w:i w:val="0"/>
          <w:color w:val="5C1949"/>
          <w:sz w:val="20"/>
        </w:rPr>
        <w:t xml:space="preserve">☐ </w:t>
      </w:r>
      <w:r>
        <w:rPr>
          <w:rFonts w:ascii="Arial" w:hAnsi="Arial" w:eastAsia="Arial"/>
          <w:b w:val="0"/>
          <w:i w:val="0"/>
          <w:color w:val="1A1A1A"/>
          <w:sz w:val="20"/>
        </w:rPr>
        <w:t>A technology administrator without finance permission cannot approve or release funds.</w:t>
      </w:r>
    </w:p>
    <w:p w14:paraId="23C1471D">
      <w:pPr>
        <w:pStyle w:val="3"/>
        <w:keepNext/>
        <w:pageBreakBefore w:val="0"/>
      </w:pPr>
      <w:r>
        <w:t>14.2 Production Acceptance Gates</w:t>
      </w:r>
    </w:p>
    <w:p w14:paraId="546501F7">
      <w:r>
        <w:rPr>
          <w:rFonts w:ascii="Arial" w:hAnsi="Arial" w:eastAsia="Arial"/>
          <w:b/>
          <w:i w:val="0"/>
          <w:color w:val="5C1949"/>
          <w:sz w:val="20"/>
        </w:rPr>
        <w:t xml:space="preserve">☐ </w:t>
      </w:r>
      <w:r>
        <w:rPr>
          <w:rFonts w:ascii="Arial" w:hAnsi="Arial" w:eastAsia="Arial"/>
          <w:b w:val="0"/>
          <w:i w:val="0"/>
          <w:color w:val="1A1A1A"/>
          <w:sz w:val="20"/>
        </w:rPr>
        <w:t>Account-code and sub-ledger configuration approved by Finance.</w:t>
      </w:r>
    </w:p>
    <w:p w14:paraId="4F6219CE">
      <w:r>
        <w:rPr>
          <w:rFonts w:ascii="Arial" w:hAnsi="Arial" w:eastAsia="Arial"/>
          <w:b/>
          <w:i w:val="0"/>
          <w:color w:val="5C1949"/>
          <w:sz w:val="20"/>
        </w:rPr>
        <w:t xml:space="preserve">☐ </w:t>
      </w:r>
      <w:r>
        <w:rPr>
          <w:rFonts w:ascii="Arial" w:hAnsi="Arial" w:eastAsia="Arial"/>
          <w:b w:val="0"/>
          <w:i w:val="0"/>
          <w:color w:val="1A1A1A"/>
          <w:sz w:val="20"/>
        </w:rPr>
        <w:t>Escrow account structure, operating mandate and release process approved internally.</w:t>
      </w:r>
    </w:p>
    <w:p w14:paraId="5E67B766">
      <w:r>
        <w:rPr>
          <w:rFonts w:ascii="Arial" w:hAnsi="Arial" w:eastAsia="Arial"/>
          <w:b/>
          <w:i w:val="0"/>
          <w:color w:val="5C1949"/>
          <w:sz w:val="20"/>
        </w:rPr>
        <w:t xml:space="preserve">☐ </w:t>
      </w:r>
      <w:r>
        <w:rPr>
          <w:rFonts w:ascii="Arial" w:hAnsi="Arial" w:eastAsia="Arial"/>
          <w:b w:val="0"/>
          <w:i w:val="0"/>
          <w:color w:val="1A1A1A"/>
          <w:sz w:val="20"/>
        </w:rPr>
        <w:t>VAT configuration and invoice/statement layout approved by Finance/Tax adviser.</w:t>
      </w:r>
    </w:p>
    <w:p w14:paraId="7A2C6E1F">
      <w:r>
        <w:rPr>
          <w:rFonts w:ascii="Arial" w:hAnsi="Arial" w:eastAsia="Arial"/>
          <w:b/>
          <w:i w:val="0"/>
          <w:color w:val="5C1949"/>
          <w:sz w:val="20"/>
        </w:rPr>
        <w:t xml:space="preserve">☐ </w:t>
      </w:r>
      <w:r>
        <w:rPr>
          <w:rFonts w:ascii="Arial" w:hAnsi="Arial" w:eastAsia="Arial"/>
          <w:b w:val="0"/>
          <w:i w:val="0"/>
          <w:color w:val="1A1A1A"/>
          <w:sz w:val="20"/>
        </w:rPr>
        <w:t>SBR ID generator, location register and parent-child linkage approved by Operations/Digital Records.</w:t>
      </w:r>
    </w:p>
    <w:p w14:paraId="3105A8AF">
      <w:r>
        <w:rPr>
          <w:rFonts w:ascii="Arial" w:hAnsi="Arial" w:eastAsia="Arial"/>
          <w:b/>
          <w:i w:val="0"/>
          <w:color w:val="5C1949"/>
          <w:sz w:val="20"/>
        </w:rPr>
        <w:t xml:space="preserve">☐ </w:t>
      </w:r>
      <w:r>
        <w:rPr>
          <w:rFonts w:ascii="Arial" w:hAnsi="Arial" w:eastAsia="Arial"/>
          <w:b w:val="0"/>
          <w:i w:val="0"/>
          <w:color w:val="1A1A1A"/>
          <w:sz w:val="20"/>
        </w:rPr>
        <w:t>Role and approval matrix approved by management.</w:t>
      </w:r>
    </w:p>
    <w:p w14:paraId="746BA316">
      <w:r>
        <w:rPr>
          <w:rFonts w:ascii="Arial" w:hAnsi="Arial" w:eastAsia="Arial"/>
          <w:b/>
          <w:i w:val="0"/>
          <w:color w:val="5C1949"/>
          <w:sz w:val="20"/>
        </w:rPr>
        <w:t xml:space="preserve">☐ </w:t>
      </w:r>
      <w:r>
        <w:rPr>
          <w:rFonts w:ascii="Arial" w:hAnsi="Arial" w:eastAsia="Arial"/>
          <w:b w:val="0"/>
          <w:i w:val="0"/>
          <w:color w:val="1A1A1A"/>
          <w:sz w:val="20"/>
        </w:rPr>
        <w:t>All mandatory scenarios pass in staging with evidence.</w:t>
      </w:r>
    </w:p>
    <w:p w14:paraId="65B67363">
      <w:r>
        <w:rPr>
          <w:rFonts w:ascii="Arial" w:hAnsi="Arial" w:eastAsia="Arial"/>
          <w:b/>
          <w:i w:val="0"/>
          <w:color w:val="5C1949"/>
          <w:sz w:val="20"/>
        </w:rPr>
        <w:t xml:space="preserve">☐ </w:t>
      </w:r>
      <w:r>
        <w:rPr>
          <w:rFonts w:ascii="Arial" w:hAnsi="Arial" w:eastAsia="Arial"/>
          <w:b w:val="0"/>
          <w:i w:val="0"/>
          <w:color w:val="1A1A1A"/>
          <w:sz w:val="20"/>
        </w:rPr>
        <w:t>Daily reconciliation and backup/restore procedures tested.</w:t>
      </w:r>
    </w:p>
    <w:p w14:paraId="6D9A9CD8">
      <w:r>
        <w:rPr>
          <w:rFonts w:ascii="Arial" w:hAnsi="Arial" w:eastAsia="Arial"/>
          <w:b/>
          <w:i w:val="0"/>
          <w:color w:val="5C1949"/>
          <w:sz w:val="20"/>
        </w:rPr>
        <w:t xml:space="preserve">☐ </w:t>
      </w:r>
      <w:r>
        <w:rPr>
          <w:rFonts w:ascii="Arial" w:hAnsi="Arial" w:eastAsia="Arial"/>
          <w:b w:val="0"/>
          <w:i w:val="0"/>
          <w:color w:val="1A1A1A"/>
          <w:sz w:val="20"/>
        </w:rPr>
        <w:t>Live financial features activated only after formal go-live approval.</w:t>
      </w:r>
    </w:p>
    <w:p w14:paraId="31A7D35B">
      <w:pPr>
        <w:pStyle w:val="2"/>
        <w:keepNext/>
        <w:pageBreakBefore w:val="0"/>
      </w:pPr>
      <w:r>
        <w:t>15. Developer Deliverables and Implementation Sequence</w:t>
      </w:r>
    </w:p>
    <w:p w14:paraId="2ACE8434">
      <w:pPr>
        <w:pStyle w:val="3"/>
        <w:keepNext/>
        <w:pageBreakBefore w:val="0"/>
      </w:pPr>
      <w:r>
        <w:t>15.1 Required Developer Deliverables</w:t>
      </w:r>
    </w:p>
    <w:p w14:paraId="5E71FF0B">
      <w:pPr>
        <w:pStyle w:val="23"/>
        <w:spacing w:before="0" w:after="60" w:line="257" w:lineRule="auto"/>
        <w:ind w:left="360" w:hanging="173"/>
      </w:pPr>
      <w:r>
        <w:rPr>
          <w:rFonts w:ascii="Arial" w:hAnsi="Arial" w:eastAsia="Arial"/>
          <w:b w:val="0"/>
          <w:i w:val="0"/>
          <w:color w:val="1A1A1A"/>
          <w:sz w:val="20"/>
        </w:rPr>
        <w:t>Versioned data-model migrations or equivalent configuration for all mandatory entities, indexes and constraints.</w:t>
      </w:r>
    </w:p>
    <w:p w14:paraId="67CD06A7">
      <w:pPr>
        <w:pStyle w:val="23"/>
        <w:spacing w:before="0" w:after="60" w:line="257" w:lineRule="auto"/>
        <w:ind w:left="360" w:hanging="173"/>
      </w:pPr>
      <w:r>
        <w:rPr>
          <w:rFonts w:ascii="Arial" w:hAnsi="Arial" w:eastAsia="Arial"/>
          <w:b w:val="0"/>
          <w:i w:val="0"/>
          <w:color w:val="1A1A1A"/>
          <w:sz w:val="20"/>
        </w:rPr>
        <w:t>ID generation service and approved location-code register.</w:t>
      </w:r>
    </w:p>
    <w:p w14:paraId="5B7FB7D3">
      <w:pPr>
        <w:pStyle w:val="23"/>
        <w:spacing w:before="0" w:after="60" w:line="257" w:lineRule="auto"/>
        <w:ind w:left="360" w:hanging="173"/>
      </w:pPr>
      <w:r>
        <w:rPr>
          <w:rFonts w:ascii="Arial" w:hAnsi="Arial" w:eastAsia="Arial"/>
          <w:b w:val="0"/>
          <w:i w:val="0"/>
          <w:color w:val="1A1A1A"/>
          <w:sz w:val="20"/>
        </w:rPr>
        <w:t>Account-code/sub-ledger configuration and finance administration screens.</w:t>
      </w:r>
    </w:p>
    <w:p w14:paraId="66FFC09F">
      <w:pPr>
        <w:pStyle w:val="23"/>
        <w:spacing w:before="0" w:after="60" w:line="257" w:lineRule="auto"/>
        <w:ind w:left="360" w:hanging="173"/>
      </w:pPr>
      <w:r>
        <w:rPr>
          <w:rFonts w:ascii="Arial" w:hAnsi="Arial" w:eastAsia="Arial"/>
          <w:b w:val="0"/>
          <w:i w:val="0"/>
          <w:color w:val="1A1A1A"/>
          <w:sz w:val="20"/>
        </w:rPr>
        <w:t>Code 1, Code 2, Code 3, Code 4 and VAT dashboards and reports.</w:t>
      </w:r>
    </w:p>
    <w:p w14:paraId="6D4ADC71">
      <w:pPr>
        <w:pStyle w:val="23"/>
        <w:spacing w:before="0" w:after="60" w:line="257" w:lineRule="auto"/>
        <w:ind w:left="360" w:hanging="173"/>
      </w:pPr>
      <w:r>
        <w:rPr>
          <w:rFonts w:ascii="Arial" w:hAnsi="Arial" w:eastAsia="Arial"/>
          <w:b w:val="0"/>
          <w:i w:val="0"/>
          <w:color w:val="1A1A1A"/>
          <w:sz w:val="20"/>
        </w:rPr>
        <w:t>Escrow deposit, allocation, hold, release, refund and reconciliation workflow.</w:t>
      </w:r>
    </w:p>
    <w:p w14:paraId="65381E91">
      <w:pPr>
        <w:pStyle w:val="23"/>
        <w:spacing w:before="0" w:after="60" w:line="257" w:lineRule="auto"/>
        <w:ind w:left="360" w:hanging="173"/>
      </w:pPr>
      <w:r>
        <w:rPr>
          <w:rFonts w:ascii="Arial" w:hAnsi="Arial" w:eastAsia="Arial"/>
          <w:b w:val="0"/>
          <w:i w:val="0"/>
          <w:color w:val="1A1A1A"/>
          <w:sz w:val="20"/>
        </w:rPr>
        <w:t>Role-based permissions, approval limits and maker-checker controls.</w:t>
      </w:r>
    </w:p>
    <w:p w14:paraId="0141DD42">
      <w:pPr>
        <w:pStyle w:val="23"/>
        <w:spacing w:before="0" w:after="60" w:line="257" w:lineRule="auto"/>
        <w:ind w:left="360" w:hanging="173"/>
      </w:pPr>
      <w:r>
        <w:rPr>
          <w:rFonts w:ascii="Arial" w:hAnsi="Arial" w:eastAsia="Arial"/>
          <w:b w:val="0"/>
          <w:i w:val="0"/>
          <w:color w:val="1A1A1A"/>
          <w:sz w:val="20"/>
        </w:rPr>
        <w:t>Invoice, receipt, escrow confirmation, seller settlement statement and VAT record templates.</w:t>
      </w:r>
    </w:p>
    <w:p w14:paraId="209AC807">
      <w:pPr>
        <w:pStyle w:val="23"/>
        <w:spacing w:before="0" w:after="60" w:line="257" w:lineRule="auto"/>
        <w:ind w:left="360" w:hanging="173"/>
      </w:pPr>
      <w:r>
        <w:rPr>
          <w:rFonts w:ascii="Arial" w:hAnsi="Arial" w:eastAsia="Arial"/>
          <w:b w:val="0"/>
          <w:i w:val="0"/>
          <w:color w:val="1A1A1A"/>
          <w:sz w:val="20"/>
        </w:rPr>
        <w:t>Statement/event integration adapter with duplicate protection and audit evidence.</w:t>
      </w:r>
    </w:p>
    <w:p w14:paraId="3F4920ED">
      <w:pPr>
        <w:pStyle w:val="23"/>
        <w:spacing w:before="0" w:after="60" w:line="257" w:lineRule="auto"/>
        <w:ind w:left="360" w:hanging="173"/>
      </w:pPr>
      <w:r>
        <w:rPr>
          <w:rFonts w:ascii="Arial" w:hAnsi="Arial" w:eastAsia="Arial"/>
          <w:b w:val="0"/>
          <w:i w:val="0"/>
          <w:color w:val="1A1A1A"/>
          <w:sz w:val="20"/>
        </w:rPr>
        <w:t>Double-entry posting and period-close controls.</w:t>
      </w:r>
    </w:p>
    <w:p w14:paraId="16469C7E">
      <w:pPr>
        <w:pStyle w:val="23"/>
        <w:spacing w:before="0" w:after="60" w:line="257" w:lineRule="auto"/>
        <w:ind w:left="360" w:hanging="173"/>
      </w:pPr>
      <w:r>
        <w:rPr>
          <w:rFonts w:ascii="Arial" w:hAnsi="Arial" w:eastAsia="Arial"/>
          <w:b w:val="0"/>
          <w:i w:val="0"/>
          <w:color w:val="1A1A1A"/>
          <w:sz w:val="20"/>
        </w:rPr>
        <w:t>Automated tests, UAT scripts, deployment guide, rollback plan and support runbook.</w:t>
      </w:r>
    </w:p>
    <w:p w14:paraId="1255C2F4">
      <w:pPr>
        <w:pStyle w:val="3"/>
        <w:keepNext/>
        <w:pageBreakBefore w:val="0"/>
      </w:pPr>
      <w:r>
        <w:t>15.2 Recommended Delivery Sequence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89A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5C1949"/>
            <w:tcMar>
              <w:top w:w="100" w:type="dxa"/>
              <w:left w:w="120" w:type="dxa"/>
              <w:bottom w:w="100" w:type="dxa"/>
              <w:right w:w="120" w:type="dxa"/>
            </w:tcMar>
            <w:vAlign w:val="center"/>
          </w:tcPr>
          <w:p w14:paraId="4DB64931">
            <w:pPr>
              <w:keepLines/>
              <w:spacing w:before="0" w:after="0" w:line="240" w:lineRule="auto"/>
              <w:jc w:val="center"/>
            </w:pPr>
            <w:r>
              <w:rPr>
                <w:rFonts w:ascii="Arial" w:hAnsi="Arial" w:eastAsia="Arial"/>
                <w:b/>
                <w:color w:val="FFFFFF"/>
                <w:sz w:val="17"/>
              </w:rPr>
              <w:t>Phase</w:t>
            </w:r>
          </w:p>
        </w:tc>
        <w:tc>
          <w:tcPr>
            <w:tcW w:w="8640" w:type="dxa"/>
            <w:shd w:val="clear" w:color="auto" w:fill="5C1949"/>
            <w:tcMar>
              <w:top w:w="100" w:type="dxa"/>
              <w:left w:w="120" w:type="dxa"/>
              <w:bottom w:w="100" w:type="dxa"/>
              <w:right w:w="120" w:type="dxa"/>
            </w:tcMar>
            <w:vAlign w:val="center"/>
          </w:tcPr>
          <w:p w14:paraId="5C030F16">
            <w:pPr>
              <w:keepLines/>
              <w:spacing w:before="0" w:after="0" w:line="240" w:lineRule="auto"/>
              <w:jc w:val="center"/>
            </w:pPr>
            <w:r>
              <w:rPr>
                <w:rFonts w:ascii="Arial" w:hAnsi="Arial" w:eastAsia="Arial"/>
                <w:b/>
                <w:color w:val="FFFFFF"/>
                <w:sz w:val="17"/>
              </w:rPr>
              <w:t>Work package</w:t>
            </w:r>
          </w:p>
        </w:tc>
      </w:tr>
      <w:tr w14:paraId="06B2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094C0550">
            <w:pPr>
              <w:keepLines/>
              <w:spacing w:before="0" w:after="0" w:line="240" w:lineRule="auto"/>
              <w:jc w:val="left"/>
            </w:pPr>
            <w:r>
              <w:rPr>
                <w:rFonts w:ascii="Arial" w:hAnsi="Arial" w:eastAsia="Arial"/>
                <w:b/>
                <w:color w:val="1A1A1A"/>
                <w:sz w:val="17"/>
              </w:rPr>
              <w:t>1</w:t>
            </w:r>
          </w:p>
        </w:tc>
        <w:tc>
          <w:tcPr>
            <w:tcW w:w="8640" w:type="dxa"/>
            <w:tcMar>
              <w:top w:w="90" w:type="dxa"/>
              <w:left w:w="120" w:type="dxa"/>
              <w:bottom w:w="90" w:type="dxa"/>
              <w:right w:w="120" w:type="dxa"/>
            </w:tcMar>
            <w:vAlign w:val="center"/>
          </w:tcPr>
          <w:p w14:paraId="10598121">
            <w:pPr>
              <w:keepLines/>
              <w:spacing w:before="0" w:after="0" w:line="240" w:lineRule="auto"/>
              <w:jc w:val="left"/>
            </w:pPr>
            <w:r>
              <w:rPr>
                <w:rFonts w:ascii="Arial" w:hAnsi="Arial" w:eastAsia="Arial"/>
                <w:b w:val="0"/>
                <w:color w:val="1A1A1A"/>
                <w:sz w:val="17"/>
              </w:rPr>
              <w:t>Approve codes, account records, VAT rules, ID formats, location register and role matrix</w:t>
            </w:r>
          </w:p>
        </w:tc>
      </w:tr>
      <w:tr w14:paraId="1D8F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51E5A93C">
            <w:pPr>
              <w:keepLines/>
              <w:spacing w:before="0" w:after="0" w:line="240" w:lineRule="auto"/>
              <w:jc w:val="left"/>
            </w:pPr>
            <w:r>
              <w:rPr>
                <w:rFonts w:ascii="Arial" w:hAnsi="Arial" w:eastAsia="Arial"/>
                <w:b/>
                <w:color w:val="1A1A1A"/>
                <w:sz w:val="17"/>
              </w:rPr>
              <w:t>2</w:t>
            </w:r>
          </w:p>
        </w:tc>
        <w:tc>
          <w:tcPr>
            <w:tcW w:w="8640" w:type="dxa"/>
            <w:shd w:val="clear" w:color="auto" w:fill="FBFBFB"/>
            <w:tcMar>
              <w:top w:w="90" w:type="dxa"/>
              <w:left w:w="120" w:type="dxa"/>
              <w:bottom w:w="90" w:type="dxa"/>
              <w:right w:w="120" w:type="dxa"/>
            </w:tcMar>
            <w:vAlign w:val="center"/>
          </w:tcPr>
          <w:p w14:paraId="5D2549CB">
            <w:pPr>
              <w:keepLines/>
              <w:spacing w:before="0" w:after="0" w:line="240" w:lineRule="auto"/>
              <w:jc w:val="left"/>
            </w:pPr>
            <w:r>
              <w:rPr>
                <w:rFonts w:ascii="Arial" w:hAnsi="Arial" w:eastAsia="Arial"/>
                <w:b w:val="0"/>
                <w:color w:val="1A1A1A"/>
                <w:sz w:val="17"/>
              </w:rPr>
              <w:t>Build ID register, account/sub-ledger tables, transaction relationships and audit foundation</w:t>
            </w:r>
          </w:p>
        </w:tc>
      </w:tr>
      <w:tr w14:paraId="089E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63C0060F">
            <w:pPr>
              <w:keepLines/>
              <w:spacing w:before="0" w:after="0" w:line="240" w:lineRule="auto"/>
              <w:jc w:val="left"/>
            </w:pPr>
            <w:r>
              <w:rPr>
                <w:rFonts w:ascii="Arial" w:hAnsi="Arial" w:eastAsia="Arial"/>
                <w:b/>
                <w:color w:val="1A1A1A"/>
                <w:sz w:val="17"/>
              </w:rPr>
              <w:t>3</w:t>
            </w:r>
          </w:p>
        </w:tc>
        <w:tc>
          <w:tcPr>
            <w:tcW w:w="8640" w:type="dxa"/>
            <w:tcMar>
              <w:top w:w="90" w:type="dxa"/>
              <w:left w:w="120" w:type="dxa"/>
              <w:bottom w:w="90" w:type="dxa"/>
              <w:right w:w="120" w:type="dxa"/>
            </w:tcMar>
            <w:vAlign w:val="center"/>
          </w:tcPr>
          <w:p w14:paraId="1830E224">
            <w:pPr>
              <w:keepLines/>
              <w:spacing w:before="0" w:after="0" w:line="240" w:lineRule="auto"/>
              <w:jc w:val="left"/>
            </w:pPr>
            <w:r>
              <w:rPr>
                <w:rFonts w:ascii="Arial" w:hAnsi="Arial" w:eastAsia="Arial"/>
                <w:b w:val="0"/>
                <w:color w:val="1A1A1A"/>
                <w:sz w:val="17"/>
              </w:rPr>
              <w:t>Build Code 1 and Code 2 collection, invoices, receipts and reconciliation</w:t>
            </w:r>
          </w:p>
        </w:tc>
      </w:tr>
      <w:tr w14:paraId="418C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71993836">
            <w:pPr>
              <w:keepLines/>
              <w:spacing w:before="0" w:after="0" w:line="240" w:lineRule="auto"/>
              <w:jc w:val="left"/>
            </w:pPr>
            <w:r>
              <w:rPr>
                <w:rFonts w:ascii="Arial" w:hAnsi="Arial" w:eastAsia="Arial"/>
                <w:b/>
                <w:color w:val="1A1A1A"/>
                <w:sz w:val="17"/>
              </w:rPr>
              <w:t>4</w:t>
            </w:r>
          </w:p>
        </w:tc>
        <w:tc>
          <w:tcPr>
            <w:tcW w:w="8640" w:type="dxa"/>
            <w:shd w:val="clear" w:color="auto" w:fill="FBFBFB"/>
            <w:tcMar>
              <w:top w:w="90" w:type="dxa"/>
              <w:left w:w="120" w:type="dxa"/>
              <w:bottom w:w="90" w:type="dxa"/>
              <w:right w:w="120" w:type="dxa"/>
            </w:tcMar>
            <w:vAlign w:val="center"/>
          </w:tcPr>
          <w:p w14:paraId="3538C7EF">
            <w:pPr>
              <w:keepLines/>
              <w:spacing w:before="0" w:after="0" w:line="240" w:lineRule="auto"/>
              <w:jc w:val="left"/>
            </w:pPr>
            <w:r>
              <w:rPr>
                <w:rFonts w:ascii="Arial" w:hAnsi="Arial" w:eastAsia="Arial"/>
                <w:b w:val="0"/>
                <w:color w:val="1A1A1A"/>
                <w:sz w:val="17"/>
              </w:rPr>
              <w:t>Build Code 3 escrow sub-ledger, deposits, holds, allocations, release/refund and statements</w:t>
            </w:r>
          </w:p>
        </w:tc>
      </w:tr>
      <w:tr w14:paraId="540E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03B47BAE">
            <w:pPr>
              <w:keepLines/>
              <w:spacing w:before="0" w:after="0" w:line="240" w:lineRule="auto"/>
              <w:jc w:val="left"/>
            </w:pPr>
            <w:r>
              <w:rPr>
                <w:rFonts w:ascii="Arial" w:hAnsi="Arial" w:eastAsia="Arial"/>
                <w:b/>
                <w:color w:val="1A1A1A"/>
                <w:sz w:val="17"/>
              </w:rPr>
              <w:t>5</w:t>
            </w:r>
          </w:p>
        </w:tc>
        <w:tc>
          <w:tcPr>
            <w:tcW w:w="8640" w:type="dxa"/>
            <w:tcMar>
              <w:top w:w="90" w:type="dxa"/>
              <w:left w:w="120" w:type="dxa"/>
              <w:bottom w:w="90" w:type="dxa"/>
              <w:right w:w="120" w:type="dxa"/>
            </w:tcMar>
            <w:vAlign w:val="center"/>
          </w:tcPr>
          <w:p w14:paraId="30E101AE">
            <w:pPr>
              <w:keepLines/>
              <w:spacing w:before="0" w:after="0" w:line="240" w:lineRule="auto"/>
              <w:jc w:val="left"/>
            </w:pPr>
            <w:r>
              <w:rPr>
                <w:rFonts w:ascii="Arial" w:hAnsi="Arial" w:eastAsia="Arial"/>
                <w:b w:val="0"/>
                <w:color w:val="1A1A1A"/>
                <w:sz w:val="17"/>
              </w:rPr>
              <w:t>Build Code 4 professional commission tracking and reports</w:t>
            </w:r>
          </w:p>
        </w:tc>
      </w:tr>
      <w:tr w14:paraId="388A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12784C90">
            <w:pPr>
              <w:keepLines/>
              <w:spacing w:before="0" w:after="0" w:line="240" w:lineRule="auto"/>
              <w:jc w:val="left"/>
            </w:pPr>
            <w:r>
              <w:rPr>
                <w:rFonts w:ascii="Arial" w:hAnsi="Arial" w:eastAsia="Arial"/>
                <w:b/>
                <w:color w:val="1A1A1A"/>
                <w:sz w:val="17"/>
              </w:rPr>
              <w:t>6</w:t>
            </w:r>
          </w:p>
        </w:tc>
        <w:tc>
          <w:tcPr>
            <w:tcW w:w="8640" w:type="dxa"/>
            <w:shd w:val="clear" w:color="auto" w:fill="FBFBFB"/>
            <w:tcMar>
              <w:top w:w="90" w:type="dxa"/>
              <w:left w:w="120" w:type="dxa"/>
              <w:bottom w:w="90" w:type="dxa"/>
              <w:right w:w="120" w:type="dxa"/>
            </w:tcMar>
            <w:vAlign w:val="center"/>
          </w:tcPr>
          <w:p w14:paraId="46A21362">
            <w:pPr>
              <w:keepLines/>
              <w:spacing w:before="0" w:after="0" w:line="240" w:lineRule="auto"/>
              <w:jc w:val="left"/>
            </w:pPr>
            <w:r>
              <w:rPr>
                <w:rFonts w:ascii="Arial" w:hAnsi="Arial" w:eastAsia="Arial"/>
                <w:b w:val="0"/>
                <w:color w:val="1A1A1A"/>
                <w:sz w:val="17"/>
              </w:rPr>
              <w:t>Build central VAT register, account movements and reports</w:t>
            </w:r>
          </w:p>
        </w:tc>
      </w:tr>
      <w:tr w14:paraId="3FBA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2BA75179">
            <w:pPr>
              <w:keepLines/>
              <w:spacing w:before="0" w:after="0" w:line="240" w:lineRule="auto"/>
              <w:jc w:val="left"/>
            </w:pPr>
            <w:r>
              <w:rPr>
                <w:rFonts w:ascii="Arial" w:hAnsi="Arial" w:eastAsia="Arial"/>
                <w:b/>
                <w:color w:val="1A1A1A"/>
                <w:sz w:val="17"/>
              </w:rPr>
              <w:t>7</w:t>
            </w:r>
          </w:p>
        </w:tc>
        <w:tc>
          <w:tcPr>
            <w:tcW w:w="8640" w:type="dxa"/>
            <w:tcMar>
              <w:top w:w="90" w:type="dxa"/>
              <w:left w:w="120" w:type="dxa"/>
              <w:bottom w:w="90" w:type="dxa"/>
              <w:right w:w="120" w:type="dxa"/>
            </w:tcMar>
            <w:vAlign w:val="center"/>
          </w:tcPr>
          <w:p w14:paraId="7CE3B18A">
            <w:pPr>
              <w:keepLines/>
              <w:spacing w:before="0" w:after="0" w:line="240" w:lineRule="auto"/>
              <w:jc w:val="left"/>
            </w:pPr>
            <w:r>
              <w:rPr>
                <w:rFonts w:ascii="Arial" w:hAnsi="Arial" w:eastAsia="Arial"/>
                <w:b w:val="0"/>
                <w:color w:val="1A1A1A"/>
                <w:sz w:val="17"/>
              </w:rPr>
              <w:t>Complete finance dashboard, approvals, exports, period close and security hardening</w:t>
            </w:r>
          </w:p>
        </w:tc>
      </w:tr>
      <w:tr w14:paraId="46CA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BFBFB"/>
            <w:tcMar>
              <w:top w:w="90" w:type="dxa"/>
              <w:left w:w="120" w:type="dxa"/>
              <w:bottom w:w="90" w:type="dxa"/>
              <w:right w:w="120" w:type="dxa"/>
            </w:tcMar>
            <w:vAlign w:val="center"/>
          </w:tcPr>
          <w:p w14:paraId="31EBDC62">
            <w:pPr>
              <w:keepLines/>
              <w:spacing w:before="0" w:after="0" w:line="240" w:lineRule="auto"/>
              <w:jc w:val="left"/>
            </w:pPr>
            <w:r>
              <w:rPr>
                <w:rFonts w:ascii="Arial" w:hAnsi="Arial" w:eastAsia="Arial"/>
                <w:b/>
                <w:color w:val="1A1A1A"/>
                <w:sz w:val="17"/>
              </w:rPr>
              <w:t>8</w:t>
            </w:r>
          </w:p>
        </w:tc>
        <w:tc>
          <w:tcPr>
            <w:tcW w:w="8640" w:type="dxa"/>
            <w:shd w:val="clear" w:color="auto" w:fill="FBFBFB"/>
            <w:tcMar>
              <w:top w:w="90" w:type="dxa"/>
              <w:left w:w="120" w:type="dxa"/>
              <w:bottom w:w="90" w:type="dxa"/>
              <w:right w:w="120" w:type="dxa"/>
            </w:tcMar>
            <w:vAlign w:val="center"/>
          </w:tcPr>
          <w:p w14:paraId="15AB7A74">
            <w:pPr>
              <w:keepLines/>
              <w:spacing w:before="0" w:after="0" w:line="240" w:lineRule="auto"/>
              <w:jc w:val="left"/>
            </w:pPr>
            <w:r>
              <w:rPr>
                <w:rFonts w:ascii="Arial" w:hAnsi="Arial" w:eastAsia="Arial"/>
                <w:b w:val="0"/>
                <w:color w:val="1A1A1A"/>
                <w:sz w:val="17"/>
              </w:rPr>
              <w:t>Run UAT, reconcile test accounts, fix defects and obtain go-live sign-off</w:t>
            </w:r>
          </w:p>
        </w:tc>
      </w:tr>
    </w:tbl>
    <w:p w14:paraId="7DD6C13B">
      <w:pPr>
        <w:spacing w:after="20"/>
      </w:pPr>
    </w:p>
    <w:p w14:paraId="6906531A">
      <w:r>
        <w:br w:type="page"/>
      </w:r>
    </w:p>
    <w:p w14:paraId="7B6D3470">
      <w:pPr>
        <w:pStyle w:val="2"/>
        <w:keepNext/>
        <w:pageBreakBefore w:val="0"/>
      </w:pPr>
      <w:r>
        <w:t>Appendix A - Consolidated Code 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704A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5C1949"/>
            <w:tcMar>
              <w:top w:w="100" w:type="dxa"/>
              <w:left w:w="120" w:type="dxa"/>
              <w:bottom w:w="100" w:type="dxa"/>
              <w:right w:w="120" w:type="dxa"/>
            </w:tcMar>
            <w:vAlign w:val="center"/>
          </w:tcPr>
          <w:p w14:paraId="2C454645">
            <w:pPr>
              <w:keepLines/>
              <w:spacing w:before="0" w:after="0" w:line="240" w:lineRule="auto"/>
              <w:jc w:val="center"/>
            </w:pPr>
            <w:r>
              <w:rPr>
                <w:rFonts w:ascii="Arial" w:hAnsi="Arial" w:eastAsia="Arial"/>
                <w:b/>
                <w:color w:val="FFFFFF"/>
                <w:sz w:val="17"/>
              </w:rPr>
              <w:t>Code</w:t>
            </w:r>
          </w:p>
        </w:tc>
        <w:tc>
          <w:tcPr>
            <w:tcW w:w="1800" w:type="dxa"/>
            <w:shd w:val="clear" w:color="auto" w:fill="5C1949"/>
            <w:tcMar>
              <w:top w:w="100" w:type="dxa"/>
              <w:left w:w="120" w:type="dxa"/>
              <w:bottom w:w="100" w:type="dxa"/>
              <w:right w:w="120" w:type="dxa"/>
            </w:tcMar>
            <w:vAlign w:val="center"/>
          </w:tcPr>
          <w:p w14:paraId="0889DAFF">
            <w:pPr>
              <w:keepLines/>
              <w:spacing w:before="0" w:after="0" w:line="240" w:lineRule="auto"/>
              <w:jc w:val="center"/>
            </w:pPr>
            <w:r>
              <w:rPr>
                <w:rFonts w:ascii="Arial" w:hAnsi="Arial" w:eastAsia="Arial"/>
                <w:b/>
                <w:color w:val="FFFFFF"/>
                <w:sz w:val="17"/>
              </w:rPr>
              <w:t>Sub-code / sub-ledger</w:t>
            </w:r>
          </w:p>
        </w:tc>
        <w:tc>
          <w:tcPr>
            <w:tcW w:w="3528" w:type="dxa"/>
            <w:shd w:val="clear" w:color="auto" w:fill="5C1949"/>
            <w:tcMar>
              <w:top w:w="100" w:type="dxa"/>
              <w:left w:w="120" w:type="dxa"/>
              <w:bottom w:w="100" w:type="dxa"/>
              <w:right w:w="120" w:type="dxa"/>
            </w:tcMar>
            <w:vAlign w:val="center"/>
          </w:tcPr>
          <w:p w14:paraId="494D01BE">
            <w:pPr>
              <w:keepLines/>
              <w:spacing w:before="0" w:after="0" w:line="240" w:lineRule="auto"/>
              <w:jc w:val="center"/>
            </w:pPr>
            <w:r>
              <w:rPr>
                <w:rFonts w:ascii="Arial" w:hAnsi="Arial" w:eastAsia="Arial"/>
                <w:b/>
                <w:color w:val="FFFFFF"/>
                <w:sz w:val="17"/>
              </w:rPr>
              <w:t>Description</w:t>
            </w:r>
          </w:p>
        </w:tc>
        <w:tc>
          <w:tcPr>
            <w:tcW w:w="3672" w:type="dxa"/>
            <w:shd w:val="clear" w:color="auto" w:fill="5C1949"/>
            <w:tcMar>
              <w:top w:w="100" w:type="dxa"/>
              <w:left w:w="120" w:type="dxa"/>
              <w:bottom w:w="100" w:type="dxa"/>
              <w:right w:w="120" w:type="dxa"/>
            </w:tcMar>
            <w:vAlign w:val="center"/>
          </w:tcPr>
          <w:p w14:paraId="5C68BAC2">
            <w:pPr>
              <w:keepLines/>
              <w:spacing w:before="0" w:after="0" w:line="240" w:lineRule="auto"/>
              <w:jc w:val="center"/>
            </w:pPr>
            <w:r>
              <w:rPr>
                <w:rFonts w:ascii="Arial" w:hAnsi="Arial" w:eastAsia="Arial"/>
                <w:b/>
                <w:color w:val="FFFFFF"/>
                <w:sz w:val="17"/>
              </w:rPr>
              <w:t>Official ID dimension</w:t>
            </w:r>
          </w:p>
        </w:tc>
      </w:tr>
      <w:tr w14:paraId="195F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90" w:type="dxa"/>
              <w:left w:w="120" w:type="dxa"/>
              <w:bottom w:w="90" w:type="dxa"/>
              <w:right w:w="120" w:type="dxa"/>
            </w:tcMar>
            <w:vAlign w:val="center"/>
          </w:tcPr>
          <w:p w14:paraId="163CBAEF">
            <w:pPr>
              <w:keepLines/>
              <w:spacing w:before="0" w:after="0" w:line="240" w:lineRule="auto"/>
              <w:jc w:val="center"/>
            </w:pPr>
            <w:r>
              <w:rPr>
                <w:rFonts w:ascii="Arial" w:hAnsi="Arial" w:eastAsia="Arial"/>
                <w:b/>
                <w:color w:val="1A1A1A"/>
                <w:sz w:val="17"/>
              </w:rPr>
              <w:t>1</w:t>
            </w:r>
          </w:p>
        </w:tc>
        <w:tc>
          <w:tcPr>
            <w:tcW w:w="1800" w:type="dxa"/>
            <w:tcMar>
              <w:top w:w="90" w:type="dxa"/>
              <w:left w:w="120" w:type="dxa"/>
              <w:bottom w:w="90" w:type="dxa"/>
              <w:right w:w="120" w:type="dxa"/>
            </w:tcMar>
            <w:vAlign w:val="center"/>
          </w:tcPr>
          <w:p w14:paraId="0007AF9F">
            <w:pPr>
              <w:keepLines/>
              <w:spacing w:before="0" w:after="0" w:line="240" w:lineRule="auto"/>
              <w:jc w:val="left"/>
            </w:pPr>
            <w:r>
              <w:rPr>
                <w:rFonts w:ascii="Arial" w:hAnsi="Arial" w:eastAsia="Arial"/>
                <w:b w:val="0"/>
                <w:color w:val="1A1A1A"/>
                <w:sz w:val="17"/>
              </w:rPr>
              <w:t>11</w:t>
            </w:r>
          </w:p>
        </w:tc>
        <w:tc>
          <w:tcPr>
            <w:tcW w:w="3528" w:type="dxa"/>
            <w:tcMar>
              <w:top w:w="90" w:type="dxa"/>
              <w:left w:w="120" w:type="dxa"/>
              <w:bottom w:w="90" w:type="dxa"/>
              <w:right w:w="120" w:type="dxa"/>
            </w:tcMar>
            <w:vAlign w:val="center"/>
          </w:tcPr>
          <w:p w14:paraId="7342ACD5">
            <w:pPr>
              <w:keepLines/>
              <w:spacing w:before="0" w:after="0" w:line="240" w:lineRule="auto"/>
              <w:jc w:val="left"/>
            </w:pPr>
            <w:r>
              <w:rPr>
                <w:rFonts w:ascii="Arial" w:hAnsi="Arial" w:eastAsia="Arial"/>
                <w:b w:val="0"/>
                <w:color w:val="1A1A1A"/>
                <w:sz w:val="17"/>
              </w:rPr>
              <w:t>Buyer commission</w:t>
            </w:r>
          </w:p>
        </w:tc>
        <w:tc>
          <w:tcPr>
            <w:tcW w:w="3672" w:type="dxa"/>
            <w:tcMar>
              <w:top w:w="90" w:type="dxa"/>
              <w:left w:w="120" w:type="dxa"/>
              <w:bottom w:w="90" w:type="dxa"/>
              <w:right w:w="120" w:type="dxa"/>
            </w:tcMar>
            <w:vAlign w:val="center"/>
          </w:tcPr>
          <w:p w14:paraId="51D8935A">
            <w:pPr>
              <w:keepLines/>
              <w:spacing w:before="0" w:after="0" w:line="240" w:lineRule="auto"/>
              <w:jc w:val="left"/>
            </w:pPr>
            <w:r>
              <w:rPr>
                <w:rFonts w:ascii="Arial" w:hAnsi="Arial" w:eastAsia="Arial"/>
                <w:b w:val="0"/>
                <w:color w:val="1A1A1A"/>
                <w:sz w:val="17"/>
              </w:rPr>
              <w:t>Buyer + Property + Transaction</w:t>
            </w:r>
          </w:p>
        </w:tc>
      </w:tr>
      <w:tr w14:paraId="62B1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BFBFB"/>
            <w:tcMar>
              <w:top w:w="90" w:type="dxa"/>
              <w:left w:w="120" w:type="dxa"/>
              <w:bottom w:w="90" w:type="dxa"/>
              <w:right w:w="120" w:type="dxa"/>
            </w:tcMar>
            <w:vAlign w:val="center"/>
          </w:tcPr>
          <w:p w14:paraId="28B9A3D7">
            <w:pPr>
              <w:keepLines/>
              <w:spacing w:before="0" w:after="0" w:line="240" w:lineRule="auto"/>
              <w:jc w:val="center"/>
            </w:pPr>
            <w:r>
              <w:rPr>
                <w:rFonts w:ascii="Arial" w:hAnsi="Arial" w:eastAsia="Arial"/>
                <w:b/>
                <w:color w:val="1A1A1A"/>
                <w:sz w:val="17"/>
              </w:rPr>
              <w:t>1</w:t>
            </w:r>
          </w:p>
        </w:tc>
        <w:tc>
          <w:tcPr>
            <w:tcW w:w="1800" w:type="dxa"/>
            <w:shd w:val="clear" w:color="auto" w:fill="FBFBFB"/>
            <w:tcMar>
              <w:top w:w="90" w:type="dxa"/>
              <w:left w:w="120" w:type="dxa"/>
              <w:bottom w:w="90" w:type="dxa"/>
              <w:right w:w="120" w:type="dxa"/>
            </w:tcMar>
            <w:vAlign w:val="center"/>
          </w:tcPr>
          <w:p w14:paraId="0A8B53C0">
            <w:pPr>
              <w:keepLines/>
              <w:spacing w:before="0" w:after="0" w:line="240" w:lineRule="auto"/>
              <w:jc w:val="left"/>
            </w:pPr>
            <w:r>
              <w:rPr>
                <w:rFonts w:ascii="Arial" w:hAnsi="Arial" w:eastAsia="Arial"/>
                <w:b w:val="0"/>
                <w:color w:val="1A1A1A"/>
                <w:sz w:val="17"/>
              </w:rPr>
              <w:t>12</w:t>
            </w:r>
          </w:p>
        </w:tc>
        <w:tc>
          <w:tcPr>
            <w:tcW w:w="3528" w:type="dxa"/>
            <w:shd w:val="clear" w:color="auto" w:fill="FBFBFB"/>
            <w:tcMar>
              <w:top w:w="90" w:type="dxa"/>
              <w:left w:w="120" w:type="dxa"/>
              <w:bottom w:w="90" w:type="dxa"/>
              <w:right w:w="120" w:type="dxa"/>
            </w:tcMar>
            <w:vAlign w:val="center"/>
          </w:tcPr>
          <w:p w14:paraId="5F287B02">
            <w:pPr>
              <w:keepLines/>
              <w:spacing w:before="0" w:after="0" w:line="240" w:lineRule="auto"/>
              <w:jc w:val="left"/>
            </w:pPr>
            <w:r>
              <w:rPr>
                <w:rFonts w:ascii="Arial" w:hAnsi="Arial" w:eastAsia="Arial"/>
                <w:b w:val="0"/>
                <w:color w:val="1A1A1A"/>
                <w:sz w:val="17"/>
              </w:rPr>
              <w:t>Seller commission</w:t>
            </w:r>
          </w:p>
        </w:tc>
        <w:tc>
          <w:tcPr>
            <w:tcW w:w="3672" w:type="dxa"/>
            <w:shd w:val="clear" w:color="auto" w:fill="FBFBFB"/>
            <w:tcMar>
              <w:top w:w="90" w:type="dxa"/>
              <w:left w:w="120" w:type="dxa"/>
              <w:bottom w:w="90" w:type="dxa"/>
              <w:right w:w="120" w:type="dxa"/>
            </w:tcMar>
            <w:vAlign w:val="center"/>
          </w:tcPr>
          <w:p w14:paraId="1ABC61CF">
            <w:pPr>
              <w:keepLines/>
              <w:spacing w:before="0" w:after="0" w:line="240" w:lineRule="auto"/>
              <w:jc w:val="left"/>
            </w:pPr>
            <w:r>
              <w:rPr>
                <w:rFonts w:ascii="Arial" w:hAnsi="Arial" w:eastAsia="Arial"/>
                <w:b w:val="0"/>
                <w:color w:val="1A1A1A"/>
                <w:sz w:val="17"/>
              </w:rPr>
              <w:t>Seller + Property + Transaction + Escrow where applicable</w:t>
            </w:r>
          </w:p>
        </w:tc>
      </w:tr>
      <w:tr w14:paraId="3FC4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90" w:type="dxa"/>
              <w:left w:w="120" w:type="dxa"/>
              <w:bottom w:w="90" w:type="dxa"/>
              <w:right w:w="120" w:type="dxa"/>
            </w:tcMar>
            <w:vAlign w:val="center"/>
          </w:tcPr>
          <w:p w14:paraId="40012827">
            <w:pPr>
              <w:keepLines/>
              <w:spacing w:before="0" w:after="0" w:line="240" w:lineRule="auto"/>
              <w:jc w:val="center"/>
            </w:pPr>
            <w:r>
              <w:rPr>
                <w:rFonts w:ascii="Arial" w:hAnsi="Arial" w:eastAsia="Arial"/>
                <w:b/>
                <w:color w:val="1A1A1A"/>
                <w:sz w:val="17"/>
              </w:rPr>
              <w:t>2</w:t>
            </w:r>
          </w:p>
        </w:tc>
        <w:tc>
          <w:tcPr>
            <w:tcW w:w="1800" w:type="dxa"/>
            <w:tcMar>
              <w:top w:w="90" w:type="dxa"/>
              <w:left w:w="120" w:type="dxa"/>
              <w:bottom w:w="90" w:type="dxa"/>
              <w:right w:w="120" w:type="dxa"/>
            </w:tcMar>
            <w:vAlign w:val="center"/>
          </w:tcPr>
          <w:p w14:paraId="14BD7DD0">
            <w:pPr>
              <w:keepLines/>
              <w:spacing w:before="0" w:after="0" w:line="240" w:lineRule="auto"/>
              <w:jc w:val="left"/>
            </w:pPr>
            <w:r>
              <w:rPr>
                <w:rFonts w:ascii="Arial" w:hAnsi="Arial" w:eastAsia="Arial"/>
                <w:b w:val="0"/>
                <w:color w:val="1A1A1A"/>
                <w:sz w:val="17"/>
              </w:rPr>
              <w:t>21</w:t>
            </w:r>
          </w:p>
        </w:tc>
        <w:tc>
          <w:tcPr>
            <w:tcW w:w="3528" w:type="dxa"/>
            <w:tcMar>
              <w:top w:w="90" w:type="dxa"/>
              <w:left w:w="120" w:type="dxa"/>
              <w:bottom w:w="90" w:type="dxa"/>
              <w:right w:w="120" w:type="dxa"/>
            </w:tcMar>
            <w:vAlign w:val="center"/>
          </w:tcPr>
          <w:p w14:paraId="02196A4B">
            <w:pPr>
              <w:keepLines/>
              <w:spacing w:before="0" w:after="0" w:line="240" w:lineRule="auto"/>
              <w:jc w:val="left"/>
            </w:pPr>
            <w:r>
              <w:rPr>
                <w:rFonts w:ascii="Arial" w:hAnsi="Arial" w:eastAsia="Arial"/>
                <w:b w:val="0"/>
                <w:color w:val="1A1A1A"/>
                <w:sz w:val="17"/>
              </w:rPr>
              <w:t>Legal Due Diligence</w:t>
            </w:r>
          </w:p>
        </w:tc>
        <w:tc>
          <w:tcPr>
            <w:tcW w:w="3672" w:type="dxa"/>
            <w:tcMar>
              <w:top w:w="90" w:type="dxa"/>
              <w:left w:w="120" w:type="dxa"/>
              <w:bottom w:w="90" w:type="dxa"/>
              <w:right w:w="120" w:type="dxa"/>
            </w:tcMar>
            <w:vAlign w:val="center"/>
          </w:tcPr>
          <w:p w14:paraId="2F9E6902">
            <w:pPr>
              <w:keepLines/>
              <w:spacing w:before="0" w:after="0" w:line="240" w:lineRule="auto"/>
              <w:jc w:val="left"/>
            </w:pPr>
            <w:r>
              <w:rPr>
                <w:rFonts w:ascii="Arial" w:hAnsi="Arial" w:eastAsia="Arial"/>
                <w:b w:val="0"/>
                <w:color w:val="1A1A1A"/>
                <w:sz w:val="17"/>
              </w:rPr>
              <w:t>DD Case + Legal Verification</w:t>
            </w:r>
          </w:p>
        </w:tc>
      </w:tr>
      <w:tr w14:paraId="5DCF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BFBFB"/>
            <w:tcMar>
              <w:top w:w="90" w:type="dxa"/>
              <w:left w:w="120" w:type="dxa"/>
              <w:bottom w:w="90" w:type="dxa"/>
              <w:right w:w="120" w:type="dxa"/>
            </w:tcMar>
            <w:vAlign w:val="center"/>
          </w:tcPr>
          <w:p w14:paraId="1DA79FF1">
            <w:pPr>
              <w:keepLines/>
              <w:spacing w:before="0" w:after="0" w:line="240" w:lineRule="auto"/>
              <w:jc w:val="center"/>
            </w:pPr>
            <w:r>
              <w:rPr>
                <w:rFonts w:ascii="Arial" w:hAnsi="Arial" w:eastAsia="Arial"/>
                <w:b/>
                <w:color w:val="1A1A1A"/>
                <w:sz w:val="17"/>
              </w:rPr>
              <w:t>2</w:t>
            </w:r>
          </w:p>
        </w:tc>
        <w:tc>
          <w:tcPr>
            <w:tcW w:w="1800" w:type="dxa"/>
            <w:shd w:val="clear" w:color="auto" w:fill="FBFBFB"/>
            <w:tcMar>
              <w:top w:w="90" w:type="dxa"/>
              <w:left w:w="120" w:type="dxa"/>
              <w:bottom w:w="90" w:type="dxa"/>
              <w:right w:w="120" w:type="dxa"/>
            </w:tcMar>
            <w:vAlign w:val="center"/>
          </w:tcPr>
          <w:p w14:paraId="61BE2FC1">
            <w:pPr>
              <w:keepLines/>
              <w:spacing w:before="0" w:after="0" w:line="240" w:lineRule="auto"/>
              <w:jc w:val="left"/>
            </w:pPr>
            <w:r>
              <w:rPr>
                <w:rFonts w:ascii="Arial" w:hAnsi="Arial" w:eastAsia="Arial"/>
                <w:b w:val="0"/>
                <w:color w:val="1A1A1A"/>
                <w:sz w:val="17"/>
              </w:rPr>
              <w:t>22</w:t>
            </w:r>
          </w:p>
        </w:tc>
        <w:tc>
          <w:tcPr>
            <w:tcW w:w="3528" w:type="dxa"/>
            <w:shd w:val="clear" w:color="auto" w:fill="FBFBFB"/>
            <w:tcMar>
              <w:top w:w="90" w:type="dxa"/>
              <w:left w:w="120" w:type="dxa"/>
              <w:bottom w:w="90" w:type="dxa"/>
              <w:right w:w="120" w:type="dxa"/>
            </w:tcMar>
            <w:vAlign w:val="center"/>
          </w:tcPr>
          <w:p w14:paraId="59B65584">
            <w:pPr>
              <w:keepLines/>
              <w:spacing w:before="0" w:after="0" w:line="240" w:lineRule="auto"/>
              <w:jc w:val="left"/>
            </w:pPr>
            <w:r>
              <w:rPr>
                <w:rFonts w:ascii="Arial" w:hAnsi="Arial" w:eastAsia="Arial"/>
                <w:b w:val="0"/>
                <w:color w:val="1A1A1A"/>
                <w:sz w:val="17"/>
              </w:rPr>
              <w:t>Environmental Due Diligence</w:t>
            </w:r>
          </w:p>
        </w:tc>
        <w:tc>
          <w:tcPr>
            <w:tcW w:w="3672" w:type="dxa"/>
            <w:shd w:val="clear" w:color="auto" w:fill="FBFBFB"/>
            <w:tcMar>
              <w:top w:w="90" w:type="dxa"/>
              <w:left w:w="120" w:type="dxa"/>
              <w:bottom w:w="90" w:type="dxa"/>
              <w:right w:w="120" w:type="dxa"/>
            </w:tcMar>
            <w:vAlign w:val="center"/>
          </w:tcPr>
          <w:p w14:paraId="6D27209A">
            <w:pPr>
              <w:keepLines/>
              <w:spacing w:before="0" w:after="0" w:line="240" w:lineRule="auto"/>
              <w:jc w:val="left"/>
            </w:pPr>
            <w:r>
              <w:rPr>
                <w:rFonts w:ascii="Arial" w:hAnsi="Arial" w:eastAsia="Arial"/>
                <w:b w:val="0"/>
                <w:color w:val="1A1A1A"/>
                <w:sz w:val="17"/>
              </w:rPr>
              <w:t>DD Case + Environmental Review</w:t>
            </w:r>
          </w:p>
        </w:tc>
      </w:tr>
      <w:tr w14:paraId="4494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90" w:type="dxa"/>
              <w:left w:w="120" w:type="dxa"/>
              <w:bottom w:w="90" w:type="dxa"/>
              <w:right w:w="120" w:type="dxa"/>
            </w:tcMar>
            <w:vAlign w:val="center"/>
          </w:tcPr>
          <w:p w14:paraId="2AC5FDC7">
            <w:pPr>
              <w:keepLines/>
              <w:spacing w:before="0" w:after="0" w:line="240" w:lineRule="auto"/>
              <w:jc w:val="center"/>
            </w:pPr>
            <w:r>
              <w:rPr>
                <w:rFonts w:ascii="Arial" w:hAnsi="Arial" w:eastAsia="Arial"/>
                <w:b/>
                <w:color w:val="1A1A1A"/>
                <w:sz w:val="17"/>
              </w:rPr>
              <w:t>2</w:t>
            </w:r>
          </w:p>
        </w:tc>
        <w:tc>
          <w:tcPr>
            <w:tcW w:w="1800" w:type="dxa"/>
            <w:tcMar>
              <w:top w:w="90" w:type="dxa"/>
              <w:left w:w="120" w:type="dxa"/>
              <w:bottom w:w="90" w:type="dxa"/>
              <w:right w:w="120" w:type="dxa"/>
            </w:tcMar>
            <w:vAlign w:val="center"/>
          </w:tcPr>
          <w:p w14:paraId="212B0A11">
            <w:pPr>
              <w:keepLines/>
              <w:spacing w:before="0" w:after="0" w:line="240" w:lineRule="auto"/>
              <w:jc w:val="left"/>
            </w:pPr>
            <w:r>
              <w:rPr>
                <w:rFonts w:ascii="Arial" w:hAnsi="Arial" w:eastAsia="Arial"/>
                <w:b w:val="0"/>
                <w:color w:val="1A1A1A"/>
                <w:sz w:val="17"/>
              </w:rPr>
              <w:t>23</w:t>
            </w:r>
          </w:p>
        </w:tc>
        <w:tc>
          <w:tcPr>
            <w:tcW w:w="3528" w:type="dxa"/>
            <w:tcMar>
              <w:top w:w="90" w:type="dxa"/>
              <w:left w:w="120" w:type="dxa"/>
              <w:bottom w:w="90" w:type="dxa"/>
              <w:right w:w="120" w:type="dxa"/>
            </w:tcMar>
            <w:vAlign w:val="center"/>
          </w:tcPr>
          <w:p w14:paraId="47A900CF">
            <w:pPr>
              <w:keepLines/>
              <w:spacing w:before="0" w:after="0" w:line="240" w:lineRule="auto"/>
              <w:jc w:val="left"/>
            </w:pPr>
            <w:r>
              <w:rPr>
                <w:rFonts w:ascii="Arial" w:hAnsi="Arial" w:eastAsia="Arial"/>
                <w:b w:val="0"/>
                <w:color w:val="1A1A1A"/>
                <w:sz w:val="17"/>
              </w:rPr>
              <w:t>Physical Due Diligence</w:t>
            </w:r>
          </w:p>
        </w:tc>
        <w:tc>
          <w:tcPr>
            <w:tcW w:w="3672" w:type="dxa"/>
            <w:tcMar>
              <w:top w:w="90" w:type="dxa"/>
              <w:left w:w="120" w:type="dxa"/>
              <w:bottom w:w="90" w:type="dxa"/>
              <w:right w:w="120" w:type="dxa"/>
            </w:tcMar>
            <w:vAlign w:val="center"/>
          </w:tcPr>
          <w:p w14:paraId="07378604">
            <w:pPr>
              <w:keepLines/>
              <w:spacing w:before="0" w:after="0" w:line="240" w:lineRule="auto"/>
              <w:jc w:val="left"/>
            </w:pPr>
            <w:r>
              <w:rPr>
                <w:rFonts w:ascii="Arial" w:hAnsi="Arial" w:eastAsia="Arial"/>
                <w:b w:val="0"/>
                <w:color w:val="1A1A1A"/>
                <w:sz w:val="17"/>
              </w:rPr>
              <w:t>DD Case + Inspection</w:t>
            </w:r>
          </w:p>
        </w:tc>
      </w:tr>
      <w:tr w14:paraId="5DCF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BFBFB"/>
            <w:tcMar>
              <w:top w:w="90" w:type="dxa"/>
              <w:left w:w="120" w:type="dxa"/>
              <w:bottom w:w="90" w:type="dxa"/>
              <w:right w:w="120" w:type="dxa"/>
            </w:tcMar>
            <w:vAlign w:val="center"/>
          </w:tcPr>
          <w:p w14:paraId="1FABDD20">
            <w:pPr>
              <w:keepLines/>
              <w:spacing w:before="0" w:after="0" w:line="240" w:lineRule="auto"/>
              <w:jc w:val="center"/>
            </w:pPr>
            <w:r>
              <w:rPr>
                <w:rFonts w:ascii="Arial" w:hAnsi="Arial" w:eastAsia="Arial"/>
                <w:b/>
                <w:color w:val="1A1A1A"/>
                <w:sz w:val="17"/>
              </w:rPr>
              <w:t>2</w:t>
            </w:r>
          </w:p>
        </w:tc>
        <w:tc>
          <w:tcPr>
            <w:tcW w:w="1800" w:type="dxa"/>
            <w:shd w:val="clear" w:color="auto" w:fill="FBFBFB"/>
            <w:tcMar>
              <w:top w:w="90" w:type="dxa"/>
              <w:left w:w="120" w:type="dxa"/>
              <w:bottom w:w="90" w:type="dxa"/>
              <w:right w:w="120" w:type="dxa"/>
            </w:tcMar>
            <w:vAlign w:val="center"/>
          </w:tcPr>
          <w:p w14:paraId="59C8DF90">
            <w:pPr>
              <w:keepLines/>
              <w:spacing w:before="0" w:after="0" w:line="240" w:lineRule="auto"/>
              <w:jc w:val="left"/>
            </w:pPr>
            <w:r>
              <w:rPr>
                <w:rFonts w:ascii="Arial" w:hAnsi="Arial" w:eastAsia="Arial"/>
                <w:b w:val="0"/>
                <w:color w:val="1A1A1A"/>
                <w:sz w:val="17"/>
              </w:rPr>
              <w:t>24</w:t>
            </w:r>
          </w:p>
        </w:tc>
        <w:tc>
          <w:tcPr>
            <w:tcW w:w="3528" w:type="dxa"/>
            <w:shd w:val="clear" w:color="auto" w:fill="FBFBFB"/>
            <w:tcMar>
              <w:top w:w="90" w:type="dxa"/>
              <w:left w:w="120" w:type="dxa"/>
              <w:bottom w:w="90" w:type="dxa"/>
              <w:right w:w="120" w:type="dxa"/>
            </w:tcMar>
            <w:vAlign w:val="center"/>
          </w:tcPr>
          <w:p w14:paraId="2868F2CC">
            <w:pPr>
              <w:keepLines/>
              <w:spacing w:before="0" w:after="0" w:line="240" w:lineRule="auto"/>
              <w:jc w:val="left"/>
            </w:pPr>
            <w:r>
              <w:rPr>
                <w:rFonts w:ascii="Arial" w:hAnsi="Arial" w:eastAsia="Arial"/>
                <w:b w:val="0"/>
                <w:color w:val="1A1A1A"/>
                <w:sz w:val="17"/>
              </w:rPr>
              <w:t>Security Due Diligence</w:t>
            </w:r>
          </w:p>
        </w:tc>
        <w:tc>
          <w:tcPr>
            <w:tcW w:w="3672" w:type="dxa"/>
            <w:shd w:val="clear" w:color="auto" w:fill="FBFBFB"/>
            <w:tcMar>
              <w:top w:w="90" w:type="dxa"/>
              <w:left w:w="120" w:type="dxa"/>
              <w:bottom w:w="90" w:type="dxa"/>
              <w:right w:w="120" w:type="dxa"/>
            </w:tcMar>
            <w:vAlign w:val="center"/>
          </w:tcPr>
          <w:p w14:paraId="119BA5B6">
            <w:pPr>
              <w:keepLines/>
              <w:spacing w:before="0" w:after="0" w:line="240" w:lineRule="auto"/>
              <w:jc w:val="left"/>
            </w:pPr>
            <w:r>
              <w:rPr>
                <w:rFonts w:ascii="Arial" w:hAnsi="Arial" w:eastAsia="Arial"/>
                <w:b w:val="0"/>
                <w:color w:val="1A1A1A"/>
                <w:sz w:val="17"/>
              </w:rPr>
              <w:t>DD Case + Security Verification</w:t>
            </w:r>
          </w:p>
        </w:tc>
      </w:tr>
      <w:tr w14:paraId="30F1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90" w:type="dxa"/>
              <w:left w:w="120" w:type="dxa"/>
              <w:bottom w:w="90" w:type="dxa"/>
              <w:right w:w="120" w:type="dxa"/>
            </w:tcMar>
            <w:vAlign w:val="center"/>
          </w:tcPr>
          <w:p w14:paraId="312C97C7">
            <w:pPr>
              <w:keepLines/>
              <w:spacing w:before="0" w:after="0" w:line="240" w:lineRule="auto"/>
              <w:jc w:val="center"/>
            </w:pPr>
            <w:r>
              <w:rPr>
                <w:rFonts w:ascii="Arial" w:hAnsi="Arial" w:eastAsia="Arial"/>
                <w:b/>
                <w:color w:val="1A1A1A"/>
                <w:sz w:val="17"/>
              </w:rPr>
              <w:t>2</w:t>
            </w:r>
          </w:p>
        </w:tc>
        <w:tc>
          <w:tcPr>
            <w:tcW w:w="1800" w:type="dxa"/>
            <w:tcMar>
              <w:top w:w="90" w:type="dxa"/>
              <w:left w:w="120" w:type="dxa"/>
              <w:bottom w:w="90" w:type="dxa"/>
              <w:right w:w="120" w:type="dxa"/>
            </w:tcMar>
            <w:vAlign w:val="center"/>
          </w:tcPr>
          <w:p w14:paraId="210AB49A">
            <w:pPr>
              <w:keepLines/>
              <w:spacing w:before="0" w:after="0" w:line="240" w:lineRule="auto"/>
              <w:jc w:val="left"/>
            </w:pPr>
            <w:r>
              <w:rPr>
                <w:rFonts w:ascii="Arial" w:hAnsi="Arial" w:eastAsia="Arial"/>
                <w:b w:val="0"/>
                <w:color w:val="1A1A1A"/>
                <w:sz w:val="17"/>
              </w:rPr>
              <w:t>25</w:t>
            </w:r>
          </w:p>
        </w:tc>
        <w:tc>
          <w:tcPr>
            <w:tcW w:w="3528" w:type="dxa"/>
            <w:tcMar>
              <w:top w:w="90" w:type="dxa"/>
              <w:left w:w="120" w:type="dxa"/>
              <w:bottom w:w="90" w:type="dxa"/>
              <w:right w:w="120" w:type="dxa"/>
            </w:tcMar>
            <w:vAlign w:val="center"/>
          </w:tcPr>
          <w:p w14:paraId="397855CA">
            <w:pPr>
              <w:keepLines/>
              <w:spacing w:before="0" w:after="0" w:line="240" w:lineRule="auto"/>
              <w:jc w:val="left"/>
            </w:pPr>
            <w:r>
              <w:rPr>
                <w:rFonts w:ascii="Arial" w:hAnsi="Arial" w:eastAsia="Arial"/>
                <w:b w:val="0"/>
                <w:color w:val="1A1A1A"/>
                <w:sz w:val="17"/>
              </w:rPr>
              <w:t>Specialist verification</w:t>
            </w:r>
          </w:p>
        </w:tc>
        <w:tc>
          <w:tcPr>
            <w:tcW w:w="3672" w:type="dxa"/>
            <w:tcMar>
              <w:top w:w="90" w:type="dxa"/>
              <w:left w:w="120" w:type="dxa"/>
              <w:bottom w:w="90" w:type="dxa"/>
              <w:right w:w="120" w:type="dxa"/>
            </w:tcMar>
            <w:vAlign w:val="center"/>
          </w:tcPr>
          <w:p w14:paraId="74D15DB8">
            <w:pPr>
              <w:keepLines/>
              <w:spacing w:before="0" w:after="0" w:line="240" w:lineRule="auto"/>
              <w:jc w:val="left"/>
            </w:pPr>
            <w:r>
              <w:rPr>
                <w:rFonts w:ascii="Arial" w:hAnsi="Arial" w:eastAsia="Arial"/>
                <w:b w:val="0"/>
                <w:color w:val="1A1A1A"/>
                <w:sz w:val="17"/>
              </w:rPr>
              <w:t>DD Case + Professional Assignment</w:t>
            </w:r>
          </w:p>
        </w:tc>
      </w:tr>
      <w:tr w14:paraId="0A54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BFBFB"/>
            <w:tcMar>
              <w:top w:w="90" w:type="dxa"/>
              <w:left w:w="120" w:type="dxa"/>
              <w:bottom w:w="90" w:type="dxa"/>
              <w:right w:w="120" w:type="dxa"/>
            </w:tcMar>
            <w:vAlign w:val="center"/>
          </w:tcPr>
          <w:p w14:paraId="44F1FAA6">
            <w:pPr>
              <w:keepLines/>
              <w:spacing w:before="0" w:after="0" w:line="240" w:lineRule="auto"/>
              <w:jc w:val="center"/>
            </w:pPr>
            <w:r>
              <w:rPr>
                <w:rFonts w:ascii="Arial" w:hAnsi="Arial" w:eastAsia="Arial"/>
                <w:b/>
                <w:color w:val="1A1A1A"/>
                <w:sz w:val="17"/>
              </w:rPr>
              <w:t>2</w:t>
            </w:r>
          </w:p>
        </w:tc>
        <w:tc>
          <w:tcPr>
            <w:tcW w:w="1800" w:type="dxa"/>
            <w:shd w:val="clear" w:color="auto" w:fill="FBFBFB"/>
            <w:tcMar>
              <w:top w:w="90" w:type="dxa"/>
              <w:left w:w="120" w:type="dxa"/>
              <w:bottom w:w="90" w:type="dxa"/>
              <w:right w:w="120" w:type="dxa"/>
            </w:tcMar>
            <w:vAlign w:val="center"/>
          </w:tcPr>
          <w:p w14:paraId="70068F60">
            <w:pPr>
              <w:keepLines/>
              <w:spacing w:before="0" w:after="0" w:line="240" w:lineRule="auto"/>
              <w:jc w:val="left"/>
            </w:pPr>
            <w:r>
              <w:rPr>
                <w:rFonts w:ascii="Arial" w:hAnsi="Arial" w:eastAsia="Arial"/>
                <w:b w:val="0"/>
                <w:color w:val="1A1A1A"/>
                <w:sz w:val="17"/>
              </w:rPr>
              <w:t>26</w:t>
            </w:r>
          </w:p>
        </w:tc>
        <w:tc>
          <w:tcPr>
            <w:tcW w:w="3528" w:type="dxa"/>
            <w:shd w:val="clear" w:color="auto" w:fill="FBFBFB"/>
            <w:tcMar>
              <w:top w:w="90" w:type="dxa"/>
              <w:left w:w="120" w:type="dxa"/>
              <w:bottom w:w="90" w:type="dxa"/>
              <w:right w:w="120" w:type="dxa"/>
            </w:tcMar>
            <w:vAlign w:val="center"/>
          </w:tcPr>
          <w:p w14:paraId="097DC3EE">
            <w:pPr>
              <w:keepLines/>
              <w:spacing w:before="0" w:after="0" w:line="240" w:lineRule="auto"/>
              <w:jc w:val="left"/>
            </w:pPr>
            <w:r>
              <w:rPr>
                <w:rFonts w:ascii="Arial" w:hAnsi="Arial" w:eastAsia="Arial"/>
                <w:b w:val="0"/>
                <w:color w:val="1A1A1A"/>
                <w:sz w:val="17"/>
              </w:rPr>
              <w:t>Comprehensive package</w:t>
            </w:r>
          </w:p>
        </w:tc>
        <w:tc>
          <w:tcPr>
            <w:tcW w:w="3672" w:type="dxa"/>
            <w:shd w:val="clear" w:color="auto" w:fill="FBFBFB"/>
            <w:tcMar>
              <w:top w:w="90" w:type="dxa"/>
              <w:left w:w="120" w:type="dxa"/>
              <w:bottom w:w="90" w:type="dxa"/>
              <w:right w:w="120" w:type="dxa"/>
            </w:tcMar>
            <w:vAlign w:val="center"/>
          </w:tcPr>
          <w:p w14:paraId="4A8D4EA3">
            <w:pPr>
              <w:keepLines/>
              <w:spacing w:before="0" w:after="0" w:line="240" w:lineRule="auto"/>
              <w:jc w:val="left"/>
            </w:pPr>
            <w:r>
              <w:rPr>
                <w:rFonts w:ascii="Arial" w:hAnsi="Arial" w:eastAsia="Arial"/>
                <w:b w:val="0"/>
                <w:color w:val="1A1A1A"/>
                <w:sz w:val="17"/>
              </w:rPr>
              <w:t>DD Case and child IDs</w:t>
            </w:r>
          </w:p>
        </w:tc>
      </w:tr>
      <w:tr w14:paraId="1B2A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90" w:type="dxa"/>
              <w:left w:w="120" w:type="dxa"/>
              <w:bottom w:w="90" w:type="dxa"/>
              <w:right w:w="120" w:type="dxa"/>
            </w:tcMar>
            <w:vAlign w:val="center"/>
          </w:tcPr>
          <w:p w14:paraId="4B27774A">
            <w:pPr>
              <w:keepLines/>
              <w:spacing w:before="0" w:after="0" w:line="240" w:lineRule="auto"/>
              <w:jc w:val="center"/>
            </w:pPr>
            <w:r>
              <w:rPr>
                <w:rFonts w:ascii="Arial" w:hAnsi="Arial" w:eastAsia="Arial"/>
                <w:b/>
                <w:color w:val="1A1A1A"/>
                <w:sz w:val="17"/>
              </w:rPr>
              <w:t>3</w:t>
            </w:r>
          </w:p>
        </w:tc>
        <w:tc>
          <w:tcPr>
            <w:tcW w:w="1800" w:type="dxa"/>
            <w:tcMar>
              <w:top w:w="90" w:type="dxa"/>
              <w:left w:w="120" w:type="dxa"/>
              <w:bottom w:w="90" w:type="dxa"/>
              <w:right w:w="120" w:type="dxa"/>
            </w:tcMar>
            <w:vAlign w:val="center"/>
          </w:tcPr>
          <w:p w14:paraId="76AFFF11">
            <w:pPr>
              <w:keepLines/>
              <w:spacing w:before="0" w:after="0" w:line="240" w:lineRule="auto"/>
              <w:jc w:val="left"/>
            </w:pPr>
            <w:r>
              <w:rPr>
                <w:rFonts w:ascii="Arial" w:hAnsi="Arial" w:eastAsia="Arial"/>
                <w:b w:val="0"/>
                <w:color w:val="1A1A1A"/>
                <w:sz w:val="17"/>
              </w:rPr>
              <w:t>Dynamic 3-NNNNNN</w:t>
            </w:r>
          </w:p>
        </w:tc>
        <w:tc>
          <w:tcPr>
            <w:tcW w:w="3528" w:type="dxa"/>
            <w:tcMar>
              <w:top w:w="90" w:type="dxa"/>
              <w:left w:w="120" w:type="dxa"/>
              <w:bottom w:w="90" w:type="dxa"/>
              <w:right w:w="120" w:type="dxa"/>
            </w:tcMar>
            <w:vAlign w:val="center"/>
          </w:tcPr>
          <w:p w14:paraId="4972584A">
            <w:pPr>
              <w:keepLines/>
              <w:spacing w:before="0" w:after="0" w:line="240" w:lineRule="auto"/>
              <w:jc w:val="left"/>
            </w:pPr>
            <w:r>
              <w:rPr>
                <w:rFonts w:ascii="Arial" w:hAnsi="Arial" w:eastAsia="Arial"/>
                <w:b w:val="0"/>
                <w:color w:val="1A1A1A"/>
                <w:sz w:val="17"/>
              </w:rPr>
              <w:t>Customer/property escrow sub-ledger</w:t>
            </w:r>
          </w:p>
        </w:tc>
        <w:tc>
          <w:tcPr>
            <w:tcW w:w="3672" w:type="dxa"/>
            <w:tcMar>
              <w:top w:w="90" w:type="dxa"/>
              <w:left w:w="120" w:type="dxa"/>
              <w:bottom w:w="90" w:type="dxa"/>
              <w:right w:w="120" w:type="dxa"/>
            </w:tcMar>
            <w:vAlign w:val="center"/>
          </w:tcPr>
          <w:p w14:paraId="53D51709">
            <w:pPr>
              <w:keepLines/>
              <w:spacing w:before="0" w:after="0" w:line="240" w:lineRule="auto"/>
              <w:jc w:val="left"/>
            </w:pPr>
            <w:r>
              <w:rPr>
                <w:rFonts w:ascii="Arial" w:hAnsi="Arial" w:eastAsia="Arial"/>
                <w:b w:val="0"/>
                <w:color w:val="1A1A1A"/>
                <w:sz w:val="17"/>
              </w:rPr>
              <w:t>Escrow ID + parent Transaction ID</w:t>
            </w:r>
          </w:p>
        </w:tc>
      </w:tr>
      <w:tr w14:paraId="1FA6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BFBFB"/>
            <w:tcMar>
              <w:top w:w="90" w:type="dxa"/>
              <w:left w:w="120" w:type="dxa"/>
              <w:bottom w:w="90" w:type="dxa"/>
              <w:right w:w="120" w:type="dxa"/>
            </w:tcMar>
            <w:vAlign w:val="center"/>
          </w:tcPr>
          <w:p w14:paraId="3DFC14DA">
            <w:pPr>
              <w:keepLines/>
              <w:spacing w:before="0" w:after="0" w:line="240" w:lineRule="auto"/>
              <w:jc w:val="center"/>
            </w:pPr>
            <w:r>
              <w:rPr>
                <w:rFonts w:ascii="Arial" w:hAnsi="Arial" w:eastAsia="Arial"/>
                <w:b/>
                <w:color w:val="1A1A1A"/>
                <w:sz w:val="17"/>
              </w:rPr>
              <w:t>4</w:t>
            </w:r>
          </w:p>
        </w:tc>
        <w:tc>
          <w:tcPr>
            <w:tcW w:w="1800" w:type="dxa"/>
            <w:shd w:val="clear" w:color="auto" w:fill="FBFBFB"/>
            <w:tcMar>
              <w:top w:w="90" w:type="dxa"/>
              <w:left w:w="120" w:type="dxa"/>
              <w:bottom w:w="90" w:type="dxa"/>
              <w:right w:w="120" w:type="dxa"/>
            </w:tcMar>
            <w:vAlign w:val="center"/>
          </w:tcPr>
          <w:p w14:paraId="4B2DF04F">
            <w:pPr>
              <w:keepLines/>
              <w:spacing w:before="0" w:after="0" w:line="240" w:lineRule="auto"/>
              <w:jc w:val="left"/>
            </w:pPr>
            <w:r>
              <w:rPr>
                <w:rFonts w:ascii="Arial" w:hAnsi="Arial" w:eastAsia="Arial"/>
                <w:b w:val="0"/>
                <w:color w:val="1A1A1A"/>
                <w:sz w:val="17"/>
              </w:rPr>
              <w:t>Dynamic 4-NNNNNN</w:t>
            </w:r>
          </w:p>
        </w:tc>
        <w:tc>
          <w:tcPr>
            <w:tcW w:w="3528" w:type="dxa"/>
            <w:shd w:val="clear" w:color="auto" w:fill="FBFBFB"/>
            <w:tcMar>
              <w:top w:w="90" w:type="dxa"/>
              <w:left w:w="120" w:type="dxa"/>
              <w:bottom w:w="90" w:type="dxa"/>
              <w:right w:w="120" w:type="dxa"/>
            </w:tcMar>
            <w:vAlign w:val="center"/>
          </w:tcPr>
          <w:p w14:paraId="6114AED3">
            <w:pPr>
              <w:keepLines/>
              <w:spacing w:before="0" w:after="0" w:line="240" w:lineRule="auto"/>
              <w:jc w:val="left"/>
            </w:pPr>
            <w:r>
              <w:rPr>
                <w:rFonts w:ascii="Arial" w:hAnsi="Arial" w:eastAsia="Arial"/>
                <w:b w:val="0"/>
                <w:color w:val="1A1A1A"/>
                <w:sz w:val="17"/>
              </w:rPr>
              <w:t>Professional commission sub-ledger</w:t>
            </w:r>
          </w:p>
        </w:tc>
        <w:tc>
          <w:tcPr>
            <w:tcW w:w="3672" w:type="dxa"/>
            <w:shd w:val="clear" w:color="auto" w:fill="FBFBFB"/>
            <w:tcMar>
              <w:top w:w="90" w:type="dxa"/>
              <w:left w:w="120" w:type="dxa"/>
              <w:bottom w:w="90" w:type="dxa"/>
              <w:right w:w="120" w:type="dxa"/>
            </w:tcMar>
            <w:vAlign w:val="center"/>
          </w:tcPr>
          <w:p w14:paraId="55B35308">
            <w:pPr>
              <w:keepLines/>
              <w:spacing w:before="0" w:after="0" w:line="240" w:lineRule="auto"/>
              <w:jc w:val="left"/>
            </w:pPr>
            <w:r>
              <w:rPr>
                <w:rFonts w:ascii="Arial" w:hAnsi="Arial" w:eastAsia="Arial"/>
                <w:b w:val="0"/>
                <w:color w:val="1A1A1A"/>
                <w:sz w:val="17"/>
              </w:rPr>
              <w:t>Professional ID + case/transaction</w:t>
            </w:r>
          </w:p>
        </w:tc>
      </w:tr>
      <w:tr w14:paraId="71DBD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90" w:type="dxa"/>
              <w:left w:w="120" w:type="dxa"/>
              <w:bottom w:w="90" w:type="dxa"/>
              <w:right w:w="120" w:type="dxa"/>
            </w:tcMar>
            <w:vAlign w:val="center"/>
          </w:tcPr>
          <w:p w14:paraId="57F00EA2">
            <w:pPr>
              <w:keepLines/>
              <w:spacing w:before="0" w:after="0" w:line="240" w:lineRule="auto"/>
              <w:jc w:val="center"/>
            </w:pPr>
            <w:r>
              <w:rPr>
                <w:rFonts w:ascii="Arial" w:hAnsi="Arial" w:eastAsia="Arial"/>
                <w:b/>
                <w:color w:val="1A1A1A"/>
                <w:sz w:val="17"/>
              </w:rPr>
              <w:t>5</w:t>
            </w:r>
          </w:p>
        </w:tc>
        <w:tc>
          <w:tcPr>
            <w:tcW w:w="1800" w:type="dxa"/>
            <w:tcMar>
              <w:top w:w="90" w:type="dxa"/>
              <w:left w:w="120" w:type="dxa"/>
              <w:bottom w:w="90" w:type="dxa"/>
              <w:right w:w="120" w:type="dxa"/>
            </w:tcMar>
            <w:vAlign w:val="center"/>
          </w:tcPr>
          <w:p w14:paraId="4452902B">
            <w:pPr>
              <w:keepLines/>
              <w:spacing w:before="0" w:after="0" w:line="240" w:lineRule="auto"/>
              <w:jc w:val="left"/>
            </w:pPr>
            <w:r>
              <w:rPr>
                <w:rFonts w:ascii="Arial" w:hAnsi="Arial" w:eastAsia="Arial"/>
                <w:b w:val="0"/>
                <w:color w:val="1A1A1A"/>
                <w:sz w:val="17"/>
              </w:rPr>
              <w:t>External</w:t>
            </w:r>
          </w:p>
        </w:tc>
        <w:tc>
          <w:tcPr>
            <w:tcW w:w="3528" w:type="dxa"/>
            <w:tcMar>
              <w:top w:w="90" w:type="dxa"/>
              <w:left w:w="120" w:type="dxa"/>
              <w:bottom w:w="90" w:type="dxa"/>
              <w:right w:w="120" w:type="dxa"/>
            </w:tcMar>
            <w:vAlign w:val="center"/>
          </w:tcPr>
          <w:p w14:paraId="4F66B60B">
            <w:pPr>
              <w:keepLines/>
              <w:spacing w:before="0" w:after="0" w:line="240" w:lineRule="auto"/>
              <w:jc w:val="left"/>
            </w:pPr>
            <w:r>
              <w:rPr>
                <w:rFonts w:ascii="Arial" w:hAnsi="Arial" w:eastAsia="Arial"/>
                <w:b w:val="0"/>
                <w:color w:val="1A1A1A"/>
                <w:sz w:val="17"/>
              </w:rPr>
              <w:t>Operations accounts</w:t>
            </w:r>
          </w:p>
        </w:tc>
        <w:tc>
          <w:tcPr>
            <w:tcW w:w="3672" w:type="dxa"/>
            <w:tcMar>
              <w:top w:w="90" w:type="dxa"/>
              <w:left w:w="120" w:type="dxa"/>
              <w:bottom w:w="90" w:type="dxa"/>
              <w:right w:w="120" w:type="dxa"/>
            </w:tcMar>
            <w:vAlign w:val="center"/>
          </w:tcPr>
          <w:p w14:paraId="79DBBBFC">
            <w:pPr>
              <w:keepLines/>
              <w:spacing w:before="0" w:after="0" w:line="240" w:lineRule="auto"/>
              <w:jc w:val="left"/>
            </w:pPr>
            <w:r>
              <w:rPr>
                <w:rFonts w:ascii="Arial" w:hAnsi="Arial" w:eastAsia="Arial"/>
                <w:b w:val="0"/>
                <w:color w:val="1A1A1A"/>
                <w:sz w:val="17"/>
              </w:rPr>
              <w:t>Finance reference / summary journal only</w:t>
            </w:r>
          </w:p>
        </w:tc>
      </w:tr>
      <w:tr w14:paraId="0D80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BFBFB"/>
            <w:tcMar>
              <w:top w:w="90" w:type="dxa"/>
              <w:left w:w="120" w:type="dxa"/>
              <w:bottom w:w="90" w:type="dxa"/>
              <w:right w:w="120" w:type="dxa"/>
            </w:tcMar>
            <w:vAlign w:val="center"/>
          </w:tcPr>
          <w:p w14:paraId="556B6B48">
            <w:pPr>
              <w:keepLines/>
              <w:spacing w:before="0" w:after="0" w:line="240" w:lineRule="auto"/>
              <w:jc w:val="center"/>
            </w:pPr>
            <w:r>
              <w:rPr>
                <w:rFonts w:ascii="Arial" w:hAnsi="Arial" w:eastAsia="Arial"/>
                <w:b/>
                <w:color w:val="1A1A1A"/>
                <w:sz w:val="17"/>
              </w:rPr>
              <w:t>6</w:t>
            </w:r>
          </w:p>
        </w:tc>
        <w:tc>
          <w:tcPr>
            <w:tcW w:w="1800" w:type="dxa"/>
            <w:shd w:val="clear" w:color="auto" w:fill="FBFBFB"/>
            <w:tcMar>
              <w:top w:w="90" w:type="dxa"/>
              <w:left w:w="120" w:type="dxa"/>
              <w:bottom w:w="90" w:type="dxa"/>
              <w:right w:w="120" w:type="dxa"/>
            </w:tcMar>
            <w:vAlign w:val="center"/>
          </w:tcPr>
          <w:p w14:paraId="485D97C4">
            <w:pPr>
              <w:keepLines/>
              <w:spacing w:before="0" w:after="0" w:line="240" w:lineRule="auto"/>
              <w:jc w:val="left"/>
            </w:pPr>
            <w:r>
              <w:rPr>
                <w:rFonts w:ascii="Arial" w:hAnsi="Arial" w:eastAsia="Arial"/>
                <w:b w:val="0"/>
                <w:color w:val="1A1A1A"/>
                <w:sz w:val="17"/>
              </w:rPr>
              <w:t>VAT</w:t>
            </w:r>
          </w:p>
        </w:tc>
        <w:tc>
          <w:tcPr>
            <w:tcW w:w="3528" w:type="dxa"/>
            <w:shd w:val="clear" w:color="auto" w:fill="FBFBFB"/>
            <w:tcMar>
              <w:top w:w="90" w:type="dxa"/>
              <w:left w:w="120" w:type="dxa"/>
              <w:bottom w:w="90" w:type="dxa"/>
              <w:right w:w="120" w:type="dxa"/>
            </w:tcMar>
            <w:vAlign w:val="center"/>
          </w:tcPr>
          <w:p w14:paraId="14E0FFA8">
            <w:pPr>
              <w:keepLines/>
              <w:spacing w:before="0" w:after="0" w:line="240" w:lineRule="auto"/>
              <w:jc w:val="left"/>
            </w:pPr>
            <w:r>
              <w:rPr>
                <w:rFonts w:ascii="Arial" w:hAnsi="Arial" w:eastAsia="Arial"/>
                <w:b w:val="0"/>
                <w:color w:val="1A1A1A"/>
                <w:sz w:val="17"/>
              </w:rPr>
              <w:t>Central VAT account/register</w:t>
            </w:r>
          </w:p>
        </w:tc>
        <w:tc>
          <w:tcPr>
            <w:tcW w:w="3672" w:type="dxa"/>
            <w:shd w:val="clear" w:color="auto" w:fill="FBFBFB"/>
            <w:tcMar>
              <w:top w:w="90" w:type="dxa"/>
              <w:left w:w="120" w:type="dxa"/>
              <w:bottom w:w="90" w:type="dxa"/>
              <w:right w:w="120" w:type="dxa"/>
            </w:tcMar>
            <w:vAlign w:val="center"/>
          </w:tcPr>
          <w:p w14:paraId="4EC6BF13">
            <w:pPr>
              <w:keepLines/>
              <w:spacing w:before="0" w:after="0" w:line="240" w:lineRule="auto"/>
              <w:jc w:val="left"/>
            </w:pPr>
            <w:r>
              <w:rPr>
                <w:rFonts w:ascii="Arial" w:hAnsi="Arial" w:eastAsia="Arial"/>
                <w:b w:val="0"/>
                <w:color w:val="1A1A1A"/>
                <w:sz w:val="17"/>
              </w:rPr>
              <w:t>Source code + invoice + transaction</w:t>
            </w:r>
          </w:p>
        </w:tc>
      </w:tr>
    </w:tbl>
    <w:p w14:paraId="3BC1455A">
      <w:pPr>
        <w:spacing w:after="20"/>
      </w:pPr>
    </w:p>
    <w:p w14:paraId="31940EFF">
      <w:pPr>
        <w:pStyle w:val="2"/>
        <w:keepNext/>
        <w:pageBreakBefore w:val="0"/>
      </w:pPr>
      <w:r>
        <w:t>Appendix B - Minimum ID Register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6E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5C1949"/>
            <w:tcMar>
              <w:top w:w="100" w:type="dxa"/>
              <w:left w:w="120" w:type="dxa"/>
              <w:bottom w:w="100" w:type="dxa"/>
              <w:right w:w="120" w:type="dxa"/>
            </w:tcMar>
            <w:vAlign w:val="center"/>
          </w:tcPr>
          <w:p w14:paraId="4A52D260">
            <w:pPr>
              <w:keepLines/>
              <w:spacing w:before="0" w:after="0" w:line="240" w:lineRule="auto"/>
              <w:jc w:val="center"/>
            </w:pPr>
            <w:r>
              <w:rPr>
                <w:rFonts w:ascii="Arial" w:hAnsi="Arial" w:eastAsia="Arial"/>
                <w:b/>
                <w:color w:val="FFFFFF"/>
                <w:sz w:val="17"/>
              </w:rPr>
              <w:t>Field</w:t>
            </w:r>
          </w:p>
        </w:tc>
        <w:tc>
          <w:tcPr>
            <w:tcW w:w="7344" w:type="dxa"/>
            <w:shd w:val="clear" w:color="auto" w:fill="5C1949"/>
            <w:tcMar>
              <w:top w:w="100" w:type="dxa"/>
              <w:left w:w="120" w:type="dxa"/>
              <w:bottom w:w="100" w:type="dxa"/>
              <w:right w:w="120" w:type="dxa"/>
            </w:tcMar>
            <w:vAlign w:val="center"/>
          </w:tcPr>
          <w:p w14:paraId="1C3AB2F3">
            <w:pPr>
              <w:keepLines/>
              <w:spacing w:before="0" w:after="0" w:line="240" w:lineRule="auto"/>
              <w:jc w:val="center"/>
            </w:pPr>
            <w:r>
              <w:rPr>
                <w:rFonts w:ascii="Arial" w:hAnsi="Arial" w:eastAsia="Arial"/>
                <w:b/>
                <w:color w:val="FFFFFF"/>
                <w:sz w:val="17"/>
              </w:rPr>
              <w:t>Requirement</w:t>
            </w:r>
          </w:p>
        </w:tc>
      </w:tr>
      <w:tr w14:paraId="7AC4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90" w:type="dxa"/>
              <w:left w:w="120" w:type="dxa"/>
              <w:bottom w:w="90" w:type="dxa"/>
              <w:right w:w="120" w:type="dxa"/>
            </w:tcMar>
            <w:vAlign w:val="center"/>
          </w:tcPr>
          <w:p w14:paraId="2348BAF4">
            <w:pPr>
              <w:keepLines/>
              <w:spacing w:before="0" w:after="0" w:line="240" w:lineRule="auto"/>
              <w:jc w:val="left"/>
            </w:pPr>
            <w:r>
              <w:rPr>
                <w:rFonts w:ascii="Arial" w:hAnsi="Arial" w:eastAsia="Arial"/>
                <w:b/>
                <w:color w:val="1A1A1A"/>
                <w:sz w:val="17"/>
              </w:rPr>
              <w:t>Generated ID</w:t>
            </w:r>
          </w:p>
        </w:tc>
        <w:tc>
          <w:tcPr>
            <w:tcW w:w="7344" w:type="dxa"/>
            <w:tcMar>
              <w:top w:w="90" w:type="dxa"/>
              <w:left w:w="120" w:type="dxa"/>
              <w:bottom w:w="90" w:type="dxa"/>
              <w:right w:w="120" w:type="dxa"/>
            </w:tcMar>
            <w:vAlign w:val="center"/>
          </w:tcPr>
          <w:p w14:paraId="2BB5B998">
            <w:pPr>
              <w:keepLines/>
              <w:spacing w:before="0" w:after="0" w:line="240" w:lineRule="auto"/>
              <w:jc w:val="left"/>
            </w:pPr>
            <w:r>
              <w:rPr>
                <w:rFonts w:ascii="Arial" w:hAnsi="Arial" w:eastAsia="Arial"/>
                <w:b w:val="0"/>
                <w:color w:val="1A1A1A"/>
                <w:sz w:val="17"/>
              </w:rPr>
              <w:t>Official immutable SafeBuy identifier</w:t>
            </w:r>
          </w:p>
        </w:tc>
      </w:tr>
      <w:tr w14:paraId="7199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BFBFB"/>
            <w:tcMar>
              <w:top w:w="90" w:type="dxa"/>
              <w:left w:w="120" w:type="dxa"/>
              <w:bottom w:w="90" w:type="dxa"/>
              <w:right w:w="120" w:type="dxa"/>
            </w:tcMar>
            <w:vAlign w:val="center"/>
          </w:tcPr>
          <w:p w14:paraId="34BB8C9C">
            <w:pPr>
              <w:keepLines/>
              <w:spacing w:before="0" w:after="0" w:line="240" w:lineRule="auto"/>
              <w:jc w:val="left"/>
            </w:pPr>
            <w:r>
              <w:rPr>
                <w:rFonts w:ascii="Arial" w:hAnsi="Arial" w:eastAsia="Arial"/>
                <w:b/>
                <w:color w:val="1A1A1A"/>
                <w:sz w:val="17"/>
              </w:rPr>
              <w:t>Record type</w:t>
            </w:r>
          </w:p>
        </w:tc>
        <w:tc>
          <w:tcPr>
            <w:tcW w:w="7344" w:type="dxa"/>
            <w:shd w:val="clear" w:color="auto" w:fill="FBFBFB"/>
            <w:tcMar>
              <w:top w:w="90" w:type="dxa"/>
              <w:left w:w="120" w:type="dxa"/>
              <w:bottom w:w="90" w:type="dxa"/>
              <w:right w:w="120" w:type="dxa"/>
            </w:tcMar>
            <w:vAlign w:val="center"/>
          </w:tcPr>
          <w:p w14:paraId="54DF114C">
            <w:pPr>
              <w:keepLines/>
              <w:spacing w:before="0" w:after="0" w:line="240" w:lineRule="auto"/>
              <w:jc w:val="left"/>
            </w:pPr>
            <w:r>
              <w:rPr>
                <w:rFonts w:ascii="Arial" w:hAnsi="Arial" w:eastAsia="Arial"/>
                <w:b w:val="0"/>
                <w:color w:val="1A1A1A"/>
                <w:sz w:val="17"/>
              </w:rPr>
              <w:t>Buyer, seller, property, transaction, case, escrow, professional, inspection, dispute, etc.</w:t>
            </w:r>
          </w:p>
        </w:tc>
      </w:tr>
      <w:tr w14:paraId="7573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90" w:type="dxa"/>
              <w:left w:w="120" w:type="dxa"/>
              <w:bottom w:w="90" w:type="dxa"/>
              <w:right w:w="120" w:type="dxa"/>
            </w:tcMar>
            <w:vAlign w:val="center"/>
          </w:tcPr>
          <w:p w14:paraId="17AA7CAA">
            <w:pPr>
              <w:keepLines/>
              <w:spacing w:before="0" w:after="0" w:line="240" w:lineRule="auto"/>
              <w:jc w:val="left"/>
            </w:pPr>
            <w:r>
              <w:rPr>
                <w:rFonts w:ascii="Arial" w:hAnsi="Arial" w:eastAsia="Arial"/>
                <w:b/>
                <w:color w:val="1A1A1A"/>
                <w:sz w:val="17"/>
              </w:rPr>
              <w:t>Location code</w:t>
            </w:r>
          </w:p>
        </w:tc>
        <w:tc>
          <w:tcPr>
            <w:tcW w:w="7344" w:type="dxa"/>
            <w:tcMar>
              <w:top w:w="90" w:type="dxa"/>
              <w:left w:w="120" w:type="dxa"/>
              <w:bottom w:w="90" w:type="dxa"/>
              <w:right w:w="120" w:type="dxa"/>
            </w:tcMar>
            <w:vAlign w:val="center"/>
          </w:tcPr>
          <w:p w14:paraId="2CA4ED01">
            <w:pPr>
              <w:keepLines/>
              <w:spacing w:before="0" w:after="0" w:line="240" w:lineRule="auto"/>
              <w:jc w:val="left"/>
            </w:pPr>
            <w:r>
              <w:rPr>
                <w:rFonts w:ascii="Arial" w:hAnsi="Arial" w:eastAsia="Arial"/>
                <w:b w:val="0"/>
                <w:color w:val="1A1A1A"/>
                <w:sz w:val="17"/>
              </w:rPr>
              <w:t>Approved office/property location code</w:t>
            </w:r>
          </w:p>
        </w:tc>
      </w:tr>
      <w:tr w14:paraId="71D6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BFBFB"/>
            <w:tcMar>
              <w:top w:w="90" w:type="dxa"/>
              <w:left w:w="120" w:type="dxa"/>
              <w:bottom w:w="90" w:type="dxa"/>
              <w:right w:w="120" w:type="dxa"/>
            </w:tcMar>
            <w:vAlign w:val="center"/>
          </w:tcPr>
          <w:p w14:paraId="05014618">
            <w:pPr>
              <w:keepLines/>
              <w:spacing w:before="0" w:after="0" w:line="240" w:lineRule="auto"/>
              <w:jc w:val="left"/>
            </w:pPr>
            <w:r>
              <w:rPr>
                <w:rFonts w:ascii="Arial" w:hAnsi="Arial" w:eastAsia="Arial"/>
                <w:b/>
                <w:color w:val="1A1A1A"/>
                <w:sz w:val="17"/>
              </w:rPr>
              <w:t>Client/entity name</w:t>
            </w:r>
          </w:p>
        </w:tc>
        <w:tc>
          <w:tcPr>
            <w:tcW w:w="7344" w:type="dxa"/>
            <w:shd w:val="clear" w:color="auto" w:fill="FBFBFB"/>
            <w:tcMar>
              <w:top w:w="90" w:type="dxa"/>
              <w:left w:w="120" w:type="dxa"/>
              <w:bottom w:w="90" w:type="dxa"/>
              <w:right w:w="120" w:type="dxa"/>
            </w:tcMar>
            <w:vAlign w:val="center"/>
          </w:tcPr>
          <w:p w14:paraId="36847B05">
            <w:pPr>
              <w:keepLines/>
              <w:spacing w:before="0" w:after="0" w:line="240" w:lineRule="auto"/>
              <w:jc w:val="left"/>
            </w:pPr>
            <w:r>
              <w:rPr>
                <w:rFonts w:ascii="Arial" w:hAnsi="Arial" w:eastAsia="Arial"/>
                <w:b w:val="0"/>
                <w:color w:val="1A1A1A"/>
                <w:sz w:val="17"/>
              </w:rPr>
              <w:t>Buyer, seller, professional, partner or owner</w:t>
            </w:r>
          </w:p>
        </w:tc>
      </w:tr>
      <w:tr w14:paraId="34C3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90" w:type="dxa"/>
              <w:left w:w="120" w:type="dxa"/>
              <w:bottom w:w="90" w:type="dxa"/>
              <w:right w:w="120" w:type="dxa"/>
            </w:tcMar>
            <w:vAlign w:val="center"/>
          </w:tcPr>
          <w:p w14:paraId="2DF59F95">
            <w:pPr>
              <w:keepLines/>
              <w:spacing w:before="0" w:after="0" w:line="240" w:lineRule="auto"/>
              <w:jc w:val="left"/>
            </w:pPr>
            <w:r>
              <w:rPr>
                <w:rFonts w:ascii="Arial" w:hAnsi="Arial" w:eastAsia="Arial"/>
                <w:b/>
                <w:color w:val="1A1A1A"/>
                <w:sz w:val="17"/>
              </w:rPr>
              <w:t>Property location</w:t>
            </w:r>
          </w:p>
        </w:tc>
        <w:tc>
          <w:tcPr>
            <w:tcW w:w="7344" w:type="dxa"/>
            <w:tcMar>
              <w:top w:w="90" w:type="dxa"/>
              <w:left w:w="120" w:type="dxa"/>
              <w:bottom w:w="90" w:type="dxa"/>
              <w:right w:w="120" w:type="dxa"/>
            </w:tcMar>
            <w:vAlign w:val="center"/>
          </w:tcPr>
          <w:p w14:paraId="2BE71C0F">
            <w:pPr>
              <w:keepLines/>
              <w:spacing w:before="0" w:after="0" w:line="240" w:lineRule="auto"/>
              <w:jc w:val="left"/>
            </w:pPr>
            <w:r>
              <w:rPr>
                <w:rFonts w:ascii="Arial" w:hAnsi="Arial" w:eastAsia="Arial"/>
                <w:b w:val="0"/>
                <w:color w:val="1A1A1A"/>
                <w:sz w:val="17"/>
              </w:rPr>
              <w:t>Required for property-related records</w:t>
            </w:r>
          </w:p>
        </w:tc>
      </w:tr>
      <w:tr w14:paraId="289A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BFBFB"/>
            <w:tcMar>
              <w:top w:w="90" w:type="dxa"/>
              <w:left w:w="120" w:type="dxa"/>
              <w:bottom w:w="90" w:type="dxa"/>
              <w:right w:w="120" w:type="dxa"/>
            </w:tcMar>
            <w:vAlign w:val="center"/>
          </w:tcPr>
          <w:p w14:paraId="106B7BD7">
            <w:pPr>
              <w:keepLines/>
              <w:spacing w:before="0" w:after="0" w:line="240" w:lineRule="auto"/>
              <w:jc w:val="left"/>
            </w:pPr>
            <w:r>
              <w:rPr>
                <w:rFonts w:ascii="Arial" w:hAnsi="Arial" w:eastAsia="Arial"/>
                <w:b/>
                <w:color w:val="1A1A1A"/>
                <w:sz w:val="17"/>
              </w:rPr>
              <w:t>Date generated</w:t>
            </w:r>
          </w:p>
        </w:tc>
        <w:tc>
          <w:tcPr>
            <w:tcW w:w="7344" w:type="dxa"/>
            <w:shd w:val="clear" w:color="auto" w:fill="FBFBFB"/>
            <w:tcMar>
              <w:top w:w="90" w:type="dxa"/>
              <w:left w:w="120" w:type="dxa"/>
              <w:bottom w:w="90" w:type="dxa"/>
              <w:right w:w="120" w:type="dxa"/>
            </w:tcMar>
            <w:vAlign w:val="center"/>
          </w:tcPr>
          <w:p w14:paraId="3D79ADB0">
            <w:pPr>
              <w:keepLines/>
              <w:spacing w:before="0" w:after="0" w:line="240" w:lineRule="auto"/>
              <w:jc w:val="left"/>
            </w:pPr>
            <w:r>
              <w:rPr>
                <w:rFonts w:ascii="Arial" w:hAnsi="Arial" w:eastAsia="Arial"/>
                <w:b w:val="0"/>
                <w:color w:val="1A1A1A"/>
                <w:sz w:val="17"/>
              </w:rPr>
              <w:t>System timestamp</w:t>
            </w:r>
          </w:p>
        </w:tc>
      </w:tr>
      <w:tr w14:paraId="1F13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90" w:type="dxa"/>
              <w:left w:w="120" w:type="dxa"/>
              <w:bottom w:w="90" w:type="dxa"/>
              <w:right w:w="120" w:type="dxa"/>
            </w:tcMar>
            <w:vAlign w:val="center"/>
          </w:tcPr>
          <w:p w14:paraId="084F4CBA">
            <w:pPr>
              <w:keepLines/>
              <w:spacing w:before="0" w:after="0" w:line="240" w:lineRule="auto"/>
              <w:jc w:val="left"/>
            </w:pPr>
            <w:r>
              <w:rPr>
                <w:rFonts w:ascii="Arial" w:hAnsi="Arial" w:eastAsia="Arial"/>
                <w:b/>
                <w:color w:val="1A1A1A"/>
                <w:sz w:val="17"/>
              </w:rPr>
              <w:t>Generated by</w:t>
            </w:r>
          </w:p>
        </w:tc>
        <w:tc>
          <w:tcPr>
            <w:tcW w:w="7344" w:type="dxa"/>
            <w:tcMar>
              <w:top w:w="90" w:type="dxa"/>
              <w:left w:w="120" w:type="dxa"/>
              <w:bottom w:w="90" w:type="dxa"/>
              <w:right w:w="120" w:type="dxa"/>
            </w:tcMar>
            <w:vAlign w:val="center"/>
          </w:tcPr>
          <w:p w14:paraId="24D93E57">
            <w:pPr>
              <w:keepLines/>
              <w:spacing w:before="0" w:after="0" w:line="240" w:lineRule="auto"/>
              <w:jc w:val="left"/>
            </w:pPr>
            <w:r>
              <w:rPr>
                <w:rFonts w:ascii="Arial" w:hAnsi="Arial" w:eastAsia="Arial"/>
                <w:b w:val="0"/>
                <w:color w:val="1A1A1A"/>
                <w:sz w:val="17"/>
              </w:rPr>
              <w:t>System or authorised staff user</w:t>
            </w:r>
          </w:p>
        </w:tc>
      </w:tr>
      <w:tr w14:paraId="104B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BFBFB"/>
            <w:tcMar>
              <w:top w:w="90" w:type="dxa"/>
              <w:left w:w="120" w:type="dxa"/>
              <w:bottom w:w="90" w:type="dxa"/>
              <w:right w:w="120" w:type="dxa"/>
            </w:tcMar>
            <w:vAlign w:val="center"/>
          </w:tcPr>
          <w:p w14:paraId="5AB66236">
            <w:pPr>
              <w:keepLines/>
              <w:spacing w:before="0" w:after="0" w:line="240" w:lineRule="auto"/>
              <w:jc w:val="left"/>
            </w:pPr>
            <w:r>
              <w:rPr>
                <w:rFonts w:ascii="Arial" w:hAnsi="Arial" w:eastAsia="Arial"/>
                <w:b/>
                <w:color w:val="1A1A1A"/>
                <w:sz w:val="17"/>
              </w:rPr>
              <w:t>Current status</w:t>
            </w:r>
          </w:p>
        </w:tc>
        <w:tc>
          <w:tcPr>
            <w:tcW w:w="7344" w:type="dxa"/>
            <w:shd w:val="clear" w:color="auto" w:fill="FBFBFB"/>
            <w:tcMar>
              <w:top w:w="90" w:type="dxa"/>
              <w:left w:w="120" w:type="dxa"/>
              <w:bottom w:w="90" w:type="dxa"/>
              <w:right w:w="120" w:type="dxa"/>
            </w:tcMar>
            <w:vAlign w:val="center"/>
          </w:tcPr>
          <w:p w14:paraId="3E432EF2">
            <w:pPr>
              <w:keepLines/>
              <w:spacing w:before="0" w:after="0" w:line="240" w:lineRule="auto"/>
              <w:jc w:val="left"/>
            </w:pPr>
            <w:r>
              <w:rPr>
                <w:rFonts w:ascii="Arial" w:hAnsi="Arial" w:eastAsia="Arial"/>
                <w:b w:val="0"/>
                <w:color w:val="1A1A1A"/>
                <w:sz w:val="17"/>
              </w:rPr>
              <w:t>Active, pending, approved, rejected, closed, archived or suspended</w:t>
            </w:r>
          </w:p>
        </w:tc>
      </w:tr>
      <w:tr w14:paraId="7FF3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90" w:type="dxa"/>
              <w:left w:w="120" w:type="dxa"/>
              <w:bottom w:w="90" w:type="dxa"/>
              <w:right w:w="120" w:type="dxa"/>
            </w:tcMar>
            <w:vAlign w:val="center"/>
          </w:tcPr>
          <w:p w14:paraId="3BF73970">
            <w:pPr>
              <w:keepLines/>
              <w:spacing w:before="0" w:after="0" w:line="240" w:lineRule="auto"/>
              <w:jc w:val="left"/>
            </w:pPr>
            <w:r>
              <w:rPr>
                <w:rFonts w:ascii="Arial" w:hAnsi="Arial" w:eastAsia="Arial"/>
                <w:b/>
                <w:color w:val="1A1A1A"/>
                <w:sz w:val="17"/>
              </w:rPr>
              <w:t>Parent ID</w:t>
            </w:r>
          </w:p>
        </w:tc>
        <w:tc>
          <w:tcPr>
            <w:tcW w:w="7344" w:type="dxa"/>
            <w:tcMar>
              <w:top w:w="90" w:type="dxa"/>
              <w:left w:w="120" w:type="dxa"/>
              <w:bottom w:w="90" w:type="dxa"/>
              <w:right w:w="120" w:type="dxa"/>
            </w:tcMar>
            <w:vAlign w:val="center"/>
          </w:tcPr>
          <w:p w14:paraId="0E8A42B3">
            <w:pPr>
              <w:keepLines/>
              <w:spacing w:before="0" w:after="0" w:line="240" w:lineRule="auto"/>
              <w:jc w:val="left"/>
            </w:pPr>
            <w:r>
              <w:rPr>
                <w:rFonts w:ascii="Arial" w:hAnsi="Arial" w:eastAsia="Arial"/>
                <w:b w:val="0"/>
                <w:color w:val="1A1A1A"/>
                <w:sz w:val="17"/>
              </w:rPr>
              <w:t>Transaction ID or DD Case ID where applicable</w:t>
            </w:r>
          </w:p>
        </w:tc>
      </w:tr>
      <w:tr w14:paraId="62BE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BFBFB"/>
            <w:tcMar>
              <w:top w:w="90" w:type="dxa"/>
              <w:left w:w="120" w:type="dxa"/>
              <w:bottom w:w="90" w:type="dxa"/>
              <w:right w:w="120" w:type="dxa"/>
            </w:tcMar>
            <w:vAlign w:val="center"/>
          </w:tcPr>
          <w:p w14:paraId="17B1B1D0">
            <w:pPr>
              <w:keepLines/>
              <w:spacing w:before="0" w:after="0" w:line="240" w:lineRule="auto"/>
              <w:jc w:val="left"/>
            </w:pPr>
            <w:r>
              <w:rPr>
                <w:rFonts w:ascii="Arial" w:hAnsi="Arial" w:eastAsia="Arial"/>
                <w:b/>
                <w:color w:val="1A1A1A"/>
                <w:sz w:val="17"/>
              </w:rPr>
              <w:t>Linked IDs</w:t>
            </w:r>
          </w:p>
        </w:tc>
        <w:tc>
          <w:tcPr>
            <w:tcW w:w="7344" w:type="dxa"/>
            <w:shd w:val="clear" w:color="auto" w:fill="FBFBFB"/>
            <w:tcMar>
              <w:top w:w="90" w:type="dxa"/>
              <w:left w:w="120" w:type="dxa"/>
              <w:bottom w:w="90" w:type="dxa"/>
              <w:right w:w="120" w:type="dxa"/>
            </w:tcMar>
            <w:vAlign w:val="center"/>
          </w:tcPr>
          <w:p w14:paraId="6EC6137B">
            <w:pPr>
              <w:keepLines/>
              <w:spacing w:before="0" w:after="0" w:line="240" w:lineRule="auto"/>
              <w:jc w:val="left"/>
            </w:pPr>
            <w:r>
              <w:rPr>
                <w:rFonts w:ascii="Arial" w:hAnsi="Arial" w:eastAsia="Arial"/>
                <w:b w:val="0"/>
                <w:color w:val="1A1A1A"/>
                <w:sz w:val="17"/>
              </w:rPr>
              <w:t>Connected records in the workflow</w:t>
            </w:r>
          </w:p>
        </w:tc>
      </w:tr>
      <w:tr w14:paraId="34D7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90" w:type="dxa"/>
              <w:left w:w="120" w:type="dxa"/>
              <w:bottom w:w="90" w:type="dxa"/>
              <w:right w:w="120" w:type="dxa"/>
            </w:tcMar>
            <w:vAlign w:val="center"/>
          </w:tcPr>
          <w:p w14:paraId="49EF74E3">
            <w:pPr>
              <w:keepLines/>
              <w:spacing w:before="0" w:after="0" w:line="240" w:lineRule="auto"/>
              <w:jc w:val="left"/>
            </w:pPr>
            <w:r>
              <w:rPr>
                <w:rFonts w:ascii="Arial" w:hAnsi="Arial" w:eastAsia="Arial"/>
                <w:b/>
                <w:color w:val="1A1A1A"/>
                <w:sz w:val="17"/>
              </w:rPr>
              <w:t>Last updated</w:t>
            </w:r>
          </w:p>
        </w:tc>
        <w:tc>
          <w:tcPr>
            <w:tcW w:w="7344" w:type="dxa"/>
            <w:tcMar>
              <w:top w:w="90" w:type="dxa"/>
              <w:left w:w="120" w:type="dxa"/>
              <w:bottom w:w="90" w:type="dxa"/>
              <w:right w:w="120" w:type="dxa"/>
            </w:tcMar>
            <w:vAlign w:val="center"/>
          </w:tcPr>
          <w:p w14:paraId="642271A8">
            <w:pPr>
              <w:keepLines/>
              <w:spacing w:before="0" w:after="0" w:line="240" w:lineRule="auto"/>
              <w:jc w:val="left"/>
            </w:pPr>
            <w:r>
              <w:rPr>
                <w:rFonts w:ascii="Arial" w:hAnsi="Arial" w:eastAsia="Arial"/>
                <w:b w:val="0"/>
                <w:color w:val="1A1A1A"/>
                <w:sz w:val="17"/>
              </w:rPr>
              <w:t>Most recent controlled change</w:t>
            </w:r>
          </w:p>
        </w:tc>
      </w:tr>
      <w:tr w14:paraId="2E05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BFBFB"/>
            <w:tcMar>
              <w:top w:w="90" w:type="dxa"/>
              <w:left w:w="120" w:type="dxa"/>
              <w:bottom w:w="90" w:type="dxa"/>
              <w:right w:w="120" w:type="dxa"/>
            </w:tcMar>
            <w:vAlign w:val="center"/>
          </w:tcPr>
          <w:p w14:paraId="7A3BC455">
            <w:pPr>
              <w:keepLines/>
              <w:spacing w:before="0" w:after="0" w:line="240" w:lineRule="auto"/>
              <w:jc w:val="left"/>
            </w:pPr>
            <w:r>
              <w:rPr>
                <w:rFonts w:ascii="Arial" w:hAnsi="Arial" w:eastAsia="Arial"/>
                <w:b/>
                <w:color w:val="1A1A1A"/>
                <w:sz w:val="17"/>
              </w:rPr>
              <w:t>Audit notes</w:t>
            </w:r>
          </w:p>
        </w:tc>
        <w:tc>
          <w:tcPr>
            <w:tcW w:w="7344" w:type="dxa"/>
            <w:shd w:val="clear" w:color="auto" w:fill="FBFBFB"/>
            <w:tcMar>
              <w:top w:w="90" w:type="dxa"/>
              <w:left w:w="120" w:type="dxa"/>
              <w:bottom w:w="90" w:type="dxa"/>
              <w:right w:w="120" w:type="dxa"/>
            </w:tcMar>
            <w:vAlign w:val="center"/>
          </w:tcPr>
          <w:p w14:paraId="540DEB03">
            <w:pPr>
              <w:keepLines/>
              <w:spacing w:before="0" w:after="0" w:line="240" w:lineRule="auto"/>
              <w:jc w:val="left"/>
            </w:pPr>
            <w:r>
              <w:rPr>
                <w:rFonts w:ascii="Arial" w:hAnsi="Arial" w:eastAsia="Arial"/>
                <w:b w:val="0"/>
                <w:color w:val="1A1A1A"/>
                <w:sz w:val="17"/>
              </w:rPr>
              <w:t>Important changes, overrides, escalations or compliance notes</w:t>
            </w:r>
          </w:p>
        </w:tc>
      </w:tr>
    </w:tbl>
    <w:p w14:paraId="37E4711B">
      <w:pPr>
        <w:spacing w:after="20"/>
      </w:pPr>
    </w:p>
    <w:p w14:paraId="5F3D928D">
      <w:pPr>
        <w:pStyle w:val="2"/>
        <w:keepNext/>
        <w:pageBreakBefore w:val="0"/>
      </w:pPr>
      <w:r>
        <w:t>Appendix C - Worked Escrow and Commission Example</w:t>
      </w:r>
    </w:p>
    <w:p w14:paraId="62F83CDC">
      <w:pPr>
        <w:pStyle w:val="13"/>
        <w:spacing w:before="0" w:after="120" w:line="269" w:lineRule="auto"/>
      </w:pPr>
      <w:r>
        <w:rPr>
          <w:rFonts w:ascii="Arial" w:hAnsi="Arial" w:eastAsia="Arial"/>
          <w:color w:val="1A1A1A"/>
          <w:sz w:val="20"/>
        </w:rPr>
        <w:t>Illustrative values are included only to demonstrate the required system logic. Commercial rates remain configurable and must be taken from the approved transaction terms.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9BF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5C1949"/>
            <w:tcMar>
              <w:top w:w="100" w:type="dxa"/>
              <w:left w:w="120" w:type="dxa"/>
              <w:bottom w:w="100" w:type="dxa"/>
              <w:right w:w="120" w:type="dxa"/>
            </w:tcMar>
            <w:vAlign w:val="center"/>
          </w:tcPr>
          <w:p w14:paraId="7A21F84D">
            <w:pPr>
              <w:keepLines/>
              <w:spacing w:before="0" w:after="0" w:line="240" w:lineRule="auto"/>
              <w:jc w:val="center"/>
            </w:pPr>
            <w:r>
              <w:rPr>
                <w:rFonts w:ascii="Arial" w:hAnsi="Arial" w:eastAsia="Arial"/>
                <w:b/>
                <w:color w:val="FFFFFF"/>
                <w:sz w:val="17"/>
              </w:rPr>
              <w:t>Item</w:t>
            </w:r>
          </w:p>
        </w:tc>
        <w:tc>
          <w:tcPr>
            <w:tcW w:w="6336" w:type="dxa"/>
            <w:shd w:val="clear" w:color="auto" w:fill="5C1949"/>
            <w:tcMar>
              <w:top w:w="100" w:type="dxa"/>
              <w:left w:w="120" w:type="dxa"/>
              <w:bottom w:w="100" w:type="dxa"/>
              <w:right w:w="120" w:type="dxa"/>
            </w:tcMar>
            <w:vAlign w:val="center"/>
          </w:tcPr>
          <w:p w14:paraId="56F13382">
            <w:pPr>
              <w:keepLines/>
              <w:spacing w:before="0" w:after="0" w:line="240" w:lineRule="auto"/>
              <w:jc w:val="center"/>
            </w:pPr>
            <w:r>
              <w:rPr>
                <w:rFonts w:ascii="Arial" w:hAnsi="Arial" w:eastAsia="Arial"/>
                <w:b/>
                <w:color w:val="FFFFFF"/>
                <w:sz w:val="17"/>
              </w:rPr>
              <w:t>Value</w:t>
            </w:r>
          </w:p>
        </w:tc>
      </w:tr>
      <w:tr w14:paraId="200C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06740355">
            <w:pPr>
              <w:keepLines/>
              <w:spacing w:before="0" w:after="0" w:line="240" w:lineRule="auto"/>
              <w:jc w:val="left"/>
            </w:pPr>
            <w:r>
              <w:rPr>
                <w:rFonts w:ascii="Arial" w:hAnsi="Arial" w:eastAsia="Arial"/>
                <w:b/>
                <w:color w:val="1A1A1A"/>
                <w:sz w:val="17"/>
              </w:rPr>
              <w:t>Property principal</w:t>
            </w:r>
          </w:p>
        </w:tc>
        <w:tc>
          <w:tcPr>
            <w:tcW w:w="6336" w:type="dxa"/>
            <w:tcMar>
              <w:top w:w="90" w:type="dxa"/>
              <w:left w:w="120" w:type="dxa"/>
              <w:bottom w:w="90" w:type="dxa"/>
              <w:right w:w="120" w:type="dxa"/>
            </w:tcMar>
            <w:vAlign w:val="center"/>
          </w:tcPr>
          <w:p w14:paraId="0D86EE5A">
            <w:pPr>
              <w:keepLines/>
              <w:spacing w:before="0" w:after="0" w:line="240" w:lineRule="auto"/>
              <w:jc w:val="left"/>
            </w:pPr>
            <w:r>
              <w:rPr>
                <w:rFonts w:ascii="Arial" w:hAnsi="Arial" w:eastAsia="Arial"/>
                <w:b w:val="0"/>
                <w:color w:val="1A1A1A"/>
                <w:sz w:val="17"/>
              </w:rPr>
              <w:t>NGN 50,000,000.00</w:t>
            </w:r>
          </w:p>
        </w:tc>
      </w:tr>
      <w:tr w14:paraId="7E72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04C3EE1A">
            <w:pPr>
              <w:keepLines/>
              <w:spacing w:before="0" w:after="0" w:line="240" w:lineRule="auto"/>
              <w:jc w:val="left"/>
            </w:pPr>
            <w:r>
              <w:rPr>
                <w:rFonts w:ascii="Arial" w:hAnsi="Arial" w:eastAsia="Arial"/>
                <w:b/>
                <w:color w:val="1A1A1A"/>
                <w:sz w:val="17"/>
              </w:rPr>
              <w:t>Seller commission</w:t>
            </w:r>
          </w:p>
        </w:tc>
        <w:tc>
          <w:tcPr>
            <w:tcW w:w="6336" w:type="dxa"/>
            <w:shd w:val="clear" w:color="auto" w:fill="FBFBFB"/>
            <w:tcMar>
              <w:top w:w="90" w:type="dxa"/>
              <w:left w:w="120" w:type="dxa"/>
              <w:bottom w:w="90" w:type="dxa"/>
              <w:right w:w="120" w:type="dxa"/>
            </w:tcMar>
            <w:vAlign w:val="center"/>
          </w:tcPr>
          <w:p w14:paraId="3F20CEEF">
            <w:pPr>
              <w:keepLines/>
              <w:spacing w:before="0" w:after="0" w:line="240" w:lineRule="auto"/>
              <w:jc w:val="left"/>
            </w:pPr>
            <w:r>
              <w:rPr>
                <w:rFonts w:ascii="Arial" w:hAnsi="Arial" w:eastAsia="Arial"/>
                <w:b w:val="0"/>
                <w:color w:val="1A1A1A"/>
                <w:sz w:val="17"/>
              </w:rPr>
              <w:t>5% = NGN 2,500,000.00</w:t>
            </w:r>
          </w:p>
        </w:tc>
      </w:tr>
      <w:tr w14:paraId="7B97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18A7C50A">
            <w:pPr>
              <w:keepLines/>
              <w:spacing w:before="0" w:after="0" w:line="240" w:lineRule="auto"/>
              <w:jc w:val="left"/>
            </w:pPr>
            <w:r>
              <w:rPr>
                <w:rFonts w:ascii="Arial" w:hAnsi="Arial" w:eastAsia="Arial"/>
                <w:b/>
                <w:color w:val="1A1A1A"/>
                <w:sz w:val="17"/>
              </w:rPr>
              <w:t>VAT on seller commission</w:t>
            </w:r>
          </w:p>
        </w:tc>
        <w:tc>
          <w:tcPr>
            <w:tcW w:w="6336" w:type="dxa"/>
            <w:tcMar>
              <w:top w:w="90" w:type="dxa"/>
              <w:left w:w="120" w:type="dxa"/>
              <w:bottom w:w="90" w:type="dxa"/>
              <w:right w:w="120" w:type="dxa"/>
            </w:tcMar>
            <w:vAlign w:val="center"/>
          </w:tcPr>
          <w:p w14:paraId="180526D3">
            <w:pPr>
              <w:keepLines/>
              <w:spacing w:before="0" w:after="0" w:line="240" w:lineRule="auto"/>
              <w:jc w:val="left"/>
            </w:pPr>
            <w:r>
              <w:rPr>
                <w:rFonts w:ascii="Arial" w:hAnsi="Arial" w:eastAsia="Arial"/>
                <w:b w:val="0"/>
                <w:color w:val="1A1A1A"/>
                <w:sz w:val="17"/>
              </w:rPr>
              <w:t>7.5% = NGN 187,500.00</w:t>
            </w:r>
          </w:p>
        </w:tc>
      </w:tr>
      <w:tr w14:paraId="060F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43776593">
            <w:pPr>
              <w:keepLines/>
              <w:spacing w:before="0" w:after="0" w:line="240" w:lineRule="auto"/>
              <w:jc w:val="left"/>
            </w:pPr>
            <w:r>
              <w:rPr>
                <w:rFonts w:ascii="Arial" w:hAnsi="Arial" w:eastAsia="Arial"/>
                <w:b/>
                <w:color w:val="1A1A1A"/>
                <w:sz w:val="17"/>
              </w:rPr>
              <w:t>Seller net release</w:t>
            </w:r>
          </w:p>
        </w:tc>
        <w:tc>
          <w:tcPr>
            <w:tcW w:w="6336" w:type="dxa"/>
            <w:shd w:val="clear" w:color="auto" w:fill="FBFBFB"/>
            <w:tcMar>
              <w:top w:w="90" w:type="dxa"/>
              <w:left w:w="120" w:type="dxa"/>
              <w:bottom w:w="90" w:type="dxa"/>
              <w:right w:w="120" w:type="dxa"/>
            </w:tcMar>
            <w:vAlign w:val="center"/>
          </w:tcPr>
          <w:p w14:paraId="31C700CF">
            <w:pPr>
              <w:keepLines/>
              <w:spacing w:before="0" w:after="0" w:line="240" w:lineRule="auto"/>
              <w:jc w:val="left"/>
            </w:pPr>
            <w:r>
              <w:rPr>
                <w:rFonts w:ascii="Arial" w:hAnsi="Arial" w:eastAsia="Arial"/>
                <w:b w:val="0"/>
                <w:color w:val="1A1A1A"/>
                <w:sz w:val="17"/>
              </w:rPr>
              <w:t>NGN 47,312,500.00</w:t>
            </w:r>
          </w:p>
        </w:tc>
      </w:tr>
      <w:tr w14:paraId="23B17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505733F5">
            <w:pPr>
              <w:keepLines/>
              <w:spacing w:before="0" w:after="0" w:line="240" w:lineRule="auto"/>
              <w:jc w:val="left"/>
            </w:pPr>
            <w:r>
              <w:rPr>
                <w:rFonts w:ascii="Arial" w:hAnsi="Arial" w:eastAsia="Arial"/>
                <w:b/>
                <w:color w:val="1A1A1A"/>
                <w:sz w:val="17"/>
              </w:rPr>
              <w:t>Main code / sub-code</w:t>
            </w:r>
          </w:p>
        </w:tc>
        <w:tc>
          <w:tcPr>
            <w:tcW w:w="6336" w:type="dxa"/>
            <w:tcMar>
              <w:top w:w="90" w:type="dxa"/>
              <w:left w:w="120" w:type="dxa"/>
              <w:bottom w:w="90" w:type="dxa"/>
              <w:right w:w="120" w:type="dxa"/>
            </w:tcMar>
            <w:vAlign w:val="center"/>
          </w:tcPr>
          <w:p w14:paraId="00C8F7CB">
            <w:pPr>
              <w:keepLines/>
              <w:spacing w:before="0" w:after="0" w:line="240" w:lineRule="auto"/>
              <w:jc w:val="left"/>
            </w:pPr>
            <w:r>
              <w:rPr>
                <w:rFonts w:ascii="Arial" w:hAnsi="Arial" w:eastAsia="Arial"/>
                <w:b w:val="0"/>
                <w:color w:val="1A1A1A"/>
                <w:sz w:val="17"/>
              </w:rPr>
              <w:t>Code 1 / 12 for seller commission</w:t>
            </w:r>
          </w:p>
        </w:tc>
      </w:tr>
      <w:tr w14:paraId="4129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BFBFB"/>
            <w:tcMar>
              <w:top w:w="90" w:type="dxa"/>
              <w:left w:w="120" w:type="dxa"/>
              <w:bottom w:w="90" w:type="dxa"/>
              <w:right w:w="120" w:type="dxa"/>
            </w:tcMar>
            <w:vAlign w:val="center"/>
          </w:tcPr>
          <w:p w14:paraId="4B53C42D">
            <w:pPr>
              <w:keepLines/>
              <w:spacing w:before="0" w:after="0" w:line="240" w:lineRule="auto"/>
              <w:jc w:val="left"/>
            </w:pPr>
            <w:r>
              <w:rPr>
                <w:rFonts w:ascii="Arial" w:hAnsi="Arial" w:eastAsia="Arial"/>
                <w:b/>
                <w:color w:val="1A1A1A"/>
                <w:sz w:val="17"/>
              </w:rPr>
              <w:t>Escrow record</w:t>
            </w:r>
          </w:p>
        </w:tc>
        <w:tc>
          <w:tcPr>
            <w:tcW w:w="6336" w:type="dxa"/>
            <w:shd w:val="clear" w:color="auto" w:fill="FBFBFB"/>
            <w:tcMar>
              <w:top w:w="90" w:type="dxa"/>
              <w:left w:w="120" w:type="dxa"/>
              <w:bottom w:w="90" w:type="dxa"/>
              <w:right w:w="120" w:type="dxa"/>
            </w:tcMar>
            <w:vAlign w:val="center"/>
          </w:tcPr>
          <w:p w14:paraId="5D988CFD">
            <w:pPr>
              <w:keepLines/>
              <w:spacing w:before="0" w:after="0" w:line="240" w:lineRule="auto"/>
              <w:jc w:val="left"/>
            </w:pPr>
            <w:r>
              <w:rPr>
                <w:rFonts w:ascii="Arial" w:hAnsi="Arial" w:eastAsia="Arial"/>
                <w:b w:val="0"/>
                <w:color w:val="1A1A1A"/>
                <w:sz w:val="17"/>
              </w:rPr>
              <w:t>Code 3 / SBR-ESC-LEK-20260803-001</w:t>
            </w:r>
          </w:p>
        </w:tc>
      </w:tr>
      <w:tr w14:paraId="7C778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Mar>
              <w:top w:w="90" w:type="dxa"/>
              <w:left w:w="120" w:type="dxa"/>
              <w:bottom w:w="90" w:type="dxa"/>
              <w:right w:w="120" w:type="dxa"/>
            </w:tcMar>
            <w:vAlign w:val="center"/>
          </w:tcPr>
          <w:p w14:paraId="4636D411">
            <w:pPr>
              <w:keepLines/>
              <w:spacing w:before="0" w:after="0" w:line="240" w:lineRule="auto"/>
              <w:jc w:val="left"/>
            </w:pPr>
            <w:r>
              <w:rPr>
                <w:rFonts w:ascii="Arial" w:hAnsi="Arial" w:eastAsia="Arial"/>
                <w:b/>
                <w:color w:val="1A1A1A"/>
                <w:sz w:val="17"/>
              </w:rPr>
              <w:t>Central VAT record</w:t>
            </w:r>
          </w:p>
        </w:tc>
        <w:tc>
          <w:tcPr>
            <w:tcW w:w="6336" w:type="dxa"/>
            <w:tcMar>
              <w:top w:w="90" w:type="dxa"/>
              <w:left w:w="120" w:type="dxa"/>
              <w:bottom w:w="90" w:type="dxa"/>
              <w:right w:w="120" w:type="dxa"/>
            </w:tcMar>
            <w:vAlign w:val="center"/>
          </w:tcPr>
          <w:p w14:paraId="373FF607">
            <w:pPr>
              <w:keepLines/>
              <w:spacing w:before="0" w:after="0" w:line="240" w:lineRule="auto"/>
              <w:jc w:val="left"/>
            </w:pPr>
            <w:r>
              <w:rPr>
                <w:rFonts w:ascii="Arial" w:hAnsi="Arial" w:eastAsia="Arial"/>
                <w:b w:val="0"/>
                <w:color w:val="1A1A1A"/>
                <w:sz w:val="17"/>
              </w:rPr>
              <w:t>Code 6 linked to the same Transaction ID</w:t>
            </w:r>
          </w:p>
        </w:tc>
      </w:tr>
    </w:tbl>
    <w:p w14:paraId="445D7025">
      <w:pPr>
        <w:spacing w:after="20"/>
      </w:pPr>
    </w:p>
    <w:p w14:paraId="393E7C71">
      <w:pPr>
        <w:spacing w:before="20" w:after="60" w:line="259" w:lineRule="auto"/>
      </w:pPr>
      <w:r>
        <w:rPr>
          <w:rFonts w:ascii="Arial" w:hAnsi="Arial" w:eastAsia="Arial"/>
          <w:b/>
          <w:i w:val="0"/>
          <w:color w:val="0F6B77"/>
          <w:sz w:val="19"/>
        </w:rPr>
        <w:t>Required allocation result</w:t>
      </w:r>
    </w:p>
    <w:tbl>
      <w:tblPr>
        <w:tblStyle w:val="12"/>
        <w:tblW w:w="0" w:type="auto"/>
        <w:jc w:val="center"/>
        <w:tblLayout w:type="fixed"/>
        <w:tblCellMar>
          <w:top w:w="0" w:type="dxa"/>
          <w:left w:w="108" w:type="dxa"/>
          <w:bottom w:w="0" w:type="dxa"/>
          <w:right w:w="108" w:type="dxa"/>
        </w:tblCellMar>
      </w:tblPr>
      <w:tblGrid>
        <w:gridCol w:w="10166"/>
      </w:tblGrid>
      <w:tr w14:paraId="013F63C1">
        <w:tblPrEx>
          <w:tblCellMar>
            <w:top w:w="0" w:type="dxa"/>
            <w:left w:w="108" w:type="dxa"/>
            <w:bottom w:w="0" w:type="dxa"/>
            <w:right w:w="108" w:type="dxa"/>
          </w:tblCellMar>
        </w:tblPrEx>
        <w:trPr>
          <w:jc w:val="center"/>
        </w:trPr>
        <w:tc>
          <w:tcPr>
            <w:tcW w:w="10166" w:type="dxa"/>
            <w:tcBorders>
              <w:top w:val="single" w:color="C9CDD0" w:sz="6" w:space="0"/>
              <w:left w:val="single" w:color="C9CDD0" w:sz="6" w:space="0"/>
              <w:bottom w:val="single" w:color="C9CDD0" w:sz="6" w:space="0"/>
              <w:right w:val="single" w:color="C9CDD0" w:sz="6" w:space="0"/>
            </w:tcBorders>
            <w:shd w:val="clear" w:color="auto" w:fill="F7F7F7"/>
            <w:tcMar>
              <w:top w:w="130" w:type="dxa"/>
              <w:left w:w="160" w:type="dxa"/>
              <w:bottom w:w="130" w:type="dxa"/>
              <w:right w:w="160" w:type="dxa"/>
            </w:tcMar>
          </w:tcPr>
          <w:p w14:paraId="10F42E81">
            <w:pPr>
              <w:keepLines/>
              <w:spacing w:before="0" w:after="0" w:line="240" w:lineRule="auto"/>
            </w:pPr>
            <w:r>
              <w:rPr>
                <w:rFonts w:ascii="Courier New" w:hAnsi="Courier New" w:eastAsia="Courier New"/>
                <w:color w:val="1A1A1A"/>
                <w:sz w:val="17"/>
              </w:rPr>
              <w:t>Buyer deposit into Code 3 Escrow Account:          NGN 50,000,000.00</w:t>
            </w:r>
            <w:r>
              <w:rPr>
                <w:rFonts w:ascii="Arial" w:hAnsi="Arial" w:eastAsia="Arial"/>
                <w:sz w:val="18"/>
              </w:rPr>
              <w:br w:type="textWrapping"/>
            </w:r>
            <w:r>
              <w:rPr>
                <w:rFonts w:ascii="Courier New" w:hAnsi="Courier New" w:eastAsia="Courier New"/>
                <w:color w:val="1A1A1A"/>
                <w:sz w:val="17"/>
              </w:rPr>
              <w:t>Allocate seller commission to Code 1 / sub-code 12: NGN  2,500,000.00</w:t>
            </w:r>
            <w:r>
              <w:rPr>
                <w:rFonts w:ascii="Arial" w:hAnsi="Arial" w:eastAsia="Arial"/>
                <w:sz w:val="18"/>
              </w:rPr>
              <w:br w:type="textWrapping"/>
            </w:r>
            <w:r>
              <w:rPr>
                <w:rFonts w:ascii="Courier New" w:hAnsi="Courier New" w:eastAsia="Courier New"/>
                <w:color w:val="1A1A1A"/>
                <w:sz w:val="17"/>
              </w:rPr>
              <w:t>Allocate VAT to central VAT account/register:       NGN    187,500.00</w:t>
            </w:r>
            <w:r>
              <w:rPr>
                <w:rFonts w:ascii="Arial" w:hAnsi="Arial" w:eastAsia="Arial"/>
                <w:sz w:val="18"/>
              </w:rPr>
              <w:br w:type="textWrapping"/>
            </w:r>
            <w:r>
              <w:rPr>
                <w:rFonts w:ascii="Courier New" w:hAnsi="Courier New" w:eastAsia="Courier New"/>
                <w:color w:val="1A1A1A"/>
                <w:sz w:val="17"/>
              </w:rPr>
              <w:t>Release net amount to verified seller:              NGN 47,312,500.00</w:t>
            </w:r>
            <w:r>
              <w:rPr>
                <w:rFonts w:ascii="Arial" w:hAnsi="Arial" w:eastAsia="Arial"/>
                <w:sz w:val="18"/>
              </w:rPr>
              <w:br w:type="textWrapping"/>
            </w:r>
            <w:r>
              <w:rPr>
                <w:rFonts w:ascii="Courier New" w:hAnsi="Courier New" w:eastAsia="Courier New"/>
                <w:color w:val="1A1A1A"/>
                <w:sz w:val="17"/>
              </w:rPr>
              <w:t>Escrow transaction balance after completed release: NGN          0.00</w:t>
            </w:r>
          </w:p>
        </w:tc>
      </w:tr>
    </w:tbl>
    <w:p w14:paraId="0D2A0862">
      <w:pPr>
        <w:spacing w:after="20"/>
      </w:pPr>
    </w:p>
    <w:p w14:paraId="02BE4A26">
      <w:pPr>
        <w:pStyle w:val="2"/>
        <w:keepNext/>
        <w:pageBreakBefore w:val="0"/>
      </w:pPr>
      <w:r>
        <w:t>Appendix D - Developer Sign-Off Checklist</w:t>
      </w:r>
    </w:p>
    <w:p w14:paraId="059E66CD">
      <w:r>
        <w:rPr>
          <w:rFonts w:ascii="Arial" w:hAnsi="Arial" w:eastAsia="Arial"/>
          <w:b/>
          <w:i w:val="0"/>
          <w:color w:val="5C1949"/>
          <w:sz w:val="20"/>
        </w:rPr>
        <w:t xml:space="preserve">☐ </w:t>
      </w:r>
      <w:r>
        <w:rPr>
          <w:rFonts w:ascii="Arial" w:hAnsi="Arial" w:eastAsia="Arial"/>
          <w:b w:val="0"/>
          <w:i w:val="0"/>
          <w:color w:val="1A1A1A"/>
          <w:sz w:val="20"/>
        </w:rPr>
        <w:t>Main account records and purposes match the approved code architecture.</w:t>
      </w:r>
    </w:p>
    <w:p w14:paraId="3786AE17">
      <w:r>
        <w:rPr>
          <w:rFonts w:ascii="Arial" w:hAnsi="Arial" w:eastAsia="Arial"/>
          <w:b/>
          <w:i w:val="0"/>
          <w:color w:val="5C1949"/>
          <w:sz w:val="20"/>
        </w:rPr>
        <w:t xml:space="preserve">☐ </w:t>
      </w:r>
      <w:r>
        <w:rPr>
          <w:rFonts w:ascii="Arial" w:hAnsi="Arial" w:eastAsia="Arial"/>
          <w:b w:val="0"/>
          <w:i w:val="0"/>
          <w:color w:val="1A1A1A"/>
          <w:sz w:val="20"/>
        </w:rPr>
        <w:t>Code 1 buyer/seller commissions are separately traceable.</w:t>
      </w:r>
    </w:p>
    <w:p w14:paraId="48C8A5D8">
      <w:r>
        <w:rPr>
          <w:rFonts w:ascii="Arial" w:hAnsi="Arial" w:eastAsia="Arial"/>
          <w:b/>
          <w:i w:val="0"/>
          <w:color w:val="5C1949"/>
          <w:sz w:val="20"/>
        </w:rPr>
        <w:t xml:space="preserve">☐ </w:t>
      </w:r>
      <w:r>
        <w:rPr>
          <w:rFonts w:ascii="Arial" w:hAnsi="Arial" w:eastAsia="Arial"/>
          <w:b w:val="0"/>
          <w:i w:val="0"/>
          <w:color w:val="1A1A1A"/>
          <w:sz w:val="20"/>
        </w:rPr>
        <w:t>Code 2 service receipts are traceable by sub-code and DD IDs.</w:t>
      </w:r>
    </w:p>
    <w:p w14:paraId="1900F3D6">
      <w:r>
        <w:rPr>
          <w:rFonts w:ascii="Arial" w:hAnsi="Arial" w:eastAsia="Arial"/>
          <w:b/>
          <w:i w:val="0"/>
          <w:color w:val="5C1949"/>
          <w:sz w:val="20"/>
        </w:rPr>
        <w:t xml:space="preserve">☐ </w:t>
      </w:r>
      <w:r>
        <w:rPr>
          <w:rFonts w:ascii="Arial" w:hAnsi="Arial" w:eastAsia="Arial"/>
          <w:b w:val="0"/>
          <w:i w:val="0"/>
          <w:color w:val="1A1A1A"/>
          <w:sz w:val="20"/>
        </w:rPr>
        <w:t>Code 3 escrow inflow/outflow uses one official Escrow ID and parent Transaction ID.</w:t>
      </w:r>
    </w:p>
    <w:p w14:paraId="220A8593">
      <w:r>
        <w:rPr>
          <w:rFonts w:ascii="Arial" w:hAnsi="Arial" w:eastAsia="Arial"/>
          <w:b/>
          <w:i w:val="0"/>
          <w:color w:val="5C1949"/>
          <w:sz w:val="20"/>
        </w:rPr>
        <w:t xml:space="preserve">☐ </w:t>
      </w:r>
      <w:r>
        <w:rPr>
          <w:rFonts w:ascii="Arial" w:hAnsi="Arial" w:eastAsia="Arial"/>
          <w:b w:val="0"/>
          <w:i w:val="0"/>
          <w:color w:val="1A1A1A"/>
          <w:sz w:val="20"/>
        </w:rPr>
        <w:t>Code 4 professional commissions are traceable by Professional ID.</w:t>
      </w:r>
    </w:p>
    <w:p w14:paraId="35D1B404">
      <w:r>
        <w:rPr>
          <w:rFonts w:ascii="Arial" w:hAnsi="Arial" w:eastAsia="Arial"/>
          <w:b/>
          <w:i w:val="0"/>
          <w:color w:val="5C1949"/>
          <w:sz w:val="20"/>
        </w:rPr>
        <w:t xml:space="preserve">☐ </w:t>
      </w:r>
      <w:r>
        <w:rPr>
          <w:rFonts w:ascii="Arial" w:hAnsi="Arial" w:eastAsia="Arial"/>
          <w:b w:val="0"/>
          <w:i w:val="0"/>
          <w:color w:val="1A1A1A"/>
          <w:sz w:val="20"/>
        </w:rPr>
        <w:t>Operations accounts are not exposed or used for customer transaction routing.</w:t>
      </w:r>
    </w:p>
    <w:p w14:paraId="736C5CB0">
      <w:r>
        <w:rPr>
          <w:rFonts w:ascii="Arial" w:hAnsi="Arial" w:eastAsia="Arial"/>
          <w:b/>
          <w:i w:val="0"/>
          <w:color w:val="5C1949"/>
          <w:sz w:val="20"/>
        </w:rPr>
        <w:t xml:space="preserve">☐ </w:t>
      </w:r>
      <w:r>
        <w:rPr>
          <w:rFonts w:ascii="Arial" w:hAnsi="Arial" w:eastAsia="Arial"/>
          <w:b w:val="0"/>
          <w:i w:val="0"/>
          <w:color w:val="1A1A1A"/>
          <w:sz w:val="20"/>
        </w:rPr>
        <w:t>VAT is separated, configurable and excluded from escrow principal.</w:t>
      </w:r>
    </w:p>
    <w:p w14:paraId="43FC87B5">
      <w:r>
        <w:rPr>
          <w:rFonts w:ascii="Arial" w:hAnsi="Arial" w:eastAsia="Arial"/>
          <w:b/>
          <w:i w:val="0"/>
          <w:color w:val="5C1949"/>
          <w:sz w:val="20"/>
        </w:rPr>
        <w:t xml:space="preserve">☐ </w:t>
      </w:r>
      <w:r>
        <w:rPr>
          <w:rFonts w:ascii="Arial" w:hAnsi="Arial" w:eastAsia="Arial"/>
          <w:b w:val="0"/>
          <w:i w:val="0"/>
          <w:color w:val="1A1A1A"/>
          <w:sz w:val="20"/>
        </w:rPr>
        <w:t>All required SBR IDs are generated atomically, immutable and linked.</w:t>
      </w:r>
    </w:p>
    <w:p w14:paraId="7FFFFEA5">
      <w:r>
        <w:rPr>
          <w:rFonts w:ascii="Arial" w:hAnsi="Arial" w:eastAsia="Arial"/>
          <w:b/>
          <w:i w:val="0"/>
          <w:color w:val="5C1949"/>
          <w:sz w:val="20"/>
        </w:rPr>
        <w:t xml:space="preserve">☐ </w:t>
      </w:r>
      <w:r>
        <w:rPr>
          <w:rFonts w:ascii="Arial" w:hAnsi="Arial" w:eastAsia="Arial"/>
          <w:b w:val="0"/>
          <w:i w:val="0"/>
          <w:color w:val="1A1A1A"/>
          <w:sz w:val="20"/>
        </w:rPr>
        <w:t>Every financial event has an audit trail and balanced accounting treatment.</w:t>
      </w:r>
    </w:p>
    <w:p w14:paraId="5154938C">
      <w:r>
        <w:rPr>
          <w:rFonts w:ascii="Arial" w:hAnsi="Arial" w:eastAsia="Arial"/>
          <w:b/>
          <w:i w:val="0"/>
          <w:color w:val="5C1949"/>
          <w:sz w:val="20"/>
        </w:rPr>
        <w:t xml:space="preserve">☐ </w:t>
      </w:r>
      <w:r>
        <w:rPr>
          <w:rFonts w:ascii="Arial" w:hAnsi="Arial" w:eastAsia="Arial"/>
          <w:b w:val="0"/>
          <w:i w:val="0"/>
          <w:color w:val="1A1A1A"/>
          <w:sz w:val="20"/>
        </w:rPr>
        <w:t>Reconciliation, role restrictions and mandatory UAT scenarios pass.</w:t>
      </w:r>
    </w:p>
    <w:p w14:paraId="30EA4ADE">
      <w:pPr>
        <w:pStyle w:val="2"/>
        <w:keepNext/>
        <w:pageBreakBefore w:val="0"/>
      </w:pPr>
      <w:r>
        <w:t>Adoption Statement</w:t>
      </w:r>
    </w:p>
    <w:p w14:paraId="121A2168">
      <w:pPr>
        <w:pStyle w:val="13"/>
        <w:spacing w:before="0" w:after="120" w:line="269" w:lineRule="auto"/>
      </w:pPr>
      <w:r>
        <w:rPr>
          <w:rFonts w:ascii="Arial" w:hAnsi="Arial" w:eastAsia="Arial"/>
          <w:color w:val="1A1A1A"/>
          <w:sz w:val="20"/>
        </w:rPr>
        <w:t>Upon approval, this specification becomes the development baseline for financial governance in the SafeBuy Realties website. The development team must not materially alter the account-code model, escrow sub-ledger design, VAT treatment or official ID formats without documented review and approval by the responsible SafeBuy functions.</w:t>
      </w:r>
    </w:p>
    <w:p w14:paraId="2F8DC0BB">
      <w:pPr>
        <w:pStyle w:val="3"/>
        <w:keepNext/>
        <w:pageBreakBefore w:val="0"/>
      </w:pPr>
      <w:r>
        <w:t>Final Approval and Handover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7C76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72" w:type="dxa"/>
            <w:shd w:val="clear" w:color="auto" w:fill="5C1949"/>
            <w:tcMar>
              <w:top w:w="100" w:type="dxa"/>
              <w:left w:w="120" w:type="dxa"/>
              <w:bottom w:w="100" w:type="dxa"/>
              <w:right w:w="120" w:type="dxa"/>
            </w:tcMar>
            <w:vAlign w:val="center"/>
          </w:tcPr>
          <w:p w14:paraId="49904664">
            <w:pPr>
              <w:keepLines/>
              <w:spacing w:before="0" w:after="0" w:line="240" w:lineRule="auto"/>
              <w:jc w:val="center"/>
            </w:pPr>
            <w:r>
              <w:rPr>
                <w:rFonts w:ascii="Arial" w:hAnsi="Arial" w:eastAsia="Arial"/>
                <w:b/>
                <w:color w:val="FFFFFF"/>
                <w:sz w:val="17"/>
              </w:rPr>
              <w:t>Approval role</w:t>
            </w:r>
          </w:p>
        </w:tc>
        <w:tc>
          <w:tcPr>
            <w:tcW w:w="4176" w:type="dxa"/>
            <w:shd w:val="clear" w:color="auto" w:fill="5C1949"/>
            <w:tcMar>
              <w:top w:w="100" w:type="dxa"/>
              <w:left w:w="120" w:type="dxa"/>
              <w:bottom w:w="100" w:type="dxa"/>
              <w:right w:w="120" w:type="dxa"/>
            </w:tcMar>
            <w:vAlign w:val="center"/>
          </w:tcPr>
          <w:p w14:paraId="140BE8D2">
            <w:pPr>
              <w:keepLines/>
              <w:spacing w:before="0" w:after="0" w:line="240" w:lineRule="auto"/>
              <w:jc w:val="center"/>
            </w:pPr>
            <w:r>
              <w:rPr>
                <w:rFonts w:ascii="Arial" w:hAnsi="Arial" w:eastAsia="Arial"/>
                <w:b/>
                <w:color w:val="FFFFFF"/>
                <w:sz w:val="17"/>
              </w:rPr>
              <w:t>Name / signature</w:t>
            </w:r>
          </w:p>
        </w:tc>
        <w:tc>
          <w:tcPr>
            <w:tcW w:w="1944" w:type="dxa"/>
            <w:shd w:val="clear" w:color="auto" w:fill="5C1949"/>
            <w:tcMar>
              <w:top w:w="100" w:type="dxa"/>
              <w:left w:w="120" w:type="dxa"/>
              <w:bottom w:w="100" w:type="dxa"/>
              <w:right w:w="120" w:type="dxa"/>
            </w:tcMar>
            <w:vAlign w:val="center"/>
          </w:tcPr>
          <w:p w14:paraId="5FC93EA5">
            <w:pPr>
              <w:keepLines/>
              <w:spacing w:before="0" w:after="0" w:line="240" w:lineRule="auto"/>
              <w:jc w:val="center"/>
            </w:pPr>
            <w:r>
              <w:rPr>
                <w:rFonts w:ascii="Arial" w:hAnsi="Arial" w:eastAsia="Arial"/>
                <w:b/>
                <w:color w:val="FFFFFF"/>
                <w:sz w:val="17"/>
              </w:rPr>
              <w:t>Date</w:t>
            </w:r>
          </w:p>
        </w:tc>
      </w:tr>
      <w:tr w14:paraId="74EF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72" w:type="dxa"/>
            <w:tcMar>
              <w:top w:w="90" w:type="dxa"/>
              <w:left w:w="120" w:type="dxa"/>
              <w:bottom w:w="90" w:type="dxa"/>
              <w:right w:w="120" w:type="dxa"/>
            </w:tcMar>
            <w:vAlign w:val="center"/>
          </w:tcPr>
          <w:p w14:paraId="44E65A12">
            <w:pPr>
              <w:keepLines/>
              <w:spacing w:before="0" w:after="0" w:line="240" w:lineRule="auto"/>
              <w:jc w:val="center"/>
            </w:pPr>
            <w:r>
              <w:rPr>
                <w:rFonts w:ascii="Arial" w:hAnsi="Arial" w:eastAsia="Arial"/>
                <w:b w:val="0"/>
                <w:color w:val="1A1A1A"/>
                <w:sz w:val="17"/>
              </w:rPr>
              <w:t>GM, Finance &amp; Accounts</w:t>
            </w:r>
          </w:p>
        </w:tc>
        <w:tc>
          <w:tcPr>
            <w:tcW w:w="4176" w:type="dxa"/>
            <w:tcMar>
              <w:top w:w="90" w:type="dxa"/>
              <w:left w:w="120" w:type="dxa"/>
              <w:bottom w:w="90" w:type="dxa"/>
              <w:right w:w="120" w:type="dxa"/>
            </w:tcMar>
            <w:vAlign w:val="center"/>
          </w:tcPr>
          <w:p w14:paraId="5665C9D2">
            <w:pPr>
              <w:keepLines/>
              <w:spacing w:before="0" w:after="0" w:line="240" w:lineRule="auto"/>
              <w:jc w:val="left"/>
            </w:pPr>
          </w:p>
        </w:tc>
        <w:tc>
          <w:tcPr>
            <w:tcW w:w="1944" w:type="dxa"/>
            <w:tcMar>
              <w:top w:w="90" w:type="dxa"/>
              <w:left w:w="120" w:type="dxa"/>
              <w:bottom w:w="90" w:type="dxa"/>
              <w:right w:w="120" w:type="dxa"/>
            </w:tcMar>
            <w:vAlign w:val="center"/>
          </w:tcPr>
          <w:p w14:paraId="6069784C">
            <w:pPr>
              <w:keepLines/>
              <w:spacing w:before="0" w:after="0" w:line="240" w:lineRule="auto"/>
              <w:jc w:val="left"/>
            </w:pPr>
          </w:p>
        </w:tc>
      </w:tr>
      <w:tr w14:paraId="2762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72" w:type="dxa"/>
            <w:shd w:val="clear" w:color="auto" w:fill="FBFBFB"/>
            <w:tcMar>
              <w:top w:w="90" w:type="dxa"/>
              <w:left w:w="120" w:type="dxa"/>
              <w:bottom w:w="90" w:type="dxa"/>
              <w:right w:w="120" w:type="dxa"/>
            </w:tcMar>
            <w:vAlign w:val="center"/>
          </w:tcPr>
          <w:p w14:paraId="073CF5A5">
            <w:pPr>
              <w:keepLines/>
              <w:spacing w:before="0" w:after="0" w:line="240" w:lineRule="auto"/>
              <w:jc w:val="center"/>
            </w:pPr>
            <w:r>
              <w:rPr>
                <w:rFonts w:ascii="Arial" w:hAnsi="Arial" w:eastAsia="Arial"/>
                <w:b w:val="0"/>
                <w:color w:val="1A1A1A"/>
                <w:sz w:val="17"/>
              </w:rPr>
              <w:t>COO / Operations Owner</w:t>
            </w:r>
          </w:p>
        </w:tc>
        <w:tc>
          <w:tcPr>
            <w:tcW w:w="4176" w:type="dxa"/>
            <w:shd w:val="clear" w:color="auto" w:fill="FBFBFB"/>
            <w:tcMar>
              <w:top w:w="90" w:type="dxa"/>
              <w:left w:w="120" w:type="dxa"/>
              <w:bottom w:w="90" w:type="dxa"/>
              <w:right w:w="120" w:type="dxa"/>
            </w:tcMar>
            <w:vAlign w:val="center"/>
          </w:tcPr>
          <w:p w14:paraId="2D85BFAF">
            <w:pPr>
              <w:keepLines/>
              <w:spacing w:before="0" w:after="0" w:line="240" w:lineRule="auto"/>
              <w:jc w:val="left"/>
            </w:pPr>
          </w:p>
        </w:tc>
        <w:tc>
          <w:tcPr>
            <w:tcW w:w="1944" w:type="dxa"/>
            <w:shd w:val="clear" w:color="auto" w:fill="FBFBFB"/>
            <w:tcMar>
              <w:top w:w="90" w:type="dxa"/>
              <w:left w:w="120" w:type="dxa"/>
              <w:bottom w:w="90" w:type="dxa"/>
              <w:right w:w="120" w:type="dxa"/>
            </w:tcMar>
            <w:vAlign w:val="center"/>
          </w:tcPr>
          <w:p w14:paraId="695052D2">
            <w:pPr>
              <w:keepLines/>
              <w:spacing w:before="0" w:after="0" w:line="240" w:lineRule="auto"/>
              <w:jc w:val="left"/>
            </w:pPr>
          </w:p>
        </w:tc>
      </w:tr>
      <w:tr w14:paraId="6AA3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72" w:type="dxa"/>
            <w:tcMar>
              <w:top w:w="90" w:type="dxa"/>
              <w:left w:w="120" w:type="dxa"/>
              <w:bottom w:w="90" w:type="dxa"/>
              <w:right w:w="120" w:type="dxa"/>
            </w:tcMar>
            <w:vAlign w:val="center"/>
          </w:tcPr>
          <w:p w14:paraId="79C28E0D">
            <w:pPr>
              <w:keepLines/>
              <w:spacing w:before="0" w:after="0" w:line="240" w:lineRule="auto"/>
              <w:jc w:val="center"/>
            </w:pPr>
            <w:r>
              <w:rPr>
                <w:rFonts w:ascii="Arial" w:hAnsi="Arial" w:eastAsia="Arial"/>
                <w:b w:val="0"/>
                <w:color w:val="1A1A1A"/>
                <w:sz w:val="17"/>
              </w:rPr>
              <w:t>GM, Legal &amp; Compliance</w:t>
            </w:r>
          </w:p>
        </w:tc>
        <w:tc>
          <w:tcPr>
            <w:tcW w:w="4176" w:type="dxa"/>
            <w:tcMar>
              <w:top w:w="90" w:type="dxa"/>
              <w:left w:w="120" w:type="dxa"/>
              <w:bottom w:w="90" w:type="dxa"/>
              <w:right w:w="120" w:type="dxa"/>
            </w:tcMar>
            <w:vAlign w:val="center"/>
          </w:tcPr>
          <w:p w14:paraId="62F95359">
            <w:pPr>
              <w:keepLines/>
              <w:spacing w:before="0" w:after="0" w:line="240" w:lineRule="auto"/>
              <w:jc w:val="left"/>
            </w:pPr>
          </w:p>
        </w:tc>
        <w:tc>
          <w:tcPr>
            <w:tcW w:w="1944" w:type="dxa"/>
            <w:tcMar>
              <w:top w:w="90" w:type="dxa"/>
              <w:left w:w="120" w:type="dxa"/>
              <w:bottom w:w="90" w:type="dxa"/>
              <w:right w:w="120" w:type="dxa"/>
            </w:tcMar>
            <w:vAlign w:val="center"/>
          </w:tcPr>
          <w:p w14:paraId="714B6CCC">
            <w:pPr>
              <w:keepLines/>
              <w:spacing w:before="0" w:after="0" w:line="240" w:lineRule="auto"/>
              <w:jc w:val="left"/>
            </w:pPr>
          </w:p>
        </w:tc>
      </w:tr>
      <w:tr w14:paraId="2B2C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72" w:type="dxa"/>
            <w:shd w:val="clear" w:color="auto" w:fill="FBFBFB"/>
            <w:tcMar>
              <w:top w:w="90" w:type="dxa"/>
              <w:left w:w="120" w:type="dxa"/>
              <w:bottom w:w="90" w:type="dxa"/>
              <w:right w:w="120" w:type="dxa"/>
            </w:tcMar>
            <w:vAlign w:val="center"/>
          </w:tcPr>
          <w:p w14:paraId="27D18D78">
            <w:pPr>
              <w:keepLines/>
              <w:spacing w:before="0" w:after="0" w:line="240" w:lineRule="auto"/>
              <w:jc w:val="center"/>
            </w:pPr>
            <w:r>
              <w:rPr>
                <w:rFonts w:ascii="Arial" w:hAnsi="Arial" w:eastAsia="Arial"/>
                <w:b w:val="0"/>
                <w:color w:val="1A1A1A"/>
                <w:sz w:val="17"/>
              </w:rPr>
              <w:t>Technical Lead / Development Team</w:t>
            </w:r>
          </w:p>
        </w:tc>
        <w:tc>
          <w:tcPr>
            <w:tcW w:w="4176" w:type="dxa"/>
            <w:shd w:val="clear" w:color="auto" w:fill="FBFBFB"/>
            <w:tcMar>
              <w:top w:w="90" w:type="dxa"/>
              <w:left w:w="120" w:type="dxa"/>
              <w:bottom w:w="90" w:type="dxa"/>
              <w:right w:w="120" w:type="dxa"/>
            </w:tcMar>
            <w:vAlign w:val="center"/>
          </w:tcPr>
          <w:p w14:paraId="45828005">
            <w:pPr>
              <w:keepLines/>
              <w:spacing w:before="0" w:after="0" w:line="240" w:lineRule="auto"/>
              <w:jc w:val="left"/>
            </w:pPr>
          </w:p>
        </w:tc>
        <w:tc>
          <w:tcPr>
            <w:tcW w:w="1944" w:type="dxa"/>
            <w:shd w:val="clear" w:color="auto" w:fill="FBFBFB"/>
            <w:tcMar>
              <w:top w:w="90" w:type="dxa"/>
              <w:left w:w="120" w:type="dxa"/>
              <w:bottom w:w="90" w:type="dxa"/>
              <w:right w:w="120" w:type="dxa"/>
            </w:tcMar>
            <w:vAlign w:val="center"/>
          </w:tcPr>
          <w:p w14:paraId="201CE014">
            <w:pPr>
              <w:keepLines/>
              <w:spacing w:before="0" w:after="0" w:line="240" w:lineRule="auto"/>
              <w:jc w:val="left"/>
            </w:pPr>
          </w:p>
        </w:tc>
      </w:tr>
      <w:tr w14:paraId="2F61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72" w:type="dxa"/>
            <w:tcMar>
              <w:top w:w="90" w:type="dxa"/>
              <w:left w:w="120" w:type="dxa"/>
              <w:bottom w:w="90" w:type="dxa"/>
              <w:right w:w="120" w:type="dxa"/>
            </w:tcMar>
            <w:vAlign w:val="center"/>
          </w:tcPr>
          <w:p w14:paraId="057FD3BB">
            <w:pPr>
              <w:keepLines/>
              <w:spacing w:before="0" w:after="0" w:line="240" w:lineRule="auto"/>
              <w:jc w:val="center"/>
            </w:pPr>
            <w:r>
              <w:rPr>
                <w:rFonts w:ascii="Arial" w:hAnsi="Arial" w:eastAsia="Arial"/>
                <w:b w:val="0"/>
                <w:color w:val="1A1A1A"/>
                <w:sz w:val="17"/>
              </w:rPr>
              <w:t>MD/CEO - Final Approval</w:t>
            </w:r>
          </w:p>
        </w:tc>
        <w:tc>
          <w:tcPr>
            <w:tcW w:w="4176" w:type="dxa"/>
            <w:tcMar>
              <w:top w:w="90" w:type="dxa"/>
              <w:left w:w="120" w:type="dxa"/>
              <w:bottom w:w="90" w:type="dxa"/>
              <w:right w:w="120" w:type="dxa"/>
            </w:tcMar>
            <w:vAlign w:val="center"/>
          </w:tcPr>
          <w:p w14:paraId="7D64A386">
            <w:pPr>
              <w:keepLines/>
              <w:spacing w:before="0" w:after="0" w:line="240" w:lineRule="auto"/>
              <w:jc w:val="left"/>
            </w:pPr>
          </w:p>
        </w:tc>
        <w:tc>
          <w:tcPr>
            <w:tcW w:w="1944" w:type="dxa"/>
            <w:tcMar>
              <w:top w:w="90" w:type="dxa"/>
              <w:left w:w="120" w:type="dxa"/>
              <w:bottom w:w="90" w:type="dxa"/>
              <w:right w:w="120" w:type="dxa"/>
            </w:tcMar>
            <w:vAlign w:val="center"/>
          </w:tcPr>
          <w:p w14:paraId="6E72C3BD">
            <w:pPr>
              <w:keepLines/>
              <w:spacing w:before="0" w:after="0" w:line="240" w:lineRule="auto"/>
              <w:jc w:val="left"/>
            </w:pPr>
          </w:p>
        </w:tc>
      </w:tr>
    </w:tbl>
    <w:p w14:paraId="47A8487D">
      <w:pPr>
        <w:spacing w:after="20"/>
      </w:pPr>
    </w:p>
    <w:p w14:paraId="0F03C09B">
      <w:pPr>
        <w:pStyle w:val="3"/>
        <w:keepNext/>
        <w:pageBreakBefore w:val="0"/>
      </w:pPr>
      <w:r>
        <w:t>Release Authorisation Conditions</w:t>
      </w:r>
    </w:p>
    <w:p w14:paraId="3968E73B">
      <w:r>
        <w:rPr>
          <w:rFonts w:ascii="Arial" w:hAnsi="Arial" w:eastAsia="Arial"/>
          <w:b/>
          <w:i w:val="0"/>
          <w:color w:val="5C1949"/>
          <w:sz w:val="20"/>
        </w:rPr>
        <w:t xml:space="preserve">☐ </w:t>
      </w:r>
      <w:r>
        <w:rPr>
          <w:rFonts w:ascii="Arial" w:hAnsi="Arial" w:eastAsia="Arial"/>
          <w:b w:val="0"/>
          <w:i w:val="0"/>
          <w:color w:val="1A1A1A"/>
          <w:sz w:val="20"/>
        </w:rPr>
        <w:t>The account codes, escrow model, VAT treatment and SBR ID formats have been configured as specified.</w:t>
      </w:r>
    </w:p>
    <w:p w14:paraId="27D22E09">
      <w:r>
        <w:rPr>
          <w:rFonts w:ascii="Arial" w:hAnsi="Arial" w:eastAsia="Arial"/>
          <w:b/>
          <w:i w:val="0"/>
          <w:color w:val="5C1949"/>
          <w:sz w:val="20"/>
        </w:rPr>
        <w:t xml:space="preserve">☐ </w:t>
      </w:r>
      <w:r>
        <w:rPr>
          <w:rFonts w:ascii="Arial" w:hAnsi="Arial" w:eastAsia="Arial"/>
          <w:b w:val="0"/>
          <w:i w:val="0"/>
          <w:color w:val="1A1A1A"/>
          <w:sz w:val="20"/>
        </w:rPr>
        <w:t>The role matrix, approval limits and segregation of duties have been tested.</w:t>
      </w:r>
    </w:p>
    <w:p w14:paraId="3A786CF3">
      <w:r>
        <w:rPr>
          <w:rFonts w:ascii="Arial" w:hAnsi="Arial" w:eastAsia="Arial"/>
          <w:b/>
          <w:i w:val="0"/>
          <w:color w:val="5C1949"/>
          <w:sz w:val="20"/>
        </w:rPr>
        <w:t xml:space="preserve">☐ </w:t>
      </w:r>
      <w:r>
        <w:rPr>
          <w:rFonts w:ascii="Arial" w:hAnsi="Arial" w:eastAsia="Arial"/>
          <w:b w:val="0"/>
          <w:i w:val="0"/>
          <w:color w:val="1A1A1A"/>
          <w:sz w:val="20"/>
        </w:rPr>
        <w:t>All mandatory financial and escrow UAT scenarios have passed with evidence.</w:t>
      </w:r>
    </w:p>
    <w:p w14:paraId="63E1BEA0">
      <w:r>
        <w:rPr>
          <w:rFonts w:ascii="Arial" w:hAnsi="Arial" w:eastAsia="Arial"/>
          <w:b/>
          <w:i w:val="0"/>
          <w:color w:val="5C1949"/>
          <w:sz w:val="20"/>
        </w:rPr>
        <w:t xml:space="preserve">☐ </w:t>
      </w:r>
      <w:r>
        <w:rPr>
          <w:rFonts w:ascii="Arial" w:hAnsi="Arial" w:eastAsia="Arial"/>
          <w:b w:val="0"/>
          <w:i w:val="0"/>
          <w:color w:val="1A1A1A"/>
          <w:sz w:val="20"/>
        </w:rPr>
        <w:t>Reconciliation, backup, recovery and operational support procedures have been accepted.</w:t>
      </w:r>
    </w:p>
    <w:p w14:paraId="2C275627">
      <w:r>
        <w:rPr>
          <w:rFonts w:ascii="Arial" w:hAnsi="Arial" w:eastAsia="Arial"/>
          <w:b/>
          <w:i w:val="0"/>
          <w:color w:val="5C1949"/>
          <w:sz w:val="20"/>
        </w:rPr>
        <w:t xml:space="preserve">☐ </w:t>
      </w:r>
      <w:r>
        <w:rPr>
          <w:rFonts w:ascii="Arial" w:hAnsi="Arial" w:eastAsia="Arial"/>
          <w:b w:val="0"/>
          <w:i w:val="0"/>
          <w:color w:val="1A1A1A"/>
          <w:sz w:val="20"/>
        </w:rPr>
        <w:t>Production activation has received formal business, finance, legal/compliance and technical approval.</w:t>
      </w:r>
    </w:p>
    <w:tbl>
      <w:tblPr>
        <w:tblStyle w:val="12"/>
        <w:tblW w:w="0" w:type="auto"/>
        <w:jc w:val="center"/>
        <w:tblLayout w:type="fixed"/>
        <w:tblCellMar>
          <w:top w:w="0" w:type="dxa"/>
          <w:left w:w="108" w:type="dxa"/>
          <w:bottom w:w="0" w:type="dxa"/>
          <w:right w:w="108" w:type="dxa"/>
        </w:tblCellMar>
      </w:tblPr>
      <w:tblGrid>
        <w:gridCol w:w="10080"/>
      </w:tblGrid>
      <w:tr w14:paraId="169A64BE">
        <w:tblPrEx>
          <w:tblCellMar>
            <w:top w:w="0" w:type="dxa"/>
            <w:left w:w="108" w:type="dxa"/>
            <w:bottom w:w="0" w:type="dxa"/>
            <w:right w:w="108" w:type="dxa"/>
          </w:tblCellMar>
        </w:tblPrEx>
        <w:trPr>
          <w:jc w:val="center"/>
        </w:trPr>
        <w:tc>
          <w:tcPr>
            <w:tcW w:w="10166" w:type="dxa"/>
            <w:tcBorders>
              <w:top w:val="single" w:color="0F6B77" w:sz="10" w:space="0"/>
              <w:left w:val="single" w:color="0F6B77" w:sz="10" w:space="0"/>
              <w:bottom w:val="single" w:color="0F6B77" w:sz="10" w:space="0"/>
              <w:right w:val="single" w:color="0F6B77" w:sz="10" w:space="0"/>
            </w:tcBorders>
            <w:shd w:val="clear" w:color="auto" w:fill="E8F3F4"/>
            <w:tcMar>
              <w:top w:w="140" w:type="dxa"/>
              <w:left w:w="180" w:type="dxa"/>
              <w:bottom w:w="140" w:type="dxa"/>
              <w:right w:w="180" w:type="dxa"/>
            </w:tcMar>
          </w:tcPr>
          <w:p w14:paraId="6E3D8DCA">
            <w:pPr>
              <w:keepLines/>
              <w:spacing w:before="0" w:after="60" w:line="252" w:lineRule="auto"/>
            </w:pPr>
            <w:r>
              <w:rPr>
                <w:rFonts w:ascii="Arial" w:hAnsi="Arial" w:eastAsia="Arial"/>
                <w:b/>
                <w:i w:val="0"/>
                <w:color w:val="5C1949"/>
                <w:sz w:val="20"/>
              </w:rPr>
              <w:t>Document status after approval</w:t>
            </w:r>
          </w:p>
          <w:p w14:paraId="461B231F">
            <w:pPr>
              <w:keepLines/>
              <w:spacing w:before="0" w:after="0" w:line="259" w:lineRule="auto"/>
            </w:pPr>
            <w:r>
              <w:rPr>
                <w:rFonts w:ascii="Arial" w:hAnsi="Arial" w:eastAsia="Arial"/>
                <w:b w:val="0"/>
                <w:i w:val="0"/>
                <w:color w:val="1A1A1A"/>
                <w:sz w:val="19"/>
              </w:rPr>
              <w:t>Approved for implementation. Any subsequent change must be issued through controlled versioning, impact assessment and re-approval.</w:t>
            </w:r>
          </w:p>
        </w:tc>
      </w:tr>
    </w:tbl>
    <w:p w14:paraId="790A33FF">
      <w:pPr>
        <w:spacing w:after="20"/>
      </w:pPr>
    </w:p>
    <w:sectPr>
      <w:pgSz w:w="12240" w:h="15840"/>
      <w:pgMar w:top="979" w:right="1037" w:bottom="936" w:left="1037" w:header="403"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2FF" w:usb1="400004FF" w:usb2="00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2E7B">
    <w:pPr>
      <w:pStyle w:val="18"/>
    </w:pPr>
  </w:p>
  <w:tbl>
    <w:tblPr>
      <w:tblStyle w:val="12"/>
      <w:tblW w:w="0" w:type="auto"/>
      <w:jc w:val="center"/>
      <w:tblLayout w:type="autofit"/>
      <w:tblCellMar>
        <w:top w:w="0" w:type="dxa"/>
        <w:left w:w="108" w:type="dxa"/>
        <w:bottom w:w="0" w:type="dxa"/>
        <w:right w:w="108" w:type="dxa"/>
      </w:tblCellMar>
    </w:tblPr>
    <w:tblGrid>
      <w:gridCol w:w="3312"/>
      <w:gridCol w:w="3312"/>
      <w:gridCol w:w="2880"/>
    </w:tblGrid>
    <w:tr w14:paraId="1497CDB8">
      <w:tblPrEx>
        <w:tblCellMar>
          <w:top w:w="0" w:type="dxa"/>
          <w:left w:w="108" w:type="dxa"/>
          <w:bottom w:w="0" w:type="dxa"/>
          <w:right w:w="108" w:type="dxa"/>
        </w:tblCellMar>
      </w:tblPrEx>
      <w:trPr>
        <w:jc w:val="center"/>
      </w:trPr>
      <w:tc>
        <w:tcPr>
          <w:tcW w:w="3312" w:type="dxa"/>
          <w:tcBorders>
            <w:top w:val="nil"/>
            <w:left w:val="nil"/>
            <w:bottom w:val="nil"/>
            <w:right w:val="nil"/>
          </w:tcBorders>
          <w:tcMar>
            <w:top w:w="0" w:type="dxa"/>
            <w:left w:w="0" w:type="dxa"/>
            <w:bottom w:w="0" w:type="dxa"/>
            <w:right w:w="0" w:type="dxa"/>
          </w:tcMar>
        </w:tcPr>
        <w:p w14:paraId="4F3D1652">
          <w:pPr>
            <w:spacing w:before="0" w:after="0" w:line="240" w:lineRule="auto"/>
          </w:pPr>
          <w:r>
            <w:rPr>
              <w:rFonts w:ascii="Arial" w:hAnsi="Arial" w:eastAsia="Arial"/>
              <w:color w:val="666666"/>
              <w:sz w:val="14"/>
            </w:rPr>
            <w:t>SBR-FIN-DEV-SPEC-20260803-V1.5</w:t>
          </w:r>
        </w:p>
      </w:tc>
      <w:tc>
        <w:tcPr>
          <w:tcW w:w="3312" w:type="dxa"/>
          <w:tcBorders>
            <w:top w:val="nil"/>
            <w:left w:val="nil"/>
            <w:bottom w:val="nil"/>
            <w:right w:val="nil"/>
          </w:tcBorders>
          <w:tcMar>
            <w:top w:w="0" w:type="dxa"/>
            <w:left w:w="0" w:type="dxa"/>
            <w:bottom w:w="0" w:type="dxa"/>
            <w:right w:w="0" w:type="dxa"/>
          </w:tcMar>
        </w:tcPr>
        <w:p w14:paraId="46CFDE47">
          <w:pPr>
            <w:spacing w:before="0" w:after="0" w:line="240" w:lineRule="auto"/>
            <w:jc w:val="center"/>
          </w:pPr>
          <w:r>
            <w:rPr>
              <w:rFonts w:ascii="Arial" w:hAnsi="Arial" w:eastAsia="Arial"/>
              <w:color w:val="666666"/>
              <w:sz w:val="14"/>
            </w:rPr>
            <w:t>Internal Development Baseline</w:t>
          </w:r>
        </w:p>
      </w:tc>
      <w:tc>
        <w:tcPr>
          <w:tcW w:w="2880" w:type="dxa"/>
          <w:tcBorders>
            <w:top w:val="nil"/>
            <w:left w:val="nil"/>
            <w:bottom w:val="nil"/>
            <w:right w:val="nil"/>
          </w:tcBorders>
          <w:tcMar>
            <w:top w:w="0" w:type="dxa"/>
            <w:left w:w="0" w:type="dxa"/>
            <w:bottom w:w="0" w:type="dxa"/>
            <w:right w:w="0" w:type="dxa"/>
          </w:tcMar>
        </w:tcPr>
        <w:p w14:paraId="64C23CF2">
          <w:pPr>
            <w:jc w:val="right"/>
          </w:pPr>
          <w:r>
            <w:rPr>
              <w:rFonts w:ascii="Arial" w:hAnsi="Arial" w:eastAsia="Arial"/>
              <w:color w:val="666666"/>
              <w:sz w:val="16"/>
            </w:rPr>
            <w:fldChar w:fldCharType="begin"/>
          </w:r>
          <w:r>
            <w:rPr>
              <w:rFonts w:ascii="Arial" w:hAnsi="Arial" w:eastAsia="Arial"/>
              <w:color w:val="666666"/>
              <w:sz w:val="16"/>
            </w:rPr>
            <w:instrText xml:space="preserve"> PAGE </w:instrText>
          </w:r>
          <w:r>
            <w:rPr>
              <w:rFonts w:ascii="Arial" w:hAnsi="Arial" w:eastAsia="Arial"/>
              <w:color w:val="666666"/>
              <w:sz w:val="16"/>
            </w:rPr>
            <w:fldChar w:fldCharType="end"/>
          </w:r>
        </w:p>
      </w:tc>
    </w:tr>
  </w:tbl>
  <w:p w14:paraId="1C0D3D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CB14C">
    <w:pPr>
      <w:pStyle w:val="19"/>
      <w:spacing w:before="0" w:after="0" w:line="240" w:lineRule="auto"/>
      <w:jc w:val="left"/>
    </w:pPr>
    <w:r>
      <w:rPr>
        <w:rFonts w:ascii="Arial" w:hAnsi="Arial" w:eastAsia="Arial"/>
        <w:b/>
        <w:color w:val="5C1949"/>
        <w:sz w:val="15"/>
      </w:rPr>
      <w:t>SAFEBUY REALTIES | FINANCIAL GOVERNANCE DEVELOPER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C42E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Arial" w:hAnsi="Arial" w:eastAsiaTheme="minorEastAsia" w:cstheme="minorBidi"/>
      <w:color w:val="1A1A1A"/>
      <w:sz w:val="20"/>
      <w:szCs w:val="22"/>
      <w:lang w:val="en-US" w:eastAsia="en-US" w:bidi="ar-SA"/>
    </w:rPr>
  </w:style>
  <w:style w:type="paragraph" w:styleId="2">
    <w:name w:val="heading 1"/>
    <w:basedOn w:val="1"/>
    <w:next w:val="1"/>
    <w:link w:val="138"/>
    <w:qFormat/>
    <w:uiPriority w:val="9"/>
    <w:pPr>
      <w:keepNext/>
      <w:keepLines/>
      <w:spacing w:before="260" w:after="100"/>
      <w:outlineLvl w:val="0"/>
    </w:pPr>
    <w:rPr>
      <w:rFonts w:asciiTheme="majorHAnsi" w:hAnsiTheme="majorHAnsi" w:eastAsiaTheme="majorEastAsia" w:cstheme="majorBidi"/>
      <w:b/>
      <w:bCs/>
      <w:color w:val="5C1949"/>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F6B77"/>
      <w:sz w:val="25"/>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5C1949"/>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line="269" w:lineRule="auto"/>
    </w:pPr>
    <w:rPr>
      <w:rFonts w:ascii="Arial" w:hAnsi="Arial"/>
      <w:color w:val="1A1A1A"/>
      <w:sz w:val="20"/>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200" w:after="100" w:line="240" w:lineRule="auto"/>
      <w:contextualSpacing/>
    </w:pPr>
    <w:rPr>
      <w:rFonts w:asciiTheme="majorHAnsi" w:hAnsiTheme="majorHAnsi" w:eastAsiaTheme="majorEastAsia" w:cstheme="majorBidi"/>
      <w:b/>
      <w:color w:val="5C1949"/>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SafeBuy Realties International Limited</dc:creator>
  <dc:description>generated by python-docx</dc:description>
  <cp:keywords>SafeBuy, financial governance, escrow, VAT, account codes, IDs, developer specification</cp:keywords>
  <cp:lastModifiedBy>LANRE</cp:lastModifiedBy>
  <dcterms:modified xsi:type="dcterms:W3CDTF">2026-08-03T16:04:18Z</dcterms:modified>
  <dc:subject>Core Account Codes, Escrow, VAT, Transaction IDs and Website Controls</dc:subject>
  <dc:title>SafeBuy Financial Governance Developer Implementation Specification v1.5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eyJoZGlkIjoiZGE4YTkzMjYwY2VmZmRlZWIxNzA4ZmRiMWMwZjEyZDIifQ==</vt:lpwstr>
  </property>
  <property fmtid="{D5CDD505-2E9C-101B-9397-08002B2CF9AE}" pid="3" name="KSOProductBuildVer">
    <vt:lpwstr>1033-12.1.0.28032</vt:lpwstr>
  </property>
  <property fmtid="{D5CDD505-2E9C-101B-9397-08002B2CF9AE}" pid="4" name="ICV">
    <vt:lpwstr>F0CD94D3C59F42D5B2E85A5F792187B9_13</vt:lpwstr>
  </property>
</Properties>
</file>