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Confirmation that the sending domain sits under safebuyrealtiesltd.com.</w:t>
            </w:r>
          </w:p>
          <w:p>
            <w:pPr>
              <w:spacing w:after="40" w:before="0"/>
            </w:pPr>
            <w:r>
              <w:rPr>
                <w:b w:val="0"/>
                <w:i/>
                <w:color w:val="5A5A5A"/>
                <w:sz w:val="17"/>
              </w:rPr>
              <w:t>Format: yes, or the domain you are using instead and why. EXT-12 answered the canonical domain on 6 August and this row stopped being a wait. The answer is www.safebuyrealtiesltd.com, held in a company-controlled account with the registrar, DNS, certificates, renewal billing and recovery credentials under MD/CEO and authorised administrator oversight. The same answer instructs that safebuyrealties.com must not be printed on instruments unless Management separately confirms ownership. A sending domain under anything else now needs a reason, which is the reverse of where this row stood that morning.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Who holds the registrar account for that domain, by name.</w:t>
            </w:r>
          </w:p>
          <w:p>
            <w:pPr>
              <w:spacing w:after="40" w:before="0"/>
            </w:pPr>
            <w:r>
              <w:rPr>
                <w:b w:val="0"/>
                <w:i/>
                <w:color w:val="5A5A5A"/>
                <w:sz w:val="17"/>
              </w:rPr>
              <w:t>Format: full name, role, and the organisation the account is registered to. The EXT-12 answer makes company control of the registrar account a requirement rather than a detail, and mail authentication is published from exactly that account.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which is / is not under safebuyrealtiesltd.com. The registrar</w:t>
            </w:r>
          </w:p>
        </w:tc>
      </w:tr>
      <w:tr>
        <w:tc>
          <w:tcPr>
            <w:tcW w:type="dxa" w:w="9298"/>
            <w:shd w:val="clear" w:fill="F7F7F7"/>
          </w:tcPr>
          <w:p>
            <w:pPr>
              <w:spacing w:after="40" w:before="40"/>
            </w:pPr>
            <w:r/>
            <w:r>
              <w:rPr>
                <w:b w:val="0"/>
                <w:i/>
                <w:color w:val="1A1A1A"/>
                <w:sz w:val="19"/>
              </w:rPr>
              <w:t>account is held by [name] of [organisation]. DNS for it is controlled by [name,</w:t>
            </w:r>
          </w:p>
        </w:tc>
      </w:tr>
      <w:tr>
        <w:tc>
          <w:tcPr>
            <w:tcW w:type="dxa" w:w="9298"/>
            <w:shd w:val="clear" w:fill="F7F7F7"/>
          </w:tcPr>
          <w:p>
            <w:pPr>
              <w:spacing w:after="40" w:before="40"/>
            </w:pPr>
            <w:r/>
            <w:r>
              <w:rPr>
                <w:b w:val="0"/>
                <w:i/>
                <w:color w:val="1A1A1A"/>
                <w:sz w:val="19"/>
              </w:rPr>
              <w:t>organisation]. SPF, DKIM and DMARC were published on [date], DMARC policy</w:t>
            </w:r>
          </w:p>
        </w:tc>
      </w:tr>
      <w:tr>
        <w:tc>
          <w:tcPr>
            <w:tcW w:type="dxa" w:w="9298"/>
            <w:shd w:val="clear" w:fill="F7F7F7"/>
          </w:tcPr>
          <w:p>
            <w:pPr>
              <w:spacing w:after="40" w:before="40"/>
            </w:pPr>
            <w:r/>
            <w:r>
              <w:rPr>
                <w:b w:val="0"/>
                <w:i/>
                <w:color w:val="1A1A1A"/>
                <w:sz w:val="19"/>
              </w:rPr>
              <w:t>[none/quarantine/reject], reports to [address]. SMTP credentials were issued to [name] on</w:t>
            </w:r>
          </w:p>
        </w:tc>
      </w:tr>
      <w:tr>
        <w:tc>
          <w:tcPr>
            <w:tcW w:type="dxa" w:w="9298"/>
            <w:shd w:val="clear" w:fill="F7F7F7"/>
          </w:tcPr>
          <w:p>
            <w:pPr>
              <w:spacing w:after="40" w:before="40"/>
            </w:pPr>
            <w:r/>
            <w:r>
              <w:rPr>
                <w:b w:val="0"/>
                <w:i/>
                <w:color w:val="1A1A1A"/>
                <w:sz w:val="19"/>
              </w:rPr>
              <w:t>[date]. Users see From [address] 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and four gaps inside an answer that mostly worked</w:t>
      </w:r>
    </w:p>
    <w:p>
      <w:pPr>
        <w:spacing w:after="200"/>
        <w:pBdr>
          <w:bottom w:val="single" w:sz="6" w:space="6" w:color="999999"/>
        </w:pBdr>
      </w:pPr>
      <w:r>
        <w:rPr>
          <w:i/>
          <w:color w:val="5A5A5A"/>
          <w:sz w:val="19"/>
        </w:rPr>
        <w:t>Owner: Digital Records, COO     |     Closes the identifier half of E9-S2. Answered 6 August 2026 by the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four approved formats.</w:t>
            </w:r>
          </w:p>
          <w:p>
            <w:pPr>
              <w:spacing w:after="40" w:before="0"/>
            </w:pPr>
            <w:r>
              <w:rPr>
                <w:b w:val="0"/>
                <w:i/>
                <w:color w:val="5A5A5A"/>
                <w:sz w:val="17"/>
              </w:rPr>
              <w:t>Format: one sentence. Either UUID replaces NNN in all four, in which case those formats need reprinting, or the four printed formats stand and UUID applies to something narrower that has to be named. The scoping box and the EXT-12 answer both say UUID replaces the NNN at the end of the identifiers. Four identifier formats approved on the same pages all end in -NNN, and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saying what XX stands for. Allied Service Provider is introduced as the fourteenth category and its identifier is printed without separators, and XX is never defined anywhere in the document.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The four smaller gaps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SUP against ALD, for a building material seller.</w:t>
            </w:r>
          </w:p>
          <w:p>
            <w:pPr>
              <w:spacing w:after="40" w:before="0"/>
            </w:pPr>
            <w:r>
              <w:rPr>
                <w:b w:val="0"/>
                <w:i/>
                <w:color w:val="5A5A5A"/>
                <w:sz w:val="17"/>
              </w:rPr>
              <w:t>Format: which code a building material seller takes. SUP is Material Supplier in the thirteen-category list. The Allied Service Provider description covers building material sellers. The same business could be coded either way.</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TYPE list is not closed.</w:t>
            </w:r>
          </w:p>
          <w:p>
            <w:pPr>
              <w:spacing w:after="40" w:before="0"/>
            </w:pPr>
            <w:r>
              <w:rPr>
                <w:b w:val="0"/>
                <w:i/>
                <w:color w:val="5A5A5A"/>
                <w:sz w:val="17"/>
              </w:rPr>
              <w:t>Format: the complete list, or "those five and no others for now". Question 3 gives it as a controlled list "including BUY, SEL, DD, PRO and PRT". A controlled list introduced with "including" is not controlled, and validation has to reject values that are not on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SBR-CASE-DD.</w:t>
            </w:r>
          </w:p>
          <w:p>
            <w:pPr>
              <w:spacing w:after="40" w:before="0"/>
            </w:pPr>
            <w:r>
              <w:rPr>
                <w:b w:val="0"/>
                <w:i/>
                <w:color w:val="5A5A5A"/>
                <w:sz w:val="17"/>
              </w:rPr>
              <w:t>Format: approved as a third case type, or the identifier it should have been. Question 2 approves two case types, ENV and SEC. The platform issues SBR-CASE-DD today and DD is not among the two.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heading says three trades and the sentence names four.</w:t>
            </w:r>
          </w:p>
          <w:p>
            <w:pPr>
              <w:spacing w:after="40" w:before="0"/>
            </w:pPr>
            <w:r>
              <w:rPr>
                <w:b w:val="0"/>
                <w:i/>
                <w:color w:val="5A5A5A"/>
                <w:sz w:val="17"/>
              </w:rPr>
              <w:t>Format: confirmation that all four are in, which is what we have assumed. "The three uncoded trades" is followed by "plumbers, electricians and interior designers, building material sellers".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four approved formats / applies only to</w:t>
            </w:r>
          </w:p>
        </w:tc>
      </w:tr>
      <w:tr>
        <w:tc>
          <w:tcPr>
            <w:tcW w:type="dxa" w:w="9298"/>
            <w:shd w:val="clear" w:fill="F7F7F7"/>
          </w:tcPr>
          <w:p>
            <w:pPr>
              <w:spacing w:after="40" w:before="40"/>
            </w:pPr>
            <w:r/>
            <w:r>
              <w:rPr>
                <w:b w:val="0"/>
                <w:i/>
                <w:color w:val="1A1A1A"/>
                <w:sz w:val="19"/>
              </w:rPr>
              <w:t>[scope]. The ALD identifier format is [format], where XX means [meaning]. A building</w:t>
            </w:r>
          </w:p>
        </w:tc>
      </w:tr>
      <w:tr>
        <w:tc>
          <w:tcPr>
            <w:tcW w:type="dxa" w:w="9298"/>
            <w:shd w:val="clear" w:fill="F7F7F7"/>
          </w:tcPr>
          <w:p>
            <w:pPr>
              <w:spacing w:after="40" w:before="40"/>
            </w:pPr>
            <w:r/>
            <w:r>
              <w:rPr>
                <w:b w:val="0"/>
                <w:i/>
                <w:color w:val="1A1A1A"/>
                <w:sz w:val="19"/>
              </w:rPr>
              <w:t>material seller is coded [code]. The complete TYPE list is [list]. SBR-CASE-DD is approved</w:t>
            </w:r>
          </w:p>
        </w:tc>
      </w:tr>
      <w:tr>
        <w:tc>
          <w:tcPr>
            <w:tcW w:type="dxa" w:w="9298"/>
            <w:shd w:val="clear" w:fill="F7F7F7"/>
          </w:tcPr>
          <w:p>
            <w:pPr>
              <w:spacing w:after="40" w:before="40"/>
            </w:pPr>
            <w:r/>
            <w:r>
              <w:rPr>
                <w:b w:val="0"/>
                <w:i/>
                <w:color w:val="1A1A1A"/>
                <w:sz w:val="19"/>
              </w:rPr>
              <w:t>as a third case type / should have been [identifier]. All four uncoded trades are in</w:t>
            </w:r>
          </w:p>
        </w:tc>
      </w:tr>
      <w:tr>
        <w:tc>
          <w:tcPr>
            <w:tcW w:type="dxa" w:w="9298"/>
            <w:shd w:val="clear" w:fill="F7F7F7"/>
          </w:tcPr>
          <w:p>
            <w:pPr>
              <w:spacing w:after="40" w:before="40"/>
            </w:pPr>
            <w:r/>
            <w:r>
              <w:rPr>
                <w:b w:val="0"/>
                <w:i/>
                <w:color w:val="1A1A1A"/>
                <w:sz w:val="19"/>
              </w:rPr>
              <w:t>scope: [yes/no]. The production-impact query will be run by [name] on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EXT-9</w:t>
      </w:r>
    </w:p>
    <w:p>
      <w:pPr>
        <w:spacing w:after="120"/>
      </w:pPr>
      <w:r>
        <w:rPr>
          <w:b/>
          <w:color w:val="1A1A1A"/>
          <w:sz w:val="23"/>
        </w:rPr>
        <w:t>The structure is settled and the number is not</w:t>
      </w:r>
    </w:p>
    <w:p>
      <w:pPr>
        <w:spacing w:after="200"/>
        <w:pBdr>
          <w:bottom w:val="single" w:sz="6" w:space="6" w:color="999999"/>
        </w:pBdr>
      </w:pPr>
      <w:r>
        <w:rPr>
          <w:i/>
          <w:color w:val="5A5A5A"/>
          <w:sz w:val="19"/>
        </w:rPr>
        <w:t>Owner: Finance     |     Closes the commission half of E9-S3, and rows 8 and 9 of EXT-4. Answered 6 August 2026 by Finance.</w:t>
      </w:r>
    </w:p>
    <w:p>
      <w:pPr>
        <w:spacing w:before="0" w:after="120"/>
      </w:pPr>
      <w:r>
        <w:rPr>
          <w:b/>
          <w:color w:val="1A1A1A"/>
          <w:sz w:val="20"/>
        </w:rPr>
        <w:t xml:space="preserve">Two of the three questions closed and are not reopened. </w:t>
      </w:r>
      <w:r>
        <w:rPr>
          <w:b w:val="0"/>
          <w:color w:val="1A1A1A"/>
          <w:sz w:val="20"/>
        </w:rPr>
        <w:t>Commission is two-sided, charged to both parties. The buyer's share is collected from the buyer and must not be withheld from the seller's proceeds. Both are clear and both are implementable.</w:t>
      </w:r>
    </w:p>
    <w:p>
      <w:pPr>
        <w:spacing w:before="0" w:after="120"/>
      </w:pPr>
      <w:r>
        <w:rPr>
          <w:b/>
          <w:color w:val="1A1A1A"/>
          <w:sz w:val="20"/>
        </w:rPr>
        <w:t xml:space="preserve">The rate is given twice in the same document, at two different numbers. </w:t>
      </w:r>
      <w:r>
        <w:rPr>
          <w:b w:val="0"/>
          <w:color w:val="1A1A1A"/>
          <w:sz w:val="20"/>
        </w:rPr>
        <w:t>On a NGN 50,000,000 sale that is NGN 2,500,000 per side against NGN 5,000,000 per side. It is not a rounding difference and it is not something engineering can pick.</w:t>
      </w:r>
    </w:p>
    <w:tbl>
      <w:tblPr>
        <w:tblStyle w:val="TableGrid"/>
        <w:tblW w:type="auto" w:w="0"/>
        <w:jc w:val="left"/>
        <w:tblLook w:firstColumn="1" w:firstRow="1" w:lastColumn="0" w:lastRow="0" w:noHBand="0" w:noVBand="1" w:val="04A0"/>
      </w:tblPr>
      <w:tblGrid>
        <w:gridCol w:w="3099"/>
        <w:gridCol w:w="3099"/>
        <w:gridCol w:w="3099"/>
      </w:tblGrid>
      <w:tr>
        <w:tc>
          <w:tcPr>
            <w:tcW w:type="dxa" w:w="2948"/>
            <w:shd w:val="clear" w:fill="EDEDED"/>
          </w:tcPr>
          <w:p>
            <w:pPr>
              <w:spacing w:after="40" w:before="40"/>
            </w:pPr>
            <w:r/>
            <w:r>
              <w:rPr>
                <w:b/>
                <w:i w:val="0"/>
                <w:color w:val="1A1A1A"/>
                <w:sz w:val="19"/>
              </w:rPr>
              <w:t>Where in the document</w:t>
            </w:r>
          </w:p>
        </w:tc>
        <w:tc>
          <w:tcPr>
            <w:tcW w:type="dxa" w:w="3175"/>
            <w:shd w:val="clear" w:fill="EDEDED"/>
          </w:tcPr>
          <w:p>
            <w:pPr>
              <w:spacing w:after="40" w:before="40"/>
            </w:pPr>
            <w:r/>
            <w:r>
              <w:rPr>
                <w:b/>
                <w:i w:val="0"/>
                <w:color w:val="1A1A1A"/>
                <w:sz w:val="19"/>
              </w:rPr>
              <w:t>Question 1</w:t>
            </w:r>
          </w:p>
        </w:tc>
        <w:tc>
          <w:tcPr>
            <w:tcW w:type="dxa" w:w="3175"/>
            <w:shd w:val="clear" w:fill="EDEDED"/>
          </w:tcPr>
          <w:p>
            <w:pPr>
              <w:spacing w:after="40" w:before="40"/>
            </w:pPr>
            <w:r/>
            <w:r>
              <w:rPr>
                <w:b/>
                <w:i w:val="0"/>
                <w:color w:val="1A1A1A"/>
                <w:sz w:val="19"/>
              </w:rPr>
              <w:t>Question 3</w:t>
            </w:r>
          </w:p>
        </w:tc>
      </w:tr>
      <w:tr>
        <w:tc>
          <w:tcPr>
            <w:tcW w:type="dxa" w:w="2948"/>
          </w:tcPr>
          <w:p>
            <w:pPr>
              <w:spacing w:after="40" w:before="40"/>
            </w:pPr>
            <w:r/>
            <w:r>
              <w:rPr>
                <w:b w:val="0"/>
                <w:i w:val="0"/>
                <w:color w:val="1A1A1A"/>
                <w:sz w:val="19"/>
              </w:rPr>
              <w:t>Response box</w:t>
            </w:r>
          </w:p>
        </w:tc>
        <w:tc>
          <w:tcPr>
            <w:tcW w:type="dxa" w:w="3175"/>
          </w:tcPr>
          <w:p>
            <w:pPr>
              <w:spacing w:after="40" w:before="40"/>
            </w:pPr>
            <w:r/>
            <w:r>
              <w:rPr>
                <w:b w:val="0"/>
                <w:i w:val="0"/>
                <w:color w:val="1A1A1A"/>
                <w:sz w:val="19"/>
              </w:rPr>
              <w:t>"5% to the seller and 5% to the buyer"</w:t>
            </w:r>
          </w:p>
        </w:tc>
        <w:tc>
          <w:tcPr>
            <w:tcW w:type="dxa" w:w="3175"/>
          </w:tcPr>
          <w:p>
            <w:pPr>
              <w:spacing w:after="40" w:before="40"/>
            </w:pPr>
            <w:r/>
            <w:r>
              <w:rPr>
                <w:b w:val="0"/>
                <w:i w:val="0"/>
                <w:color w:val="1A1A1A"/>
                <w:sz w:val="19"/>
              </w:rPr>
              <w:t>"5% is the standard rate for each party"</w:t>
            </w:r>
          </w:p>
        </w:tc>
      </w:tr>
      <w:tr>
        <w:tc>
          <w:tcPr>
            <w:tcW w:type="dxa" w:w="2948"/>
          </w:tcPr>
          <w:p>
            <w:pPr>
              <w:spacing w:after="40" w:before="40"/>
            </w:pPr>
            <w:r/>
            <w:r>
              <w:rPr>
                <w:b w:val="0"/>
                <w:i w:val="0"/>
                <w:color w:val="1A1A1A"/>
                <w:sz w:val="19"/>
              </w:rPr>
              <w:t>Collation sheet, same questions</w:t>
            </w:r>
          </w:p>
        </w:tc>
        <w:tc>
          <w:tcPr>
            <w:tcW w:type="dxa" w:w="3175"/>
          </w:tcPr>
          <w:p>
            <w:pPr>
              <w:spacing w:after="40" w:before="40"/>
            </w:pPr>
            <w:r/>
            <w:r>
              <w:rPr>
                <w:b w:val="0"/>
                <w:i w:val="0"/>
                <w:color w:val="1A1A1A"/>
                <w:sz w:val="19"/>
              </w:rPr>
              <w:t>"Two-sided: 10% seller and 10% buyer"</w:t>
            </w:r>
          </w:p>
        </w:tc>
        <w:tc>
          <w:tcPr>
            <w:tcW w:type="dxa" w:w="3175"/>
          </w:tcPr>
          <w:p>
            <w:pPr>
              <w:spacing w:after="40" w:before="40"/>
            </w:pPr>
            <w:r/>
            <w:r>
              <w:rPr>
                <w:b w:val="0"/>
                <w:i w:val="0"/>
                <w:color w:val="1A1A1A"/>
                <w:sz w:val="19"/>
              </w:rPr>
              <w:t>"10% standard; editable by authorised user"</w:t>
            </w:r>
          </w:p>
        </w:tc>
      </w:tr>
    </w:tbl>
    <w:p>
      <w:pPr>
        <w:spacing w:after="40"/>
      </w:pPr>
    </w:p>
    <w:p>
      <w:pPr>
        <w:spacing w:before="0" w:after="120"/>
      </w:pPr>
      <w:r>
        <w:rPr>
          <w:b/>
          <w:color w:val="1A1A1A"/>
          <w:sz w:val="20"/>
        </w:rPr>
        <w:t xml:space="preserve">What the signed instrument says, offered so this can be confirmed in one line rather than re-derived. </w:t>
      </w:r>
      <w:r>
        <w:rPr>
          <w:b w:val="0"/>
          <w:color w:val="1A1A1A"/>
          <w:sz w:val="20"/>
        </w:rPr>
        <w:t>Clause 5 of the seller Power of Attorney authorises the donee to deduct from source 10% brokerage and commission. 5 plus 5 comes to exactly that 10 per cent. 10 plus 10 comes to twice it. That is an observation about arithmetic, not us choosing the rate.</w:t>
      </w:r>
    </w:p>
    <w:p>
      <w:pPr>
        <w:spacing w:before="0" w:after="80"/>
      </w:pPr>
      <w:r>
        <w:rPr>
          <w:b w:val="0"/>
          <w:i w:val="0"/>
          <w:color w:val="1A1A1A"/>
          <w:sz w:val="20"/>
        </w:rPr>
        <w:t>Two things to note about it. The clause authorises deduction from the seller, so even at 5 plus 5 the buyer's half has no authority in that instrument and needs a buyer-facing one, which is EXT-4 row 8. And terms of service section 5(a) promises a minimum 5 per cent from each side, which the response box matches and the collation sheet does not.</w:t>
      </w:r>
    </w:p>
    <w:p>
      <w:pPr>
        <w:spacing w:before="0" w:after="160"/>
      </w:pPr>
      <w:r>
        <w:rPr>
          <w:b w:val="0"/>
          <w:i w:val="0"/>
          <w:color w:val="1A1A1A"/>
          <w:sz w:val="20"/>
        </w:rPr>
        <w:t>What the platform does today, so the size of the change is visible either way: one rate is set at 5 per cent in the escrow constants and applied once, to the seller side only. A buyer-side charge does not exist yet at any rate.</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rate per side.</w:t>
            </w:r>
          </w:p>
          <w:p>
            <w:pPr>
              <w:spacing w:after="40" w:before="0"/>
            </w:pPr>
            <w:r>
              <w:rPr>
                <w:b w:val="0"/>
                <w:i/>
                <w:color w:val="5A5A5A"/>
                <w:sz w:val="17"/>
              </w:rPr>
              <w:t>Format: one number, and confirmation it is per side rather than combined.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"authorised users" means.</w:t>
            </w:r>
          </w:p>
          <w:p>
            <w:pPr>
              <w:spacing w:after="40" w:before="0"/>
            </w:pPr>
            <w:r>
              <w:rPr>
                <w:b w:val="0"/>
                <w:i/>
                <w:color w:val="5A5A5A"/>
                <w:sz w:val="17"/>
              </w:rPr>
              <w:t>Format: the role or roles, and whether a second approval is required. Question 3 says the application must allow authorised users to edit the commission rate for an approved transaction-specific variation. A per-transaction rate override moves money, so it ships behind a flag that is off until Finance, Legal and technical sign-off, and the flag is named in the pull request that adds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a variation is capped.</w:t>
            </w:r>
          </w:p>
          <w:p>
            <w:pPr>
              <w:spacing w:after="40" w:before="0"/>
            </w:pPr>
            <w:r>
              <w:rPr>
                <w:b w:val="0"/>
                <w:i/>
                <w:color w:val="5A5A5A"/>
                <w:sz w:val="17"/>
              </w:rPr>
              <w:t>Format: a floor and a ceiling, or "no cap". Without one, an editable rate is an editable rate all the way to zero.</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Commission is [number] per cent per side, charged to both the buyer and the seller.</w:t>
            </w:r>
          </w:p>
        </w:tc>
      </w:tr>
      <w:tr>
        <w:tc>
          <w:tcPr>
            <w:tcW w:type="dxa" w:w="9298"/>
            <w:shd w:val="clear" w:fill="F7F7F7"/>
          </w:tcPr>
          <w:p>
            <w:pPr>
              <w:spacing w:after="40" w:before="40"/>
            </w:pPr>
            <w:r/>
            <w:r>
              <w:rPr>
                <w:b w:val="0"/>
                <w:i/>
                <w:color w:val="1A1A1A"/>
                <w:sz w:val="19"/>
              </w:rPr>
              <w:t>Authorised users for a transaction-specific variation are [roles], and a variation does /</w:t>
            </w:r>
          </w:p>
        </w:tc>
      </w:tr>
      <w:tr>
        <w:tc>
          <w:tcPr>
            <w:tcW w:type="dxa" w:w="9298"/>
            <w:shd w:val="clear" w:fill="F7F7F7"/>
          </w:tcPr>
          <w:p>
            <w:pPr>
              <w:spacing w:after="40" w:before="40"/>
            </w:pPr>
            <w:r/>
            <w:r>
              <w:rPr>
                <w:b w:val="0"/>
                <w:i/>
                <w:color w:val="1A1A1A"/>
                <w:sz w:val="19"/>
              </w:rPr>
              <w:t>does not require a second approval. A varied rate must stay between [floor] and [ceiling]</w:t>
            </w:r>
          </w:p>
        </w:tc>
      </w:tr>
      <w:tr>
        <w:tc>
          <w:tcPr>
            <w:tcW w:type="dxa" w:w="9298"/>
            <w:shd w:val="clear" w:fill="F7F7F7"/>
          </w:tcPr>
          <w:p>
            <w:pPr>
              <w:spacing w:after="40" w:before="40"/>
            </w:pPr>
            <w:r/>
            <w:r>
              <w:rPr>
                <w:b w:val="0"/>
                <w:i/>
                <w:color w:val="1A1A1A"/>
                <w:sz w:val="19"/>
              </w:rPr>
              <w:t>per cent, or: no cap.</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EXT-9 entry and the E9-S3 entry in the outstanding backlog. The answer section in the escalation record. Section 4 and Appendix C of the financial governance specification. The delivery board and the build checklist. The rate itself lands in the escrow constants when E9-S3 is built, not before.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EXT-9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EXT-9</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