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 and four gaps</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Client. Eight of the eleven items on this schedule, and nothing else is being asked of you.</w:t>
      </w:r>
    </w:p>
    <w:p>
      <w:pPr>
        <w:spacing w:before="40" w:after="120"/>
      </w:pPr>
      <w:r>
        <w:rPr>
          <w:b w:val="0"/>
          <w:i w:val="0"/>
          <w:color w:val="5A5A5A"/>
          <w:sz w:val="18"/>
        </w:rPr>
        <w:t>Reference ENG-CS-2026-08-06-01, client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client,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EXT-1</w:t>
            </w:r>
          </w:p>
        </w:tc>
        <w:tc>
          <w:tcPr>
            <w:tcW w:type="dxa" w:w="3175"/>
          </w:tcPr>
          <w:p>
            <w:pPr>
              <w:spacing w:after="40" w:before="40"/>
            </w:pPr>
            <w:r>
              <w:t>Live payment credentials and a client-funds account</w:t>
            </w:r>
          </w:p>
        </w:tc>
        <w:tc>
          <w:tcPr>
            <w:tcW w:type="dxa" w:w="4025"/>
          </w:tcPr>
          <w:p>
            <w:pPr>
              <w:spacing w:after="40" w:before="40"/>
            </w:pPr>
            <w:r>
              <w:t>Finance, answering together with you.</w:t>
            </w:r>
          </w:p>
        </w:tc>
        <w:tc>
          <w:tcPr>
            <w:tcW w:type="dxa" w:w="1020"/>
          </w:tcPr>
          <w:p>
            <w:pPr>
              <w:spacing w:after="40" w:before="40"/>
            </w:pPr>
            <w:r>
              <w:t>Part A</w:t>
            </w:r>
          </w:p>
        </w:tc>
      </w:tr>
      <w:tr>
        <w:tc>
          <w:tcPr>
            <w:tcW w:type="dxa" w:w="1077"/>
          </w:tcPr>
          <w:p>
            <w:pPr>
              <w:spacing w:after="40" w:before="40"/>
            </w:pPr>
            <w:r>
              <w:t>EXT-2</w:t>
            </w:r>
          </w:p>
        </w:tc>
        <w:tc>
          <w:tcPr>
            <w:tcW w:type="dxa" w:w="3175"/>
          </w:tcPr>
          <w:p>
            <w:pPr>
              <w:spacing w:after="40" w:before="40"/>
            </w:pPr>
            <w:r>
              <w:t>Object storage bucket, credentials and region</w:t>
            </w:r>
          </w:p>
        </w:tc>
        <w:tc>
          <w:tcPr>
            <w:tcW w:type="dxa" w:w="4025"/>
          </w:tcPr>
          <w:p>
            <w:pPr>
              <w:spacing w:after="40" w:before="40"/>
            </w:pPr>
            <w:r>
              <w:t>Corne Labs, or you. Only one of you answers it, not both.</w:t>
            </w:r>
          </w:p>
        </w:tc>
        <w:tc>
          <w:tcPr>
            <w:tcW w:type="dxa" w:w="1020"/>
          </w:tcPr>
          <w:p>
            <w:pPr>
              <w:spacing w:after="40" w:before="40"/>
            </w:pPr>
            <w:r>
              <w:t>Part A</w:t>
            </w:r>
          </w:p>
        </w:tc>
      </w:tr>
      <w:tr>
        <w:tc>
          <w:tcPr>
            <w:tcW w:type="dxa" w:w="1077"/>
          </w:tcPr>
          <w:p>
            <w:pPr>
              <w:spacing w:after="40" w:before="40"/>
            </w:pPr>
            <w:r>
              <w:t>EXT-3</w:t>
            </w:r>
          </w:p>
        </w:tc>
        <w:tc>
          <w:tcPr>
            <w:tcW w:type="dxa" w:w="3175"/>
          </w:tcPr>
          <w:p>
            <w:pPr>
              <w:spacing w:after="40" w:before="40"/>
            </w:pPr>
            <w:r>
              <w:t>Transactional email domain and authentication</w:t>
            </w:r>
          </w:p>
        </w:tc>
        <w:tc>
          <w:tcPr>
            <w:tcW w:type="dxa" w:w="4025"/>
          </w:tcPr>
          <w:p>
            <w:pPr>
              <w:spacing w:after="40" w:before="40"/>
            </w:pPr>
            <w:r>
              <w:t>Nobody else. This one is yours alone.</w:t>
            </w:r>
          </w:p>
        </w:tc>
        <w:tc>
          <w:tcPr>
            <w:tcW w:type="dxa" w:w="1020"/>
          </w:tcPr>
          <w:p>
            <w:pPr>
              <w:spacing w:after="40" w:before="40"/>
            </w:pPr>
            <w:r>
              <w:t>Part A</w:t>
            </w:r>
          </w:p>
        </w:tc>
      </w:tr>
      <w:tr>
        <w:tc>
          <w:tcPr>
            <w:tcW w:type="dxa" w:w="1077"/>
          </w:tcPr>
          <w:p>
            <w:pPr>
              <w:spacing w:after="40" w:before="40"/>
            </w:pPr>
            <w:r>
              <w:t>EXT-4</w:t>
            </w:r>
          </w:p>
        </w:tc>
        <w:tc>
          <w:tcPr>
            <w:tcW w:type="dxa" w:w="3175"/>
          </w:tcPr>
          <w:p>
            <w:pPr>
              <w:spacing w:after="40" w:before="40"/>
            </w:pPr>
            <w:r>
              <w:t>Counsel-approved instruments and terms</w:t>
            </w:r>
          </w:p>
        </w:tc>
        <w:tc>
          <w:tcPr>
            <w:tcW w:type="dxa" w:w="4025"/>
          </w:tcPr>
          <w:p>
            <w:pPr>
              <w:spacing w:after="40" w:before="40"/>
            </w:pPr>
            <w:r>
              <w:t>Counsel, answering together with you.</w:t>
            </w:r>
          </w:p>
        </w:tc>
        <w:tc>
          <w:tcPr>
            <w:tcW w:type="dxa" w:w="1020"/>
          </w:tcPr>
          <w:p>
            <w:pPr>
              <w:spacing w:after="40" w:before="40"/>
            </w:pPr>
            <w:r>
              <w:t>Part A</w:t>
            </w:r>
          </w:p>
        </w:tc>
      </w:tr>
      <w:tr>
        <w:tc>
          <w:tcPr>
            <w:tcW w:type="dxa" w:w="1077"/>
          </w:tcPr>
          <w:p>
            <w:pPr>
              <w:spacing w:after="40" w:before="40"/>
            </w:pPr>
            <w:r>
              <w:t>EXT-5</w:t>
            </w:r>
          </w:p>
        </w:tc>
        <w:tc>
          <w:tcPr>
            <w:tcW w:type="dxa" w:w="3175"/>
          </w:tcPr>
          <w:p>
            <w:pPr>
              <w:spacing w:after="40" w:before="40"/>
            </w:pPr>
            <w:r>
              <w:t>Privacy notice, retention periods and an adopted policy</w:t>
            </w:r>
          </w:p>
        </w:tc>
        <w:tc>
          <w:tcPr>
            <w:tcW w:type="dxa" w:w="4025"/>
          </w:tcPr>
          <w:p>
            <w:pPr>
              <w:spacing w:after="40" w:before="40"/>
            </w:pPr>
            <w:r>
              <w:t>The board and the data protection officer, answering together with you.</w:t>
            </w:r>
          </w:p>
        </w:tc>
        <w:tc>
          <w:tcPr>
            <w:tcW w:type="dxa" w:w="1020"/>
          </w:tcPr>
          <w:p>
            <w:pPr>
              <w:spacing w:after="40" w:before="40"/>
            </w:pPr>
            <w:r>
              <w:t>Part A</w:t>
            </w:r>
          </w:p>
        </w:tc>
      </w:tr>
      <w:tr>
        <w:tc>
          <w:tcPr>
            <w:tcW w:type="dxa" w:w="1077"/>
          </w:tcPr>
          <w:p>
            <w:pPr>
              <w:spacing w:after="40" w:before="40"/>
            </w:pPr>
            <w:r>
              <w:t>ADR-0003</w:t>
            </w:r>
          </w:p>
        </w:tc>
        <w:tc>
          <w:tcPr>
            <w:tcW w:type="dxa" w:w="3175"/>
          </w:tcPr>
          <w:p>
            <w:pPr>
              <w:spacing w:after="40" w:before="40"/>
            </w:pPr>
            <w:r>
              <w:t>Fail startup rather than silently mock payments</w:t>
            </w:r>
          </w:p>
        </w:tc>
        <w:tc>
          <w:tcPr>
            <w:tcW w:type="dxa" w:w="4025"/>
          </w:tcPr>
          <w:p>
            <w:pPr>
              <w:spacing w:after="40" w:before="40"/>
            </w:pPr>
            <w:r>
              <w:t>Product, answering together with you.</w:t>
            </w:r>
          </w:p>
        </w:tc>
        <w:tc>
          <w:tcPr>
            <w:tcW w:type="dxa" w:w="1020"/>
          </w:tcPr>
          <w:p>
            <w:pPr>
              <w:spacing w:after="40" w:before="40"/>
            </w:pPr>
            <w:r>
              <w:t>Part C</w:t>
            </w:r>
          </w:p>
        </w:tc>
      </w:tr>
      <w:tr>
        <w:tc>
          <w:tcPr>
            <w:tcW w:type="dxa" w:w="1077"/>
          </w:tcPr>
          <w:p>
            <w:pPr>
              <w:spacing w:after="40" w:before="40"/>
            </w:pPr>
            <w:r>
              <w:t>ADR-0004</w:t>
            </w:r>
          </w:p>
        </w:tc>
        <w:tc>
          <w:tcPr>
            <w:tcW w:type="dxa" w:w="3175"/>
          </w:tcPr>
          <w:p>
            <w:pPr>
              <w:spacing w:after="40" w:before="40"/>
            </w:pPr>
            <w:r>
              <w:t>Private documents behind authorization</w:t>
            </w:r>
          </w:p>
        </w:tc>
        <w:tc>
          <w:tcPr>
            <w:tcW w:type="dxa" w:w="4025"/>
          </w:tcPr>
          <w:p>
            <w:pPr>
              <w:spacing w:after="40" w:before="40"/>
            </w:pPr>
            <w:r>
              <w:t>Product and Security, answering together with you.</w:t>
            </w:r>
          </w:p>
        </w:tc>
        <w:tc>
          <w:tcPr>
            <w:tcW w:type="dxa" w:w="1020"/>
          </w:tcPr>
          <w:p>
            <w:pPr>
              <w:spacing w:after="40" w:before="40"/>
            </w:pPr>
            <w:r>
              <w:t>Part C</w:t>
            </w:r>
          </w:p>
        </w:tc>
      </w:tr>
      <w:tr>
        <w:tc>
          <w:tcPr>
            <w:tcW w:type="dxa" w:w="1077"/>
          </w:tcPr>
          <w:p>
            <w:pPr>
              <w:spacing w:after="40" w:before="40"/>
            </w:pPr>
            <w:r>
              <w:t>D3</w:t>
            </w:r>
          </w:p>
        </w:tc>
        <w:tc>
          <w:tcPr>
            <w:tcW w:type="dxa" w:w="3175"/>
          </w:tcPr>
          <w:p>
            <w:pPr>
              <w:spacing w:after="40" w:before="40"/>
            </w:pPr>
            <w:r>
              <w:t>KYC: manual review, or a provider</w:t>
            </w:r>
          </w:p>
        </w:tc>
        <w:tc>
          <w:tcPr>
            <w:tcW w:type="dxa" w:w="4025"/>
          </w:tcPr>
          <w:p>
            <w:pPr>
              <w:spacing w:after="40" w:before="40"/>
            </w:pPr>
            <w:r>
              <w:t>Product, answering together with you.</w:t>
            </w:r>
          </w:p>
        </w:tc>
        <w:tc>
          <w:tcPr>
            <w:tcW w:type="dxa" w:w="1020"/>
          </w:tcPr>
          <w:p>
            <w:pPr>
              <w:spacing w:after="40" w:before="40"/>
            </w:pPr>
            <w:r>
              <w:t>Part D</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EXT-2 is the one item written as an either. It belongs to whichever of the client and Corne Labs holds the storage account. One of you answers it and the other does not need to.</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EXT-11 answered this on 6 August and the deferral is withdrawn. The internal policy governs and the closed list wins, so this is now a choice rather than a wait: a Nigerian region, which needs no instrument, or a non-Nigerian region, which cannot carry production data until an NDPC-approved Cross-Border Data Transfer Instrument or standard contractual clauses are executed. The ruling's own words: "Until executed and documented, no new production transfer should rely on general consent or 'reasonable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If the region is non-Nigerian, the executed transfer instrument.</w:t>
            </w:r>
          </w:p>
          <w:p>
            <w:pPr>
              <w:spacing w:after="40" w:before="0"/>
            </w:pPr>
            <w:r>
              <w:rPr>
                <w:b w:val="0"/>
                <w:i/>
                <w:color w:val="5A5A5A"/>
                <w:sz w:val="17"/>
              </w:rPr>
              <w:t>Format: the instrument's date, its parties, and which subprocessors it covers, or the date it is expected. No such executed instrument exists today, which means a non-Nigerian region answered without this row is an answer that cannot be acted 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That region is [Nigerian / not</w:t>
            </w:r>
          </w:p>
        </w:tc>
      </w:tr>
      <w:tr>
        <w:tc>
          <w:tcPr>
            <w:tcW w:type="dxa" w:w="9298"/>
            <w:shd w:val="clear" w:fill="F7F7F7"/>
          </w:tcPr>
          <w:p>
            <w:pPr>
              <w:spacing w:after="40" w:before="40"/>
            </w:pPr>
            <w:r/>
            <w:r>
              <w:rPr>
                <w:b w:val="0"/>
                <w:i/>
                <w:color w:val="1A1A1A"/>
                <w:sz w:val="19"/>
              </w:rPr>
              <w:t>Nigerian]. If not Nigerian, the cross-border transfer instrument is dated [date] between</w:t>
            </w:r>
          </w:p>
        </w:tc>
      </w:tr>
      <w:tr>
        <w:tc>
          <w:tcPr>
            <w:tcW w:type="dxa" w:w="9298"/>
            <w:shd w:val="clear" w:fill="F7F7F7"/>
          </w:tcPr>
          <w:p>
            <w:pPr>
              <w:spacing w:after="40" w:before="40"/>
            </w:pPr>
            <w:r/>
            <w:r>
              <w:rPr>
                <w:b w:val="0"/>
                <w:i/>
                <w:color w:val="1A1A1A"/>
                <w:sz w:val="19"/>
              </w:rPr>
              <w:t>[parties] and covers [subprocessors], or is expected [date]. Credentials were issued to</w:t>
            </w:r>
          </w:p>
        </w:tc>
      </w:tr>
      <w:tr>
        <w:tc>
          <w:tcPr>
            <w:tcW w:type="dxa" w:w="9298"/>
            <w:shd w:val="clear" w:fill="F7F7F7"/>
          </w:tcPr>
          <w:p>
            <w:pPr>
              <w:spacing w:after="40" w:before="40"/>
            </w:pPr>
            <w:r/>
            <w:r>
              <w:rPr>
                <w:b w:val="0"/>
                <w:i/>
                <w:color w:val="1A1A1A"/>
                <w:sz w:val="19"/>
              </w:rPr>
              <w:t>[name] on [date] by [channel], scoped to this bucket only. Public reads are denied at the</w:t>
            </w:r>
          </w:p>
        </w:tc>
      </w:tr>
      <w:tr>
        <w:tc>
          <w:tcPr>
            <w:tcW w:type="dxa" w:w="9298"/>
            <w:shd w:val="clear" w:fill="F7F7F7"/>
          </w:tcPr>
          <w:p>
            <w:pPr>
              <w:spacing w:after="40" w:before="40"/>
            </w:pPr>
            <w:r/>
            <w:r>
              <w:rPr>
                <w:b w:val="0"/>
                <w:i/>
                <w:color w:val="1A1A1A"/>
                <w:sz w:val="19"/>
              </w:rPr>
              <w:t>bucket policy: [yes/no], checked [date]. Object versioning is [on/off]. Lifecycle rules</w:t>
            </w:r>
          </w:p>
        </w:tc>
      </w:tr>
      <w:tr>
        <w:tc>
          <w:tcPr>
            <w:tcW w:type="dxa" w:w="9298"/>
            <w:shd w:val="clear" w:fill="F7F7F7"/>
          </w:tcPr>
          <w:p>
            <w:pPr>
              <w:spacing w:after="40" w:before="40"/>
            </w:pPr>
            <w:r/>
            <w:r>
              <w:rPr>
                <w:b w:val="0"/>
                <w:i/>
                <w:color w:val="1A1A1A"/>
                <w:sz w:val="19"/>
              </w:rPr>
              <w:t>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EXT-3</w:t>
      </w:r>
    </w:p>
    <w:p>
      <w:pPr>
        <w:spacing w:after="120"/>
      </w:pPr>
      <w:r>
        <w:rPr>
          <w:b/>
          <w:color w:val="1A1A1A"/>
          <w:sz w:val="23"/>
        </w:rPr>
        <w:t>Transactional email domain and authentication</w:t>
      </w:r>
    </w:p>
    <w:p>
      <w:pPr>
        <w:spacing w:after="200"/>
        <w:pBdr>
          <w:bottom w:val="single" w:sz="6" w:space="6" w:color="999999"/>
        </w:pBdr>
      </w:pPr>
      <w:r>
        <w:rPr>
          <w:i/>
          <w:color w:val="5A5A5A"/>
          <w:sz w:val="19"/>
        </w:rPr>
        <w:t>Owner: Client     |     Closes E6-S1.</w:t>
      </w:r>
    </w:p>
    <w:p>
      <w:pPr>
        <w:spacing w:before="0" w:after="120"/>
      </w:pPr>
      <w:r>
        <w:rPr>
          <w:b/>
          <w:color w:val="1A1A1A"/>
          <w:sz w:val="20"/>
        </w:rPr>
        <w:t xml:space="preserve">Why this is blocking: </w:t>
      </w:r>
      <w:r>
        <w:rPr>
          <w:b w:val="0"/>
          <w:color w:val="1A1A1A"/>
          <w:sz w:val="20"/>
        </w:rPr>
        <w:t>the platform can compose mail but has no authenticated domain to send it from. Unauthenticated transactional mail about money and title documents goes to spam, which is worse than not sending it, because the sender believes it arrived.</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sending domain or subdomain.</w:t>
            </w:r>
          </w:p>
          <w:p>
            <w:pPr>
              <w:spacing w:after="40" w:before="0"/>
            </w:pPr>
            <w:r>
              <w:rPr>
                <w:b w:val="0"/>
                <w:i/>
                <w:color w:val="5A5A5A"/>
                <w:sz w:val="17"/>
              </w:rPr>
              <w:t>Format: the exact domain. Example: mail.example.com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controls DNS for that domain.</w:t>
            </w:r>
          </w:p>
          <w:p>
            <w:pPr>
              <w:spacing w:after="40" w:before="0"/>
            </w:pPr>
            <w:r>
              <w:rPr>
                <w:b w:val="0"/>
                <w:i/>
                <w:color w:val="5A5A5A"/>
                <w:sz w:val="17"/>
              </w:rPr>
              <w:t>Format: name of the person and the organisation. The SPF, DKIM and DMARC records have to be published by that party and cannot be published by us.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SPF record as published.</w:t>
            </w:r>
          </w:p>
          <w:p>
            <w:pPr>
              <w:spacing w:after="40" w:before="0"/>
            </w:pPr>
            <w:r>
              <w:rPr>
                <w:b w:val="0"/>
                <w:i/>
                <w:color w:val="5A5A5A"/>
                <w:sz w:val="17"/>
              </w:rPr>
              <w:t>Format: the record value, and the date it was published.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DKIM selector, and confirmation the public key is published.</w:t>
            </w:r>
          </w:p>
          <w:p>
            <w:pPr>
              <w:spacing w:after="40" w:before="0"/>
            </w:pPr>
            <w:r>
              <w:rPr>
                <w:b w:val="0"/>
                <w:i/>
                <w:color w:val="5A5A5A"/>
                <w:sz w:val="17"/>
              </w:rPr>
              <w:t>Format: the selector name, and yes or no on the key being live in DNS.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DMARC policy and reporting address.</w:t>
            </w:r>
          </w:p>
          <w:p>
            <w:pPr>
              <w:spacing w:after="40" w:before="0"/>
            </w:pPr>
            <w:r>
              <w:rPr>
                <w:b w:val="0"/>
                <w:i/>
                <w:color w:val="5A5A5A"/>
                <w:sz w:val="17"/>
              </w:rPr>
              <w:t>Format: none, quarantine or reject, plus the address aggregate reports go to.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SMTP host, port and username.</w:t>
            </w:r>
          </w:p>
          <w:p>
            <w:pPr>
              <w:spacing w:after="40" w:before="0"/>
            </w:pPr>
            <w:r>
              <w:rPr>
                <w:b w:val="0"/>
                <w:i/>
                <w:color w:val="5A5A5A"/>
                <w:sz w:val="17"/>
              </w:rPr>
              <w:t>Format: host, port number, username. Do not write the password here. State who received it, when, and through which channel.</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addresses users will see, and the bounce address.</w:t>
            </w:r>
          </w:p>
          <w:p>
            <w:pPr>
              <w:spacing w:after="40" w:before="0"/>
            </w:pPr>
            <w:r>
              <w:rPr>
                <w:b w:val="0"/>
                <w:i/>
                <w:color w:val="5A5A5A"/>
                <w:sz w:val="17"/>
              </w:rPr>
              <w:t>Format: the From address, the Reply-To address, and the bounce address.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Confirmation that the sending domain sits under safebuyrealtiesltd.com.</w:t>
            </w:r>
          </w:p>
          <w:p>
            <w:pPr>
              <w:spacing w:after="40" w:before="0"/>
            </w:pPr>
            <w:r>
              <w:rPr>
                <w:b w:val="0"/>
                <w:i/>
                <w:color w:val="5A5A5A"/>
                <w:sz w:val="17"/>
              </w:rPr>
              <w:t>Format: yes, or the domain you are using instead and why. EXT-12 answered the canonical domain on 6 August and this row stopped being a wait. The answer is www.safebuyrealtiesltd.com, held in a company-controlled account with the registrar, DNS, certificates, renewal billing and recovery credentials under MD/CEO and authorised administrator oversight. The same answer instructs that safebuyrealties.com must not be printed on instruments unless Management separately confirms ownership. A sending domain under anything else now needs a reason, which is the reverse of where this row stood that morning.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Who holds the registrar account for that domain, by name.</w:t>
            </w:r>
          </w:p>
          <w:p>
            <w:pPr>
              <w:spacing w:after="40" w:before="0"/>
            </w:pPr>
            <w:r>
              <w:rPr>
                <w:b w:val="0"/>
                <w:i/>
                <w:color w:val="5A5A5A"/>
                <w:sz w:val="17"/>
              </w:rPr>
              <w:t>Format: full name, role, and the organisation the account is registered to. The EXT-12 answer makes company control of the registrar account a requirement rather than a detail, and mail authentication is published from exactly that account.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Mail sends from [domain], which is / is not under safebuyrealtiesltd.com. The registrar</w:t>
            </w:r>
          </w:p>
        </w:tc>
      </w:tr>
      <w:tr>
        <w:tc>
          <w:tcPr>
            <w:tcW w:type="dxa" w:w="9298"/>
            <w:shd w:val="clear" w:fill="F7F7F7"/>
          </w:tcPr>
          <w:p>
            <w:pPr>
              <w:spacing w:after="40" w:before="40"/>
            </w:pPr>
            <w:r/>
            <w:r>
              <w:rPr>
                <w:b w:val="0"/>
                <w:i/>
                <w:color w:val="1A1A1A"/>
                <w:sz w:val="19"/>
              </w:rPr>
              <w:t>account is held by [name] of [organisation]. DNS for it is controlled by [name,</w:t>
            </w:r>
          </w:p>
        </w:tc>
      </w:tr>
      <w:tr>
        <w:tc>
          <w:tcPr>
            <w:tcW w:type="dxa" w:w="9298"/>
            <w:shd w:val="clear" w:fill="F7F7F7"/>
          </w:tcPr>
          <w:p>
            <w:pPr>
              <w:spacing w:after="40" w:before="40"/>
            </w:pPr>
            <w:r/>
            <w:r>
              <w:rPr>
                <w:b w:val="0"/>
                <w:i/>
                <w:color w:val="1A1A1A"/>
                <w:sz w:val="19"/>
              </w:rPr>
              <w:t>organisation]. SPF, DKIM and DMARC were published on [date], DMARC policy</w:t>
            </w:r>
          </w:p>
        </w:tc>
      </w:tr>
      <w:tr>
        <w:tc>
          <w:tcPr>
            <w:tcW w:type="dxa" w:w="9298"/>
            <w:shd w:val="clear" w:fill="F7F7F7"/>
          </w:tcPr>
          <w:p>
            <w:pPr>
              <w:spacing w:after="40" w:before="40"/>
            </w:pPr>
            <w:r/>
            <w:r>
              <w:rPr>
                <w:b w:val="0"/>
                <w:i/>
                <w:color w:val="1A1A1A"/>
                <w:sz w:val="19"/>
              </w:rPr>
              <w:t>[none/quarantine/reject], reports to [address]. SMTP credentials were issued to [name] on</w:t>
            </w:r>
          </w:p>
        </w:tc>
      </w:tr>
      <w:tr>
        <w:tc>
          <w:tcPr>
            <w:tcW w:type="dxa" w:w="9298"/>
            <w:shd w:val="clear" w:fill="F7F7F7"/>
          </w:tcPr>
          <w:p>
            <w:pPr>
              <w:spacing w:after="40" w:before="40"/>
            </w:pPr>
            <w:r/>
            <w:r>
              <w:rPr>
                <w:b w:val="0"/>
                <w:i/>
                <w:color w:val="1A1A1A"/>
                <w:sz w:val="19"/>
              </w:rPr>
              <w:t>[date]. Users see From [address] and Reply-To [address]. Bounces go to [address].</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EXT-3 row and the E6-S1 entry in the outstanding backlog. The local development guide.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and the outstanding half of EXT-10. Moves gate G4, on two counsel signatures rather than one.</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p>
      <w:pPr>
        <w:spacing w:before="0" w:after="120"/>
      </w:pPr>
      <w:r>
        <w:rPr>
          <w:b/>
          <w:color w:val="1A1A1A"/>
          <w:sz w:val="20"/>
        </w:rPr>
        <w:t xml:space="preserve">This item grew on 6 August, and clause 5 of the Power of Attorney is why. </w:t>
      </w:r>
      <w:r>
        <w:rPr>
          <w:b w:val="0"/>
          <w:color w:val="1A1A1A"/>
          <w:sz w:val="20"/>
        </w:rPr>
        <w:t>That clause authorises deducting 10% at source, which is what EXT-9 and EXT-10 were asked about. Both were answered that day and both answers land on this one clause. EXT-10 rules that no VAT may be withheld from seller proceeds, which clause 5 is silent on and must now say. EXT-9 rules 5 per cent from each side, which is not what clause 5 says: the signed instrument authorises 10 per cent, and it authorises it from the seller alone. A buyer-side charge has no home in a seller-signed instrument at all, so it needs a buyer-facing one. That is this item, and it is the largest single thing the 6 August answers added to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of the entity, address and domain to be used throughout.</w:t>
            </w:r>
          </w:p>
          <w:p>
            <w:pPr>
              <w:spacing w:after="40" w:before="0"/>
            </w:pPr>
            <w:r>
              <w:rPr>
                <w:b w:val="0"/>
                <w:i/>
                <w:color w:val="5A5A5A"/>
                <w:sz w:val="17"/>
              </w:rPr>
              <w:t>Format: yes, or a correction. EXT-12 supplied these on 6 August and this row stopped being a question. Safebuyrealties International Ltd, RC Number 8483982, Suite 404, 4th Floor, 14 Allen Avenue, Centage Plaza, Ikeja, Lagos, and www.safebuyrealtiesltd.com. They are repeated here because counsel is the party that has to put them into three documents, and because the only remaining risk is that the values above are wrong rather than that they are missing.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Counsel's signature on the VAT position already drafted for it.</w:t>
            </w:r>
          </w:p>
          <w:p>
            <w:pPr>
              <w:spacing w:after="40" w:before="0"/>
            </w:pPr>
            <w:r>
              <w:rPr>
                <w:b w:val="0"/>
                <w:i/>
                <w:color w:val="5A5A5A"/>
                <w:sz w:val="17"/>
              </w:rPr>
              <w:t>Format: signed, with a name, a role and a date, or the wording counsel signs instead. EXT-10's answer carries a paragraph headed "Recommended counsel position for formal signature" and sets its own condition: no production VAT automation activates until counsel signs it and the CEO, COO and CFO approve the configuration. This is the single thing keeping EXT-10 open.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"Commission plus applicable VAT" in the buyer and seller engagement documents.</w:t>
            </w:r>
          </w:p>
          <w:p>
            <w:pPr>
              <w:spacing w:after="40" w:before="0"/>
            </w:pPr>
            <w:r>
              <w:rPr>
                <w:b w:val="0"/>
                <w:i/>
                <w:color w:val="5A5A5A"/>
                <w:sz w:val="17"/>
              </w:rPr>
              <w:t>Format: confirmation that the phrase, or counsel's equivalent, appears in each. This is counsel's own condition from the EXT-10 answer, and it is a wording change to instruments rather than a VAT decision, which is why it is asked here and not there.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buyer-facing instrument that carries the buyer's commission.</w:t>
            </w:r>
          </w:p>
          <w:p>
            <w:pPr>
              <w:spacing w:after="40" w:before="0"/>
            </w:pPr>
            <w:r>
              <w:rPr>
                <w:b w:val="0"/>
                <w:i/>
                <w:color w:val="5A5A5A"/>
                <w:sz w:val="17"/>
              </w:rPr>
              <w:t>Format: which document it is, and whether it exists yet. EXT-9 makes commission chargeable to the buyer as well as the seller. The Power of Attorney is signed by the seller alone, so it cannot bind a buyer to anything. Either the terms of service carry the buyer's side or a separate buyer engagement letter does, and somebody has to say which.</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The Power of Attorney clause 5 rewrite, on both counts.</w:t>
            </w:r>
          </w:p>
          <w:p>
            <w:pPr>
              <w:spacing w:after="40" w:before="0"/>
            </w:pPr>
            <w:r>
              <w:rPr>
                <w:b w:val="0"/>
                <w:i/>
                <w:color w:val="5A5A5A"/>
                <w:sz w:val="17"/>
              </w:rPr>
              <w:t>Format: the replacement wording, or confirmation that counsel is drafting it and when. Clause 5 currently authorises 10 per cent at source from the seller and says nothing about VAT. EXT-9 says 5 per cent per side. EXT-10 says no VAT comes out of seller proceeds. Both have to appear in the clause that actually authorises the deduction, and the number in it has to match whatever the EXT-9 follow-up in Part B settles.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10</w:t>
            </w:r>
          </w:p>
        </w:tc>
        <w:tc>
          <w:tcPr>
            <w:tcW w:type="dxa" w:w="5272"/>
          </w:tcPr>
          <w:p>
            <w:pPr>
              <w:spacing w:after="40" w:before="40"/>
            </w:pPr>
            <w:r/>
            <w:r>
              <w:rPr>
                <w:b w:val="0"/>
                <w:i w:val="0"/>
                <w:color w:val="1A1A1A"/>
                <w:sz w:val="19"/>
              </w:rPr>
              <w:t>The QR verification destination on the generated instrument.</w:t>
            </w:r>
          </w:p>
          <w:p>
            <w:pPr>
              <w:spacing w:after="40" w:before="0"/>
            </w:pPr>
            <w:r>
              <w:rPr>
                <w:b w:val="0"/>
                <w:i/>
                <w:color w:val="5A5A5A"/>
                <w:sz w:val="17"/>
              </w:rPr>
              <w:t>Format: the URL to print. The platform currently defaults to a verify address on safebuyrealties.com, which is the domain EXT-12 says not to print. Management's decision keeps the hold on new Power of Attorney generation "until the templates and QR destination are corrected and tested", so this is the row that lifts the hold.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11</w:t>
            </w:r>
          </w:p>
        </w:tc>
        <w:tc>
          <w:tcPr>
            <w:tcW w:type="dxa" w:w="5272"/>
          </w:tcPr>
          <w:p>
            <w:pPr>
              <w:spacing w:after="40" w:before="40"/>
            </w:pPr>
            <w:r/>
            <w:r>
              <w:rPr>
                <w:b w:val="0"/>
                <w:i w:val="0"/>
                <w:color w:val="1A1A1A"/>
                <w:sz w:val="19"/>
              </w:rPr>
              <w:t>Whether counsel proceeds now or waits for EXT-9.</w:t>
            </w:r>
          </w:p>
          <w:p>
            <w:pPr>
              <w:spacing w:after="40" w:before="0"/>
            </w:pPr>
            <w:r>
              <w:rPr>
                <w:b w:val="0"/>
                <w:i/>
                <w:color w:val="5A5A5A"/>
                <w:sz w:val="17"/>
              </w:rPr>
              <w:t>Format: proceed now, or wait. This item used to wait on EXT-9, EXT-10 and EXT-12. EXT-12 has answered in full and EXT-10 has answered on substance, so only EXT-9 is still capable of changing the text counsel would be approving, and only in one place: the commission number in clause 5 and in terms of service section 5(a). Everything else on this list can go to counsel now, and if the whole package waits for that one number the wait buys nothing, because the number sits in two clauses that can be filled last.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address and domain in</w:t>
            </w:r>
          </w:p>
        </w:tc>
      </w:tr>
      <w:tr>
        <w:tc>
          <w:tcPr>
            <w:tcW w:type="dxa" w:w="9298"/>
            <w:shd w:val="clear" w:fill="F7F7F7"/>
          </w:tcPr>
          <w:p>
            <w:pPr>
              <w:spacing w:after="40" w:before="40"/>
            </w:pPr>
            <w:r/>
            <w:r>
              <w:rPr>
                <w:b w:val="0"/>
                <w:i/>
                <w:color w:val="1A1A1A"/>
                <w:sz w:val="19"/>
              </w:rPr>
              <w:t>row 5 are correct / should read [correction]. The EXT-10 VAT position is signed by [name,</w:t>
            </w:r>
          </w:p>
        </w:tc>
      </w:tr>
      <w:tr>
        <w:tc>
          <w:tcPr>
            <w:tcW w:type="dxa" w:w="9298"/>
            <w:shd w:val="clear" w:fill="F7F7F7"/>
          </w:tcPr>
          <w:p>
            <w:pPr>
              <w:spacing w:after="40" w:before="40"/>
            </w:pPr>
            <w:r/>
            <w:r>
              <w:rPr>
                <w:b w:val="0"/>
                <w:i/>
                <w:color w:val="1A1A1A"/>
                <w:sz w:val="19"/>
              </w:rPr>
              <w:t>role] on [date], or counsel signs [wording] instead. "Commission plus applicable VAT"</w:t>
            </w:r>
          </w:p>
        </w:tc>
      </w:tr>
      <w:tr>
        <w:tc>
          <w:tcPr>
            <w:tcW w:type="dxa" w:w="9298"/>
            <w:shd w:val="clear" w:fill="F7F7F7"/>
          </w:tcPr>
          <w:p>
            <w:pPr>
              <w:spacing w:after="40" w:before="40"/>
            </w:pPr>
            <w:r/>
            <w:r>
              <w:rPr>
                <w:b w:val="0"/>
                <w:i/>
                <w:color w:val="1A1A1A"/>
                <w:sz w:val="19"/>
              </w:rPr>
              <w:t>appears in [documents]. The buyer's commission is carried by [document]. Clause 5 is</w:t>
            </w:r>
          </w:p>
        </w:tc>
      </w:tr>
      <w:tr>
        <w:tc>
          <w:tcPr>
            <w:tcW w:type="dxa" w:w="9298"/>
            <w:shd w:val="clear" w:fill="F7F7F7"/>
          </w:tcPr>
          <w:p>
            <w:pPr>
              <w:spacing w:after="40" w:before="40"/>
            </w:pPr>
            <w:r/>
            <w:r>
              <w:rPr>
                <w:b w:val="0"/>
                <w:i/>
                <w:color w:val="1A1A1A"/>
                <w:sz w:val="19"/>
              </w:rPr>
              <w:t>replaced by [wording]. The QR destination to print is [url]. They [proceed now / wait for</w:t>
            </w:r>
          </w:p>
        </w:tc>
      </w:tr>
      <w:tr>
        <w:tc>
          <w:tcPr>
            <w:tcW w:type="dxa" w:w="9298"/>
            <w:shd w:val="clear" w:fill="F7F7F7"/>
          </w:tcPr>
          <w:p>
            <w:pPr>
              <w:spacing w:after="40" w:before="40"/>
            </w:pPr>
            <w:r/>
            <w:r>
              <w:rPr>
                <w:b w:val="0"/>
                <w:i/>
                <w:color w:val="1A1A1A"/>
                <w:sz w:val="19"/>
              </w:rPr>
              <w:t>EXT-9].</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EXT-10 row, the E8-S2 entry and the gate G4 note in the outstanding backlog. The clause text and a version stamp in the Power of Attorney service, and the verify address in its configuration.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plus four smaller gaps.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client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