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40"/>
      </w:pPr>
      <w:r>
        <w:rPr>
          <w:color w:val="5A5A5A"/>
          <w:sz w:val="22"/>
        </w:rPr>
        <w:t>SafeBuy Realties Limited</w:t>
      </w:r>
    </w:p>
    <w:p>
      <w:pPr>
        <w:spacing w:after="0"/>
      </w:pPr>
      <w:r>
        <w:rPr>
          <w:b/>
          <w:color w:val="1A1A1A"/>
          <w:sz w:val="60"/>
        </w:rPr>
        <w:t>CLOSURE SCHEDULE</w:t>
      </w:r>
    </w:p>
    <w:p>
      <w:pPr>
        <w:spacing w:after="480"/>
        <w:pBdr>
          <w:bottom w:val="single" w:sz="6" w:space="6" w:color="999999"/>
        </w:pBdr>
      </w:pPr>
      <w:r>
        <w:rPr>
          <w:color w:val="5A5A5A"/>
          <w:sz w:val="28"/>
        </w:rPr>
        <w:t>ENG-CS-2026-08-06-01</w:t>
      </w:r>
    </w:p>
    <w:p>
      <w:pPr>
        <w:spacing w:before="200" w:after="280"/>
      </w:pPr>
      <w:r>
        <w:rPr>
          <w:b w:val="0"/>
          <w:i w:val="0"/>
          <w:color w:val="1A1A1A"/>
          <w:sz w:val="24"/>
        </w:rPr>
        <w:t>Everything the platform is waiting on from outside engineering, what each item has to contain before it can be closed, and the piece of work it releases when it arrives. Eleven items, each with a table to fill in.</w:t>
      </w:r>
    </w:p>
    <w:tbl>
      <w:tblPr>
        <w:tblStyle w:val="TableGrid"/>
        <w:tblW w:type="auto" w:w="0"/>
        <w:jc w:val="left"/>
        <w:tblLook w:firstColumn="1" w:firstRow="1" w:lastColumn="0" w:lastRow="0" w:noHBand="0" w:noVBand="1" w:val="04A0"/>
      </w:tblPr>
      <w:tblGrid>
        <w:gridCol w:w="4649"/>
        <w:gridCol w:w="4649"/>
      </w:tblGrid>
      <w:tr>
        <w:tc>
          <w:tcPr>
            <w:tcW w:type="dxa" w:w="2608"/>
          </w:tcPr>
          <w:p>
            <w:pPr>
              <w:spacing w:after="40" w:before="40"/>
            </w:pPr>
            <w:r/>
            <w:r>
              <w:rPr>
                <w:b/>
                <w:i w:val="0"/>
                <w:color w:val="1A1A1A"/>
                <w:sz w:val="21"/>
              </w:rPr>
              <w:t>Issued</w:t>
            </w:r>
          </w:p>
        </w:tc>
        <w:tc>
          <w:tcPr>
            <w:tcW w:type="dxa" w:w="6690"/>
          </w:tcPr>
          <w:p>
            <w:pPr>
              <w:spacing w:after="40" w:before="40"/>
            </w:pPr>
            <w:r/>
            <w:r>
              <w:rPr>
                <w:b w:val="0"/>
                <w:i w:val="0"/>
                <w:color w:val="1A1A1A"/>
                <w:sz w:val="21"/>
              </w:rPr>
              <w:t>6 August 2026</w:t>
            </w:r>
          </w:p>
        </w:tc>
      </w:tr>
      <w:tr>
        <w:tc>
          <w:tcPr>
            <w:tcW w:type="dxa" w:w="2608"/>
          </w:tcPr>
          <w:p>
            <w:pPr>
              <w:spacing w:after="40" w:before="40"/>
            </w:pPr>
            <w:r/>
            <w:r>
              <w:rPr>
                <w:b/>
                <w:i w:val="0"/>
                <w:color w:val="1A1A1A"/>
                <w:sz w:val="21"/>
              </w:rPr>
              <w:t>Raised by</w:t>
            </w:r>
          </w:p>
        </w:tc>
        <w:tc>
          <w:tcPr>
            <w:tcW w:type="dxa" w:w="6690"/>
          </w:tcPr>
          <w:p>
            <w:pPr>
              <w:spacing w:after="40" w:before="40"/>
            </w:pPr>
            <w:r/>
            <w:r>
              <w:rPr>
                <w:b w:val="0"/>
                <w:i w:val="0"/>
                <w:color w:val="1A1A1A"/>
                <w:sz w:val="21"/>
              </w:rPr>
              <w:t>Engineering, SafeBuy Realties platform</w:t>
            </w:r>
          </w:p>
        </w:tc>
      </w:tr>
      <w:tr>
        <w:tc>
          <w:tcPr>
            <w:tcW w:type="dxa" w:w="2608"/>
          </w:tcPr>
          <w:p>
            <w:pPr>
              <w:spacing w:after="40" w:before="40"/>
            </w:pPr>
            <w:r/>
            <w:r>
              <w:rPr>
                <w:b/>
                <w:i w:val="0"/>
                <w:color w:val="1A1A1A"/>
                <w:sz w:val="21"/>
              </w:rPr>
              <w:t>Reply to</w:t>
            </w:r>
          </w:p>
        </w:tc>
        <w:tc>
          <w:tcPr>
            <w:tcW w:type="dxa" w:w="6690"/>
          </w:tcPr>
          <w:p>
            <w:pPr>
              <w:spacing w:after="40" w:before="40"/>
            </w:pPr>
            <w:r/>
            <w:r>
              <w:rPr>
                <w:b w:val="0"/>
                <w:i w:val="0"/>
                <w:color w:val="1A1A1A"/>
                <w:sz w:val="21"/>
              </w:rPr>
              <w:t>Abie Olaluwe  ·  oolaluwe@gmail.com</w:t>
            </w:r>
          </w:p>
        </w:tc>
      </w:tr>
      <w:tr>
        <w:tc>
          <w:tcPr>
            <w:tcW w:type="dxa" w:w="2608"/>
          </w:tcPr>
          <w:p>
            <w:pPr>
              <w:spacing w:after="40" w:before="40"/>
            </w:pPr>
            <w:r/>
            <w:r>
              <w:rPr>
                <w:b/>
                <w:i w:val="0"/>
                <w:color w:val="1A1A1A"/>
                <w:sz w:val="21"/>
              </w:rPr>
              <w:t>Response requested by</w:t>
            </w:r>
          </w:p>
        </w:tc>
        <w:tc>
          <w:tcPr>
            <w:tcW w:type="dxa" w:w="6690"/>
          </w:tcPr>
          <w:p>
            <w:pPr>
              <w:spacing w:after="40" w:before="40"/>
            </w:pPr>
            <w:r/>
            <w:r>
              <w:rPr>
                <w:b w:val="0"/>
                <w:i w:val="0"/>
                <w:color w:val="1A1A1A"/>
                <w:sz w:val="21"/>
              </w:rPr>
              <w:t>Close of business today, 2026-08-06</w:t>
            </w:r>
          </w:p>
        </w:tc>
      </w:tr>
      <w:tr>
        <w:tc>
          <w:tcPr>
            <w:tcW w:type="dxa" w:w="2608"/>
          </w:tcPr>
          <w:p>
            <w:pPr>
              <w:spacing w:after="40" w:before="40"/>
            </w:pPr>
            <w:r/>
            <w:r>
              <w:rPr>
                <w:b/>
                <w:i w:val="0"/>
                <w:color w:val="1A1A1A"/>
                <w:sz w:val="21"/>
              </w:rPr>
              <w:t>Distribution</w:t>
            </w:r>
          </w:p>
        </w:tc>
        <w:tc>
          <w:tcPr>
            <w:tcW w:type="dxa" w:w="6690"/>
          </w:tcPr>
          <w:p>
            <w:pPr>
              <w:spacing w:after="40" w:before="40"/>
            </w:pPr>
            <w:r/>
            <w:r>
              <w:rPr>
                <w:b w:val="0"/>
                <w:i w:val="0"/>
                <w:color w:val="1A1A1A"/>
                <w:sz w:val="21"/>
              </w:rPr>
              <w:t>Client · Finance · Legal · Management · Counsel · Product · Corne Labs</w:t>
            </w:r>
          </w:p>
        </w:tc>
      </w:tr>
      <w:tr>
        <w:tc>
          <w:tcPr>
            <w:tcW w:type="dxa" w:w="2608"/>
          </w:tcPr>
          <w:p>
            <w:pPr>
              <w:spacing w:after="40" w:before="40"/>
            </w:pPr>
            <w:r/>
            <w:r>
              <w:rPr>
                <w:b/>
                <w:i w:val="0"/>
                <w:color w:val="1A1A1A"/>
                <w:sz w:val="21"/>
              </w:rPr>
              <w:t>Revised</w:t>
            </w:r>
          </w:p>
        </w:tc>
        <w:tc>
          <w:tcPr>
            <w:tcW w:type="dxa" w:w="6690"/>
          </w:tcPr>
          <w:p>
            <w:pPr>
              <w:spacing w:after="40" w:before="40"/>
            </w:pPr>
            <w:r/>
            <w:r>
              <w:rPr>
                <w:b w:val="0"/>
                <w:i w:val="0"/>
                <w:color w:val="1A1A1A"/>
                <w:sz w:val="21"/>
              </w:rPr>
              <w:t>6 August 2026, before dispatch, after the answers to ENG-DR-2026-08-06-01 came back the same day. Two of those five answers closed. Three did not, and the three that did not are now items on this schedule. Nine items became eleven.</w:t>
            </w:r>
          </w:p>
        </w:tc>
      </w:tr>
      <w:tr>
        <w:tc>
          <w:tcPr>
            <w:tcW w:type="dxa" w:w="2608"/>
          </w:tcPr>
          <w:p>
            <w:pPr>
              <w:spacing w:after="40" w:before="40"/>
            </w:pPr>
            <w:r/>
            <w:r>
              <w:rPr>
                <w:b/>
                <w:i w:val="0"/>
                <w:color w:val="1A1A1A"/>
                <w:sz w:val="21"/>
              </w:rPr>
              <w:t>This document</w:t>
            </w:r>
          </w:p>
        </w:tc>
        <w:tc>
          <w:tcPr>
            <w:tcW w:type="dxa" w:w="6690"/>
          </w:tcPr>
          <w:p>
            <w:pPr>
              <w:spacing w:after="40" w:before="40"/>
            </w:pPr>
            <w:r/>
            <w:r>
              <w:rPr>
                <w:b w:val="0"/>
                <w:i w:val="0"/>
                <w:color w:val="1A1A1A"/>
                <w:sz w:val="21"/>
              </w:rPr>
              <w:t>Frozen at dispatch, not at drafting. Once it has gone out it is never revised in place, and a change becomes ENG-CS-2026-08-06-02, authored fresh.</w:t>
            </w:r>
          </w:p>
        </w:tc>
      </w:tr>
    </w:tbl>
    <w:p>
      <w:pPr>
        <w:spacing w:after="40"/>
      </w:pPr>
    </w:p>
    <w:p>
      <w:pPr>
        <w:spacing w:before="280" w:after="80"/>
      </w:pPr>
      <w:r>
        <w:rPr>
          <w:b/>
          <w:color w:val="1A1A1A"/>
          <w:sz w:val="23"/>
        </w:rPr>
        <w:t>What this is, and what it is not</w:t>
      </w:r>
    </w:p>
    <w:p>
      <w:pPr>
        <w:spacing w:before="0" w:after="120"/>
      </w:pPr>
      <w:r>
        <w:rPr>
          <w:b/>
          <w:color w:val="1A1A1A"/>
          <w:sz w:val="21"/>
        </w:rPr>
        <w:t xml:space="preserve">This asks no new question. </w:t>
      </w:r>
      <w:r>
        <w:rPr>
          <w:b w:val="0"/>
          <w:color w:val="1A1A1A"/>
          <w:sz w:val="21"/>
        </w:rPr>
        <w:t>ENG-DR-2026-08-06-01 went out on 6 August and asks five questions the team cannot answer for itself. This document asks nothing new. It is a schedule of what has to arrive, in what form, and from whom, for each item already open, so one reader can see the whole outstanding list at once rather than discovering it one blocked story at a time.</w:t>
      </w:r>
    </w:p>
    <w:p>
      <w:pPr>
        <w:spacing w:before="0" w:after="120"/>
      </w:pPr>
      <w:r>
        <w:rPr>
          <w:b/>
          <w:color w:val="1A1A1A"/>
          <w:sz w:val="21"/>
        </w:rPr>
        <w:t xml:space="preserve">Part B is the one place that reads like a new question and is not. </w:t>
      </w:r>
      <w:r>
        <w:rPr>
          <w:b w:val="0"/>
          <w:color w:val="1A1A1A"/>
          <w:sz w:val="21"/>
        </w:rPr>
        <w:t>Two of those five decision requests came back on 6 August with answers that contradict themselves, in the same document, on the same pages. Part B asks which of the two readings is meant. That is the same question already asked, returned unresolved, not a further one.</w:t>
      </w:r>
    </w:p>
    <w:p>
      <w:pPr>
        <w:spacing w:before="0" w:after="120"/>
      </w:pPr>
      <w:r>
        <w:rPr>
          <w:b/>
          <w:color w:val="1A1A1A"/>
          <w:sz w:val="21"/>
        </w:rPr>
        <w:t xml:space="preserve">Partial answers land immediately. </w:t>
      </w:r>
      <w:r>
        <w:rPr>
          <w:b w:val="0"/>
          <w:color w:val="1A1A1A"/>
          <w:sz w:val="21"/>
        </w:rPr>
        <w:t>One completed table unblocks its story whether or not the rest of the schedule is done. Nothing here waits for everything else here.</w:t>
      </w:r>
    </w:p>
    <w:p>
      <w:r>
        <w:br w:type="page"/>
      </w:r>
    </w:p>
    <w:p>
      <w:pPr>
        <w:spacing w:after="80"/>
      </w:pPr>
      <w:r>
        <w:rPr>
          <w:b/>
          <w:color w:val="1A1A1A"/>
          <w:sz w:val="44"/>
        </w:rPr>
        <w:t>How to complete this document</w:t>
      </w:r>
    </w:p>
    <w:p>
      <w:pPr>
        <w:spacing w:after="280"/>
        <w:pBdr>
          <w:bottom w:val="single" w:sz="6" w:space="6" w:color="999999"/>
        </w:pBdr>
      </w:pPr>
      <w:r>
        <w:rPr>
          <w:i/>
          <w:color w:val="5A5A5A"/>
          <w:sz w:val="21"/>
        </w:rPr>
        <w:t>Read this page once and the rest of the document needs no explanation.</w:t>
      </w:r>
    </w:p>
    <w:p>
      <w:pPr>
        <w:spacing w:before="0" w:after="80"/>
      </w:pPr>
      <w:r>
        <w:rPr>
          <w:b/>
          <w:color w:val="1A1A1A"/>
          <w:sz w:val="23"/>
        </w:rPr>
        <w:t>Which parts you write in</w:t>
      </w:r>
    </w:p>
    <w:p>
      <w:pPr>
        <w:spacing w:before="0" w:after="160"/>
      </w:pPr>
      <w:r>
        <w:rPr>
          <w:b w:val="0"/>
          <w:i w:val="0"/>
          <w:color w:val="1A1A1A"/>
          <w:sz w:val="21"/>
        </w:rPr>
        <w:t>Every place you are asked to write is shaded pale cream and sits in a column headed WRITE YOUR ANSWER HERE, or in a sign-off box at the foot of the item. Nothing else in this document is for you to change. Grey headings and grey italic text are ours: they explain, they are not questions.</w:t>
      </w:r>
    </w:p>
    <w:tbl>
      <w:tblPr>
        <w:tblStyle w:val="TableGrid"/>
        <w:tblW w:type="auto" w:w="0"/>
        <w:jc w:val="left"/>
        <w:tblLook w:firstColumn="1" w:firstRow="1" w:lastColumn="0" w:lastRow="0" w:noHBand="0" w:noVBand="1" w:val="04A0"/>
      </w:tblPr>
      <w:tblGrid>
        <w:gridCol w:w="3099"/>
        <w:gridCol w:w="3099"/>
        <w:gridCol w:w="3099"/>
      </w:tblGrid>
      <w:tr>
        <w:tc>
          <w:tcPr>
            <w:tcW w:type="dxa" w:w="2835"/>
            <w:shd w:val="clear" w:fill="EDEDED"/>
          </w:tcPr>
          <w:p>
            <w:pPr>
              <w:spacing w:after="40" w:before="40"/>
            </w:pPr>
            <w:r/>
            <w:r>
              <w:rPr>
                <w:b/>
                <w:i w:val="0"/>
                <w:color w:val="1A1A1A"/>
                <w:sz w:val="19"/>
              </w:rPr>
              <w:t>What you see</w:t>
            </w:r>
          </w:p>
        </w:tc>
        <w:tc>
          <w:tcPr>
            <w:tcW w:type="dxa" w:w="4762"/>
            <w:shd w:val="clear" w:fill="EDEDED"/>
          </w:tcPr>
          <w:p>
            <w:pPr>
              <w:spacing w:after="40" w:before="40"/>
            </w:pPr>
            <w:r/>
            <w:r>
              <w:rPr>
                <w:b/>
                <w:i w:val="0"/>
                <w:color w:val="1A1A1A"/>
                <w:sz w:val="19"/>
              </w:rPr>
              <w:t>What it means</w:t>
            </w:r>
          </w:p>
        </w:tc>
        <w:tc>
          <w:tcPr>
            <w:tcW w:type="dxa" w:w="1701"/>
            <w:shd w:val="clear" w:fill="EDEDED"/>
          </w:tcPr>
          <w:p>
            <w:pPr>
              <w:spacing w:after="40" w:before="40"/>
            </w:pPr>
            <w:r/>
            <w:r>
              <w:rPr>
                <w:b/>
                <w:i w:val="0"/>
                <w:color w:val="1A1A1A"/>
                <w:sz w:val="19"/>
              </w:rPr>
              <w:t>Do you write in it?</w:t>
            </w:r>
          </w:p>
        </w:tc>
      </w:tr>
      <w:tr>
        <w:tc>
          <w:tcPr>
            <w:tcW w:type="dxa" w:w="2835"/>
          </w:tcPr>
          <w:p>
            <w:pPr>
              <w:spacing w:after="40" w:before="40"/>
            </w:pPr>
            <w:r/>
            <w:r>
              <w:rPr>
                <w:b w:val="0"/>
                <w:i w:val="0"/>
                <w:color w:val="1A1A1A"/>
                <w:sz w:val="19"/>
              </w:rPr>
              <w:t>Pale cream cell, in the third column</w:t>
            </w:r>
          </w:p>
        </w:tc>
        <w:tc>
          <w:tcPr>
            <w:tcW w:type="dxa" w:w="4762"/>
          </w:tcPr>
          <w:p>
            <w:pPr>
              <w:spacing w:after="40" w:before="40"/>
            </w:pPr>
            <w:r/>
            <w:r>
              <w:rPr>
                <w:b w:val="0"/>
                <w:i w:val="0"/>
                <w:color w:val="1A1A1A"/>
                <w:sz w:val="19"/>
              </w:rPr>
              <w:t>The answer to the numbered row on its left</w:t>
            </w:r>
          </w:p>
        </w:tc>
        <w:tc>
          <w:tcPr>
            <w:tcW w:type="dxa" w:w="1701"/>
          </w:tcPr>
          <w:p>
            <w:pPr>
              <w:spacing w:after="40" w:before="40"/>
            </w:pPr>
            <w:r/>
            <w:r>
              <w:rPr>
                <w:b w:val="0"/>
                <w:i w:val="0"/>
                <w:color w:val="1A1A1A"/>
                <w:sz w:val="19"/>
              </w:rPr>
              <w:t>Yes</w:t>
            </w:r>
          </w:p>
        </w:tc>
      </w:tr>
      <w:tr>
        <w:tc>
          <w:tcPr>
            <w:tcW w:type="dxa" w:w="2835"/>
          </w:tcPr>
          <w:p>
            <w:pPr>
              <w:spacing w:after="40" w:before="40"/>
            </w:pPr>
            <w:r/>
            <w:r>
              <w:rPr>
                <w:b w:val="0"/>
                <w:i w:val="0"/>
                <w:color w:val="1A1A1A"/>
                <w:sz w:val="19"/>
              </w:rPr>
              <w:t>Pale cream cell, in a SIGN-OFF box</w:t>
            </w:r>
          </w:p>
        </w:tc>
        <w:tc>
          <w:tcPr>
            <w:tcW w:type="dxa" w:w="4762"/>
          </w:tcPr>
          <w:p>
            <w:pPr>
              <w:spacing w:after="40" w:before="40"/>
            </w:pPr>
            <w:r/>
            <w:r>
              <w:rPr>
                <w:b w:val="0"/>
                <w:i w:val="0"/>
                <w:color w:val="1A1A1A"/>
                <w:sz w:val="19"/>
              </w:rPr>
              <w:t>Who answered, their role, and the date</w:t>
            </w:r>
          </w:p>
        </w:tc>
        <w:tc>
          <w:tcPr>
            <w:tcW w:type="dxa" w:w="1701"/>
          </w:tcPr>
          <w:p>
            <w:pPr>
              <w:spacing w:after="40" w:before="40"/>
            </w:pPr>
            <w:r/>
            <w:r>
              <w:rPr>
                <w:b w:val="0"/>
                <w:i w:val="0"/>
                <w:color w:val="1A1A1A"/>
                <w:sz w:val="19"/>
              </w:rPr>
              <w:t>Yes</w:t>
            </w:r>
          </w:p>
        </w:tc>
      </w:tr>
      <w:tr>
        <w:tc>
          <w:tcPr>
            <w:tcW w:type="dxa" w:w="2835"/>
          </w:tcPr>
          <w:p>
            <w:pPr>
              <w:spacing w:after="40" w:before="40"/>
            </w:pPr>
            <w:r/>
            <w:r>
              <w:rPr>
                <w:b w:val="0"/>
                <w:i w:val="0"/>
                <w:color w:val="1A1A1A"/>
                <w:sz w:val="19"/>
              </w:rPr>
              <w:t>Grey shaded header row</w:t>
            </w:r>
          </w:p>
        </w:tc>
        <w:tc>
          <w:tcPr>
            <w:tcW w:type="dxa" w:w="4762"/>
          </w:tcPr>
          <w:p>
            <w:pPr>
              <w:spacing w:after="40" w:before="40"/>
            </w:pPr>
            <w:r/>
            <w:r>
              <w:rPr>
                <w:b w:val="0"/>
                <w:i w:val="0"/>
                <w:color w:val="1A1A1A"/>
                <w:sz w:val="19"/>
              </w:rPr>
              <w:t>The name of a column or a box</w:t>
            </w:r>
          </w:p>
        </w:tc>
        <w:tc>
          <w:tcPr>
            <w:tcW w:type="dxa" w:w="1701"/>
          </w:tcPr>
          <w:p>
            <w:pPr>
              <w:spacing w:after="40" w:before="40"/>
            </w:pPr>
            <w:r/>
            <w:r>
              <w:rPr>
                <w:b w:val="0"/>
                <w:i w:val="0"/>
                <w:color w:val="1A1A1A"/>
                <w:sz w:val="19"/>
              </w:rPr>
              <w:t>No</w:t>
            </w:r>
          </w:p>
        </w:tc>
      </w:tr>
      <w:tr>
        <w:tc>
          <w:tcPr>
            <w:tcW w:type="dxa" w:w="2835"/>
          </w:tcPr>
          <w:p>
            <w:pPr>
              <w:spacing w:after="40" w:before="40"/>
            </w:pPr>
            <w:r/>
            <w:r>
              <w:rPr>
                <w:b w:val="0"/>
                <w:i w:val="0"/>
                <w:color w:val="1A1A1A"/>
                <w:sz w:val="19"/>
              </w:rPr>
              <w:t>Grey italic text under a row</w:t>
            </w:r>
          </w:p>
        </w:tc>
        <w:tc>
          <w:tcPr>
            <w:tcW w:type="dxa" w:w="4762"/>
          </w:tcPr>
          <w:p>
            <w:pPr>
              <w:spacing w:after="40" w:before="40"/>
            </w:pPr>
            <w:r/>
            <w:r>
              <w:rPr>
                <w:b w:val="0"/>
                <w:i w:val="0"/>
                <w:color w:val="1A1A1A"/>
                <w:sz w:val="19"/>
              </w:rPr>
              <w:t>The exact format that row's answer has to take</w:t>
            </w:r>
          </w:p>
        </w:tc>
        <w:tc>
          <w:tcPr>
            <w:tcW w:type="dxa" w:w="1701"/>
          </w:tcPr>
          <w:p>
            <w:pPr>
              <w:spacing w:after="40" w:before="40"/>
            </w:pPr>
            <w:r/>
            <w:r>
              <w:rPr>
                <w:b w:val="0"/>
                <w:i w:val="0"/>
                <w:color w:val="1A1A1A"/>
                <w:sz w:val="19"/>
              </w:rPr>
              <w:t>No</w:t>
            </w:r>
          </w:p>
        </w:tc>
      </w:tr>
      <w:tr>
        <w:tc>
          <w:tcPr>
            <w:tcW w:type="dxa" w:w="2835"/>
          </w:tcPr>
          <w:p>
            <w:pPr>
              <w:spacing w:after="40" w:before="40"/>
            </w:pPr>
            <w:r/>
            <w:r>
              <w:rPr>
                <w:b w:val="0"/>
                <w:i w:val="0"/>
                <w:color w:val="1A1A1A"/>
                <w:sz w:val="19"/>
              </w:rPr>
              <w:t>OPTIONAL suggested wording box</w:t>
            </w:r>
          </w:p>
        </w:tc>
        <w:tc>
          <w:tcPr>
            <w:tcW w:type="dxa" w:w="4762"/>
          </w:tcPr>
          <w:p>
            <w:pPr>
              <w:spacing w:after="40" w:before="40"/>
            </w:pPr>
            <w:r/>
            <w:r>
              <w:rPr>
                <w:b w:val="0"/>
                <w:i w:val="0"/>
                <w:color w:val="1A1A1A"/>
                <w:sz w:val="19"/>
              </w:rPr>
              <w:t>A draft reply, if you would rather write prose than fill a table</w:t>
            </w:r>
          </w:p>
        </w:tc>
        <w:tc>
          <w:tcPr>
            <w:tcW w:type="dxa" w:w="1701"/>
          </w:tcPr>
          <w:p>
            <w:pPr>
              <w:spacing w:after="40" w:before="40"/>
            </w:pPr>
            <w:r/>
            <w:r>
              <w:rPr>
                <w:b w:val="0"/>
                <w:i w:val="0"/>
                <w:color w:val="1A1A1A"/>
                <w:sz w:val="19"/>
              </w:rPr>
              <w:t>Only if you use it</w:t>
            </w:r>
          </w:p>
        </w:tc>
      </w:tr>
      <w:tr>
        <w:tc>
          <w:tcPr>
            <w:tcW w:type="dxa" w:w="2835"/>
          </w:tcPr>
          <w:p>
            <w:pPr>
              <w:spacing w:after="40" w:before="40"/>
            </w:pPr>
            <w:r/>
            <w:r>
              <w:rPr>
                <w:b w:val="0"/>
                <w:i w:val="0"/>
                <w:color w:val="1A1A1A"/>
                <w:sz w:val="19"/>
              </w:rPr>
              <w:t>Pink box with red text</w:t>
            </w:r>
          </w:p>
        </w:tc>
        <w:tc>
          <w:tcPr>
            <w:tcW w:type="dxa" w:w="4762"/>
          </w:tcPr>
          <w:p>
            <w:pPr>
              <w:spacing w:after="40" w:before="40"/>
            </w:pPr>
            <w:r/>
            <w:r>
              <w:rPr>
                <w:b w:val="0"/>
                <w:i w:val="0"/>
                <w:color w:val="1A1A1A"/>
                <w:sz w:val="19"/>
              </w:rPr>
              <w:t>A warning that a row must never contain a secret value</w:t>
            </w:r>
          </w:p>
        </w:tc>
        <w:tc>
          <w:tcPr>
            <w:tcW w:type="dxa" w:w="1701"/>
          </w:tcPr>
          <w:p>
            <w:pPr>
              <w:spacing w:after="40" w:before="40"/>
            </w:pPr>
            <w:r/>
            <w:r>
              <w:rPr>
                <w:b w:val="0"/>
                <w:i w:val="0"/>
                <w:color w:val="1A1A1A"/>
                <w:sz w:val="19"/>
              </w:rPr>
              <w:t>No</w:t>
            </w:r>
          </w:p>
        </w:tc>
      </w:tr>
    </w:tbl>
    <w:p>
      <w:pPr>
        <w:spacing w:after="40"/>
      </w:pPr>
    </w:p>
    <w:p>
      <w:pPr>
        <w:spacing w:before="240" w:after="80"/>
      </w:pPr>
      <w:r>
        <w:rPr>
          <w:b/>
          <w:color w:val="1A1A1A"/>
          <w:sz w:val="23"/>
        </w:rPr>
        <w:t>Five rules that remove every ambiguity</w:t>
      </w:r>
    </w:p>
    <w:p>
      <w:pPr>
        <w:pStyle w:val="ListBullet"/>
        <w:spacing w:after="80"/>
        <w:ind w:left="397" w:hanging="198"/>
      </w:pPr>
      <w:r>
        <w:rPr>
          <w:b/>
          <w:color w:val="1A1A1A"/>
          <w:sz w:val="21"/>
        </w:rPr>
        <w:t xml:space="preserve">Never leave a row blank. </w:t>
      </w:r>
      <w:r>
        <w:rPr>
          <w:b w:val="0"/>
          <w:color w:val="1A1A1A"/>
          <w:sz w:val="21"/>
        </w:rPr>
        <w:t>A blank cannot be told apart from a row nobody read. If a row does not apply, write "not applicable" and one line saying why. If the answer is not available today, write "pending" and the date you expect to have it.</w:t>
      </w:r>
    </w:p>
    <w:p>
      <w:pPr>
        <w:pStyle w:val="ListBullet"/>
        <w:spacing w:after="80"/>
        <w:ind w:left="397" w:hanging="198"/>
      </w:pPr>
      <w:r>
        <w:rPr>
          <w:b/>
          <w:color w:val="1A1A1A"/>
          <w:sz w:val="21"/>
        </w:rPr>
        <w:t xml:space="preserve">Never write a secret value. </w:t>
      </w:r>
      <w:r>
        <w:rPr>
          <w:b w:val="0"/>
          <w:color w:val="1A1A1A"/>
          <w:sz w:val="21"/>
        </w:rPr>
        <w:t>No API key, password, secret or access token goes in this document, in any row, in any circumstance. Rows about credentials ask who received them, on what date, and through which channel. That is the whole answer we need.</w:t>
      </w:r>
    </w:p>
    <w:p>
      <w:pPr>
        <w:pStyle w:val="ListBullet"/>
        <w:spacing w:after="80"/>
        <w:ind w:left="397" w:hanging="198"/>
      </w:pPr>
      <w:r>
        <w:rPr>
          <w:b/>
          <w:color w:val="1A1A1A"/>
          <w:sz w:val="21"/>
        </w:rPr>
        <w:t xml:space="preserve">Dates in full. </w:t>
      </w:r>
      <w:r>
        <w:rPr>
          <w:b w:val="0"/>
          <w:color w:val="1A1A1A"/>
          <w:sz w:val="21"/>
        </w:rPr>
        <w:t>Write 12 August 2026 or 12/08/2026. Not "next week", not "soon", not "Q3". A date goes into a record that other dates are calculated from.</w:t>
      </w:r>
    </w:p>
    <w:p>
      <w:pPr>
        <w:pStyle w:val="ListBullet"/>
        <w:spacing w:after="80"/>
        <w:ind w:left="397" w:hanging="198"/>
      </w:pPr>
      <w:r>
        <w:rPr>
          <w:b/>
          <w:color w:val="1A1A1A"/>
          <w:sz w:val="21"/>
        </w:rPr>
        <w:t xml:space="preserve">Name people, not departments. </w:t>
      </w:r>
      <w:r>
        <w:rPr>
          <w:b w:val="0"/>
          <w:color w:val="1A1A1A"/>
          <w:sz w:val="21"/>
        </w:rPr>
        <w:t>"Finance" cannot approve anything. A named person in a named role can. Every sign-off box asks for a name and a role for that reason.</w:t>
      </w:r>
    </w:p>
    <w:p>
      <w:pPr>
        <w:pStyle w:val="ListBullet"/>
        <w:spacing w:after="80"/>
        <w:ind w:left="397" w:hanging="198"/>
      </w:pPr>
      <w:r>
        <w:rPr>
          <w:b/>
          <w:color w:val="1A1A1A"/>
          <w:sz w:val="21"/>
        </w:rPr>
        <w:t xml:space="preserve">If a row is wrong, say so in the row. </w:t>
      </w:r>
      <w:r>
        <w:rPr>
          <w:b w:val="0"/>
          <w:color w:val="1A1A1A"/>
          <w:sz w:val="21"/>
        </w:rPr>
        <w:t>If we have misunderstood something, write the correction in the answer column. A corrected row is more useful to us than a compliant one.</w:t>
      </w:r>
    </w:p>
    <w:p>
      <w:pPr>
        <w:spacing w:before="240" w:after="80"/>
      </w:pPr>
      <w:r>
        <w:rPr>
          <w:b/>
          <w:color w:val="1A1A1A"/>
          <w:sz w:val="23"/>
        </w:rPr>
        <w:t>A worked example, so the format is not in doubt</w:t>
      </w:r>
    </w:p>
    <w:p>
      <w:pPr>
        <w:spacing w:before="0" w:after="120"/>
      </w:pPr>
      <w:r>
        <w:rPr>
          <w:b w:val="0"/>
          <w:i w:val="0"/>
          <w:color w:val="5A5A5A"/>
          <w:sz w:val="19"/>
        </w:rPr>
        <w:t>This is what a completed row looks like. The values are invented.</w:t>
      </w:r>
    </w:p>
    <w:tbl>
      <w:tblPr>
        <w:tblStyle w:val="TableGrid"/>
        <w:tblW w:type="auto" w:w="0"/>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The bank, account name and account number of the client-funds account.</w:t>
            </w:r>
          </w:p>
          <w:p>
            <w:pPr>
              <w:spacing w:after="40" w:before="0"/>
            </w:pPr>
            <w:r>
              <w:rPr>
                <w:b w:val="0"/>
                <w:i/>
                <w:color w:val="5A5A5A"/>
                <w:sz w:val="17"/>
              </w:rPr>
              <w:t>Format: bank name, account name as it appears on the mandate, and the 10-digit NUBAN.</w:t>
            </w:r>
          </w:p>
        </w:tc>
        <w:tc>
          <w:tcPr>
            <w:tcW w:type="dxa" w:w="3515"/>
            <w:shd w:val="clear" w:fill="FFFDF2"/>
          </w:tcPr>
          <w:p>
            <w:pPr>
              <w:spacing w:after="40" w:before="40"/>
            </w:pPr>
            <w:r/>
            <w:r>
              <w:rPr>
                <w:b w:val="0"/>
                <w:i w:val="0"/>
                <w:color w:val="1A1A1A"/>
                <w:sz w:val="18"/>
              </w:rPr>
              <w:t>Zenith Bank, SafeBuy Realties Client Account, 1234567890</w:t>
            </w: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mandate that ring-fences that account from operating funds.</w:t>
            </w:r>
          </w:p>
          <w:p>
            <w:pPr>
              <w:spacing w:after="40" w:before="0"/>
            </w:pPr>
            <w:r>
              <w:rPr>
                <w:b w:val="0"/>
                <w:i/>
                <w:color w:val="5A5A5A"/>
                <w:sz w:val="17"/>
              </w:rPr>
              <w:t>Format: date and reference of the mandate, or write "attached" and enclose it.</w:t>
            </w:r>
          </w:p>
        </w:tc>
        <w:tc>
          <w:tcPr>
            <w:tcW w:type="dxa" w:w="3515"/>
            <w:shd w:val="clear" w:fill="FFFDF2"/>
          </w:tcPr>
          <w:p>
            <w:pPr>
              <w:spacing w:after="40" w:before="40"/>
            </w:pPr>
            <w:r/>
            <w:r>
              <w:rPr>
                <w:b w:val="0"/>
                <w:i w:val="0"/>
                <w:color w:val="1A1A1A"/>
                <w:sz w:val="18"/>
              </w:rPr>
              <w:t>Pending. The mandate is with the bank for signature, expected 14 August 2026.</w:t>
            </w:r>
          </w:p>
        </w:tc>
      </w:tr>
    </w:tbl>
    <w:p>
      <w:pPr>
        <w:spacing w:after="120"/>
      </w:pPr>
    </w:p>
    <w:p>
      <w:pPr>
        <w:spacing w:before="80" w:after="120"/>
      </w:pPr>
      <w:r>
        <w:rPr>
          <w:b w:val="0"/>
          <w:i w:val="0"/>
          <w:color w:val="5A5A5A"/>
          <w:sz w:val="19"/>
        </w:rPr>
        <w:t>Row 3 is as useful to us as row 2. It tells us the item is moving, who has it, and when to expect it, which is exactly what a blank cell fails to tell us.</w:t>
      </w:r>
    </w:p>
    <w:p>
      <w:pPr>
        <w:spacing w:before="240" w:after="80"/>
      </w:pPr>
      <w:r>
        <w:rPr>
          <w:b/>
          <w:color w:val="1A1A1A"/>
          <w:sz w:val="23"/>
        </w:rPr>
        <w:t>How to return it</w:t>
      </w:r>
    </w:p>
    <w:p>
      <w:pPr>
        <w:spacing w:before="0" w:after="160"/>
      </w:pPr>
      <w:r>
        <w:rPr>
          <w:b w:val="0"/>
          <w:i w:val="0"/>
          <w:color w:val="1A1A1A"/>
          <w:sz w:val="21"/>
        </w:rPr>
        <w:t>Fill it on screen and email the file back, or print it, write on it, and send a scan or a photograph of the pages you completed. Answering in an email works too, as long as each answer names its item and row number, because each one is written into a different record and releases a different piece of work. Send it to Abie Olaluwe at oolaluwe@gmail.com.</w:t>
      </w:r>
    </w:p>
    <w:p>
      <w:pPr>
        <w:spacing w:before="240" w:after="80"/>
      </w:pPr>
      <w:r>
        <w:rPr>
          <w:b/>
          <w:color w:val="1A1A1A"/>
          <w:sz w:val="23"/>
        </w:rPr>
        <w:t>The eleven items, and what each one releases</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77"/>
            <w:shd w:val="clear" w:fill="EDEDED"/>
          </w:tcPr>
          <w:p>
            <w:pPr>
              <w:spacing w:after="40" w:before="40"/>
            </w:pPr>
            <w:r/>
            <w:r>
              <w:rPr>
                <w:b/>
                <w:i w:val="0"/>
                <w:color w:val="1A1A1A"/>
                <w:sz w:val="18"/>
              </w:rPr>
              <w:t>Item</w:t>
            </w:r>
          </w:p>
        </w:tc>
        <w:tc>
          <w:tcPr>
            <w:tcW w:type="dxa" w:w="3175"/>
            <w:shd w:val="clear" w:fill="EDEDED"/>
          </w:tcPr>
          <w:p>
            <w:pPr>
              <w:spacing w:after="40" w:before="40"/>
            </w:pPr>
            <w:r/>
            <w:r>
              <w:rPr>
                <w:b/>
                <w:i w:val="0"/>
                <w:color w:val="1A1A1A"/>
                <w:sz w:val="18"/>
              </w:rPr>
              <w:t>Subject</w:t>
            </w:r>
          </w:p>
        </w:tc>
        <w:tc>
          <w:tcPr>
            <w:tcW w:type="dxa" w:w="4025"/>
            <w:shd w:val="clear" w:fill="EDEDED"/>
          </w:tcPr>
          <w:p>
            <w:pPr>
              <w:spacing w:after="40" w:before="40"/>
            </w:pPr>
            <w:r/>
            <w:r>
              <w:rPr>
                <w:b/>
                <w:i w:val="0"/>
                <w:color w:val="1A1A1A"/>
                <w:sz w:val="18"/>
              </w:rPr>
              <w:t>What it releases</w:t>
            </w:r>
          </w:p>
        </w:tc>
        <w:tc>
          <w:tcPr>
            <w:tcW w:type="dxa" w:w="1020"/>
            <w:shd w:val="clear" w:fill="EDEDED"/>
          </w:tcPr>
          <w:p>
            <w:pPr>
              <w:spacing w:after="40" w:before="40"/>
            </w:pPr>
            <w:r/>
            <w:r>
              <w:rPr>
                <w:b/>
                <w:i w:val="0"/>
                <w:color w:val="1A1A1A"/>
                <w:sz w:val="18"/>
              </w:rPr>
              <w:t>Page</w:t>
            </w:r>
          </w:p>
        </w:tc>
      </w:tr>
      <w:tr>
        <w:tc>
          <w:tcPr>
            <w:tcW w:type="dxa" w:w="1077"/>
          </w:tcPr>
          <w:p>
            <w:pPr>
              <w:spacing w:after="40" w:before="40"/>
            </w:pPr>
            <w:r/>
            <w:r>
              <w:rPr>
                <w:b w:val="0"/>
                <w:i w:val="0"/>
                <w:color w:val="1A1A1A"/>
                <w:sz w:val="18"/>
              </w:rPr>
              <w:t>EXT-1</w:t>
            </w:r>
          </w:p>
        </w:tc>
        <w:tc>
          <w:tcPr>
            <w:tcW w:type="dxa" w:w="3175"/>
          </w:tcPr>
          <w:p>
            <w:pPr>
              <w:spacing w:after="40" w:before="40"/>
            </w:pPr>
            <w:r/>
            <w:r>
              <w:rPr>
                <w:b w:val="0"/>
                <w:i w:val="0"/>
                <w:color w:val="1A1A1A"/>
                <w:sz w:val="18"/>
              </w:rPr>
              <w:t>Live payment credentials and a client-funds account</w:t>
            </w:r>
          </w:p>
        </w:tc>
        <w:tc>
          <w:tcPr>
            <w:tcW w:type="dxa" w:w="4025"/>
          </w:tcPr>
          <w:p>
            <w:pPr>
              <w:spacing w:after="40" w:before="40"/>
            </w:pPr>
            <w:r/>
            <w:r>
              <w:rPr>
                <w:b w:val="0"/>
                <w:i w:val="0"/>
                <w:color w:val="1A1A1A"/>
                <w:sz w:val="18"/>
              </w:rPr>
              <w:t>Seller payouts, the escrow sub-ledger, gates G2 and G6</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EXT-2</w:t>
            </w:r>
          </w:p>
        </w:tc>
        <w:tc>
          <w:tcPr>
            <w:tcW w:type="dxa" w:w="3175"/>
          </w:tcPr>
          <w:p>
            <w:pPr>
              <w:spacing w:after="40" w:before="40"/>
            </w:pPr>
            <w:r/>
            <w:r>
              <w:rPr>
                <w:b w:val="0"/>
                <w:i w:val="0"/>
                <w:color w:val="1A1A1A"/>
                <w:sz w:val="18"/>
              </w:rPr>
              <w:t>Object storage bucket, credentials and region</w:t>
            </w:r>
          </w:p>
        </w:tc>
        <w:tc>
          <w:tcPr>
            <w:tcW w:type="dxa" w:w="4025"/>
          </w:tcPr>
          <w:p>
            <w:pPr>
              <w:spacing w:after="40" w:before="40"/>
            </w:pPr>
            <w:r/>
            <w:r>
              <w:rPr>
                <w:b w:val="0"/>
                <w:i w:val="0"/>
                <w:color w:val="1A1A1A"/>
                <w:sz w:val="18"/>
              </w:rPr>
              <w:t>Durable document storage, and the migration behind it, gate G3</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EXT-3</w:t>
            </w:r>
          </w:p>
        </w:tc>
        <w:tc>
          <w:tcPr>
            <w:tcW w:type="dxa" w:w="3175"/>
          </w:tcPr>
          <w:p>
            <w:pPr>
              <w:spacing w:after="40" w:before="40"/>
            </w:pPr>
            <w:r/>
            <w:r>
              <w:rPr>
                <w:b w:val="0"/>
                <w:i w:val="0"/>
                <w:color w:val="1A1A1A"/>
                <w:sz w:val="18"/>
              </w:rPr>
              <w:t>Transactional email domain and authentication</w:t>
            </w:r>
          </w:p>
        </w:tc>
        <w:tc>
          <w:tcPr>
            <w:tcW w:type="dxa" w:w="4025"/>
          </w:tcPr>
          <w:p>
            <w:pPr>
              <w:spacing w:after="40" w:before="40"/>
            </w:pPr>
            <w:r/>
            <w:r>
              <w:rPr>
                <w:b w:val="0"/>
                <w:i w:val="0"/>
                <w:color w:val="1A1A1A"/>
                <w:sz w:val="18"/>
              </w:rPr>
              <w:t>Email delivery</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EXT-4</w:t>
            </w:r>
          </w:p>
        </w:tc>
        <w:tc>
          <w:tcPr>
            <w:tcW w:type="dxa" w:w="3175"/>
          </w:tcPr>
          <w:p>
            <w:pPr>
              <w:spacing w:after="40" w:before="40"/>
            </w:pPr>
            <w:r/>
            <w:r>
              <w:rPr>
                <w:b w:val="0"/>
                <w:i w:val="0"/>
                <w:color w:val="1A1A1A"/>
                <w:sz w:val="18"/>
              </w:rPr>
              <w:t>Counsel-approved instruments and terms</w:t>
            </w:r>
          </w:p>
        </w:tc>
        <w:tc>
          <w:tcPr>
            <w:tcW w:type="dxa" w:w="4025"/>
          </w:tcPr>
          <w:p>
            <w:pPr>
              <w:spacing w:after="40" w:before="40"/>
            </w:pPr>
            <w:r/>
            <w:r>
              <w:rPr>
                <w:b w:val="0"/>
                <w:i w:val="0"/>
                <w:color w:val="1A1A1A"/>
                <w:sz w:val="18"/>
              </w:rPr>
              <w:t>Legal review, gate G4, and the outstanding half of EXT-10</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EXT-5</w:t>
            </w:r>
          </w:p>
        </w:tc>
        <w:tc>
          <w:tcPr>
            <w:tcW w:type="dxa" w:w="3175"/>
          </w:tcPr>
          <w:p>
            <w:pPr>
              <w:spacing w:after="40" w:before="40"/>
            </w:pPr>
            <w:r/>
            <w:r>
              <w:rPr>
                <w:b w:val="0"/>
                <w:i w:val="0"/>
                <w:color w:val="1A1A1A"/>
                <w:sz w:val="18"/>
              </w:rPr>
              <w:t>Privacy notice, retention periods and an adopted policy</w:t>
            </w:r>
          </w:p>
        </w:tc>
        <w:tc>
          <w:tcPr>
            <w:tcW w:type="dxa" w:w="4025"/>
          </w:tcPr>
          <w:p>
            <w:pPr>
              <w:spacing w:after="40" w:before="40"/>
            </w:pPr>
            <w:r/>
            <w:r>
              <w:rPr>
                <w:b w:val="0"/>
                <w:i w:val="0"/>
                <w:color w:val="1A1A1A"/>
                <w:sz w:val="18"/>
              </w:rPr>
              <w:t>NDPR consent, retention and erasure</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EXT-6</w:t>
            </w:r>
          </w:p>
        </w:tc>
        <w:tc>
          <w:tcPr>
            <w:tcW w:type="dxa" w:w="3175"/>
          </w:tcPr>
          <w:p>
            <w:pPr>
              <w:spacing w:after="40" w:before="40"/>
            </w:pPr>
            <w:r/>
            <w:r>
              <w:rPr>
                <w:b w:val="0"/>
                <w:i w:val="0"/>
                <w:color w:val="1A1A1A"/>
                <w:sz w:val="18"/>
              </w:rPr>
              <w:t>Penetration test vendor and window</w:t>
            </w:r>
          </w:p>
        </w:tc>
        <w:tc>
          <w:tcPr>
            <w:tcW w:type="dxa" w:w="4025"/>
          </w:tcPr>
          <w:p>
            <w:pPr>
              <w:spacing w:after="40" w:before="40"/>
            </w:pPr>
            <w:r/>
            <w:r>
              <w:rPr>
                <w:b w:val="0"/>
                <w:i w:val="0"/>
                <w:color w:val="1A1A1A"/>
                <w:sz w:val="18"/>
              </w:rPr>
              <w:t>Security review, gate G5</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EXT-8</w:t>
            </w:r>
          </w:p>
        </w:tc>
        <w:tc>
          <w:tcPr>
            <w:tcW w:type="dxa" w:w="3175"/>
          </w:tcPr>
          <w:p>
            <w:pPr>
              <w:spacing w:after="40" w:before="40"/>
            </w:pPr>
            <w:r/>
            <w:r>
              <w:rPr>
                <w:b w:val="0"/>
                <w:i w:val="0"/>
                <w:color w:val="1A1A1A"/>
                <w:sz w:val="18"/>
              </w:rPr>
              <w:t>Three contradictions inside the identifier answer, and four gaps</w:t>
            </w:r>
          </w:p>
        </w:tc>
        <w:tc>
          <w:tcPr>
            <w:tcW w:type="dxa" w:w="4025"/>
          </w:tcPr>
          <w:p>
            <w:pPr>
              <w:spacing w:after="40" w:before="40"/>
            </w:pPr>
            <w:r/>
            <w:r>
              <w:rPr>
                <w:b w:val="0"/>
                <w:i w:val="0"/>
                <w:color w:val="1A1A1A"/>
                <w:sz w:val="18"/>
              </w:rPr>
              <w:t>The identifier half of E9-S2</w:t>
            </w:r>
          </w:p>
        </w:tc>
        <w:tc>
          <w:tcPr>
            <w:tcW w:type="dxa" w:w="1020"/>
          </w:tcPr>
          <w:p>
            <w:pPr>
              <w:spacing w:after="40" w:before="40"/>
            </w:pPr>
            <w:r/>
            <w:r>
              <w:rPr>
                <w:b w:val="0"/>
                <w:i w:val="0"/>
                <w:color w:val="1A1A1A"/>
                <w:sz w:val="18"/>
              </w:rPr>
              <w:t>Part B</w:t>
            </w:r>
          </w:p>
        </w:tc>
      </w:tr>
      <w:tr>
        <w:tc>
          <w:tcPr>
            <w:tcW w:type="dxa" w:w="1077"/>
          </w:tcPr>
          <w:p>
            <w:pPr>
              <w:spacing w:after="40" w:before="40"/>
            </w:pPr>
            <w:r/>
            <w:r>
              <w:rPr>
                <w:b w:val="0"/>
                <w:i w:val="0"/>
                <w:color w:val="1A1A1A"/>
                <w:sz w:val="18"/>
              </w:rPr>
              <w:t>EXT-9</w:t>
            </w:r>
          </w:p>
        </w:tc>
        <w:tc>
          <w:tcPr>
            <w:tcW w:type="dxa" w:w="3175"/>
          </w:tcPr>
          <w:p>
            <w:pPr>
              <w:spacing w:after="40" w:before="40"/>
            </w:pPr>
            <w:r/>
            <w:r>
              <w:rPr>
                <w:b w:val="0"/>
                <w:i w:val="0"/>
                <w:color w:val="1A1A1A"/>
                <w:sz w:val="18"/>
              </w:rPr>
              <w:t>The commission rate. The structure is settled, the number is not</w:t>
            </w:r>
          </w:p>
        </w:tc>
        <w:tc>
          <w:tcPr>
            <w:tcW w:type="dxa" w:w="4025"/>
          </w:tcPr>
          <w:p>
            <w:pPr>
              <w:spacing w:after="40" w:before="40"/>
            </w:pPr>
            <w:r/>
            <w:r>
              <w:rPr>
                <w:b w:val="0"/>
                <w:i w:val="0"/>
                <w:color w:val="1A1A1A"/>
                <w:sz w:val="18"/>
              </w:rPr>
              <w:t>E9-S3's commission half, and two points of EXT-4</w:t>
            </w:r>
          </w:p>
        </w:tc>
        <w:tc>
          <w:tcPr>
            <w:tcW w:type="dxa" w:w="1020"/>
          </w:tcPr>
          <w:p>
            <w:pPr>
              <w:spacing w:after="40" w:before="40"/>
            </w:pPr>
            <w:r/>
            <w:r>
              <w:rPr>
                <w:b w:val="0"/>
                <w:i w:val="0"/>
                <w:color w:val="1A1A1A"/>
                <w:sz w:val="18"/>
              </w:rPr>
              <w:t>Part B</w:t>
            </w:r>
          </w:p>
        </w:tc>
      </w:tr>
      <w:tr>
        <w:tc>
          <w:tcPr>
            <w:tcW w:type="dxa" w:w="1077"/>
          </w:tcPr>
          <w:p>
            <w:pPr>
              <w:spacing w:after="40" w:before="40"/>
            </w:pPr>
            <w:r/>
            <w:r>
              <w:rPr>
                <w:b w:val="0"/>
                <w:i w:val="0"/>
                <w:color w:val="1A1A1A"/>
                <w:sz w:val="18"/>
              </w:rPr>
              <w:t>ADR-0003</w:t>
            </w:r>
          </w:p>
        </w:tc>
        <w:tc>
          <w:tcPr>
            <w:tcW w:type="dxa" w:w="3175"/>
          </w:tcPr>
          <w:p>
            <w:pPr>
              <w:spacing w:after="40" w:before="40"/>
            </w:pPr>
            <w:r/>
            <w:r>
              <w:rPr>
                <w:b w:val="0"/>
                <w:i w:val="0"/>
                <w:color w:val="1A1A1A"/>
                <w:sz w:val="18"/>
              </w:rPr>
              <w:t>Fail startup rather than silently mock payments</w:t>
            </w:r>
          </w:p>
        </w:tc>
        <w:tc>
          <w:tcPr>
            <w:tcW w:type="dxa" w:w="4025"/>
          </w:tcPr>
          <w:p>
            <w:pPr>
              <w:spacing w:after="40" w:before="40"/>
            </w:pPr>
            <w:r/>
            <w:r>
              <w:rPr>
                <w:b w:val="0"/>
                <w:i w:val="0"/>
                <w:color w:val="1A1A1A"/>
                <w:sz w:val="18"/>
              </w:rPr>
              <w:t>Ratifies behaviour already live in production</w:t>
            </w:r>
          </w:p>
        </w:tc>
        <w:tc>
          <w:tcPr>
            <w:tcW w:type="dxa" w:w="1020"/>
          </w:tcPr>
          <w:p>
            <w:pPr>
              <w:spacing w:after="40" w:before="40"/>
            </w:pPr>
            <w:r/>
            <w:r>
              <w:rPr>
                <w:b w:val="0"/>
                <w:i w:val="0"/>
                <w:color w:val="1A1A1A"/>
                <w:sz w:val="18"/>
              </w:rPr>
              <w:t>Part C</w:t>
            </w:r>
          </w:p>
        </w:tc>
      </w:tr>
      <w:tr>
        <w:tc>
          <w:tcPr>
            <w:tcW w:type="dxa" w:w="1077"/>
          </w:tcPr>
          <w:p>
            <w:pPr>
              <w:spacing w:after="40" w:before="40"/>
            </w:pPr>
            <w:r/>
            <w:r>
              <w:rPr>
                <w:b w:val="0"/>
                <w:i w:val="0"/>
                <w:color w:val="1A1A1A"/>
                <w:sz w:val="18"/>
              </w:rPr>
              <w:t>ADR-0004</w:t>
            </w:r>
          </w:p>
        </w:tc>
        <w:tc>
          <w:tcPr>
            <w:tcW w:type="dxa" w:w="3175"/>
          </w:tcPr>
          <w:p>
            <w:pPr>
              <w:spacing w:after="40" w:before="40"/>
            </w:pPr>
            <w:r/>
            <w:r>
              <w:rPr>
                <w:b w:val="0"/>
                <w:i w:val="0"/>
                <w:color w:val="1A1A1A"/>
                <w:sz w:val="18"/>
              </w:rPr>
              <w:t>Private documents behind authorization</w:t>
            </w:r>
          </w:p>
        </w:tc>
        <w:tc>
          <w:tcPr>
            <w:tcW w:type="dxa" w:w="4025"/>
          </w:tcPr>
          <w:p>
            <w:pPr>
              <w:spacing w:after="40" w:before="40"/>
            </w:pPr>
            <w:r/>
            <w:r>
              <w:rPr>
                <w:b w:val="0"/>
                <w:i w:val="0"/>
                <w:color w:val="1A1A1A"/>
                <w:sz w:val="18"/>
              </w:rPr>
              <w:t>Ratifies behaviour already live, and decision D4</w:t>
            </w:r>
          </w:p>
        </w:tc>
        <w:tc>
          <w:tcPr>
            <w:tcW w:type="dxa" w:w="1020"/>
          </w:tcPr>
          <w:p>
            <w:pPr>
              <w:spacing w:after="40" w:before="40"/>
            </w:pPr>
            <w:r/>
            <w:r>
              <w:rPr>
                <w:b w:val="0"/>
                <w:i w:val="0"/>
                <w:color w:val="1A1A1A"/>
                <w:sz w:val="18"/>
              </w:rPr>
              <w:t>Part C</w:t>
            </w:r>
          </w:p>
        </w:tc>
      </w:tr>
      <w:tr>
        <w:tc>
          <w:tcPr>
            <w:tcW w:type="dxa" w:w="1077"/>
          </w:tcPr>
          <w:p>
            <w:pPr>
              <w:spacing w:after="40" w:before="40"/>
            </w:pPr>
            <w:r/>
            <w:r>
              <w:rPr>
                <w:b w:val="0"/>
                <w:i w:val="0"/>
                <w:color w:val="1A1A1A"/>
                <w:sz w:val="18"/>
              </w:rPr>
              <w:t>D3</w:t>
            </w:r>
          </w:p>
        </w:tc>
        <w:tc>
          <w:tcPr>
            <w:tcW w:type="dxa" w:w="3175"/>
          </w:tcPr>
          <w:p>
            <w:pPr>
              <w:spacing w:after="40" w:before="40"/>
            </w:pPr>
            <w:r/>
            <w:r>
              <w:rPr>
                <w:b w:val="0"/>
                <w:i w:val="0"/>
                <w:color w:val="1A1A1A"/>
                <w:sz w:val="18"/>
              </w:rPr>
              <w:t>KYC: manual review, or a provider</w:t>
            </w:r>
          </w:p>
        </w:tc>
        <w:tc>
          <w:tcPr>
            <w:tcW w:type="dxa" w:w="4025"/>
          </w:tcPr>
          <w:p>
            <w:pPr>
              <w:spacing w:after="40" w:before="40"/>
            </w:pPr>
            <w:r/>
            <w:r>
              <w:rPr>
                <w:b w:val="0"/>
                <w:i w:val="0"/>
                <w:color w:val="1A1A1A"/>
                <w:sz w:val="18"/>
              </w:rPr>
              <w:t>Nothing today. Recorded so the register is complete</w:t>
            </w:r>
          </w:p>
        </w:tc>
        <w:tc>
          <w:tcPr>
            <w:tcW w:type="dxa" w:w="1020"/>
          </w:tcPr>
          <w:p>
            <w:pPr>
              <w:spacing w:after="40" w:before="40"/>
            </w:pPr>
            <w:r/>
            <w:r>
              <w:rPr>
                <w:b w:val="0"/>
                <w:i w:val="0"/>
                <w:color w:val="1A1A1A"/>
                <w:sz w:val="18"/>
              </w:rPr>
              <w:t>Part D</w:t>
            </w:r>
          </w:p>
        </w:tc>
      </w:tr>
    </w:tbl>
    <w:p>
      <w:pPr>
        <w:spacing w:after="40"/>
      </w:pPr>
    </w:p>
    <w:p>
      <w:pPr>
        <w:spacing w:before="40" w:after="120"/>
      </w:pPr>
      <w:r>
        <w:rPr>
          <w:b w:val="0"/>
          <w:i w:val="0"/>
          <w:color w:val="5A5A5A"/>
          <w:sz w:val="18"/>
        </w:rPr>
        <w:t>EXT-8 and EXT-9 joined this schedule on 6 August, after they were answered. That is not a contradiction. Both were answered the same day inside ENG-DR-2026-08-06-01, and both answers left a point unsettled that the answer itself created. An item that has been answered and is still open is exactly what this schedule is for. EXT-10 is answered and half-open too, and it is chased at EXT-4 rather than given a row of its own, because what it now waits on is counsel's signature. EXT-11 and EXT-12 are closed.</w:t>
      </w:r>
    </w:p>
    <w:p>
      <w:r>
        <w:br w:type="page"/>
      </w:r>
    </w:p>
    <w:p>
      <w:pPr>
        <w:spacing w:before="0" w:after="80"/>
      </w:pPr>
      <w:r>
        <w:rPr>
          <w:b/>
          <w:color w:val="1A1A1A"/>
          <w:sz w:val="44"/>
        </w:rPr>
        <w:t>This copy</w:t>
      </w:r>
    </w:p>
    <w:p>
      <w:pPr>
        <w:spacing w:after="280"/>
        <w:pBdr>
          <w:bottom w:val="single" w:sz="6" w:space="6" w:color="999999"/>
        </w:pBdr>
      </w:pPr>
      <w:r>
        <w:rPr>
          <w:i/>
          <w:color w:val="5A5A5A"/>
          <w:sz w:val="21"/>
        </w:rPr>
        <w:t>Digital Records. One of the eleven items on this schedule, and nothing else is being asked of you.</w:t>
      </w:r>
    </w:p>
    <w:p>
      <w:pPr>
        <w:spacing w:before="40" w:after="120"/>
      </w:pPr>
      <w:r>
        <w:rPr>
          <w:b w:val="0"/>
          <w:i w:val="0"/>
          <w:color w:val="5A5A5A"/>
          <w:sz w:val="18"/>
        </w:rPr>
        <w:t>Reference ENG-CS-2026-08-06-01, digital records copy. This is a split of that document rather than a new one, so the reference does not change and neither does the freeze on it. Once a copy has gone out it is never revised in place, and a change becomes ENG-CS-2026-08-06-02, authored fresh.</w:t>
      </w:r>
    </w:p>
    <w:p>
      <w:pPr>
        <w:spacing w:before="0" w:after="120"/>
      </w:pPr>
      <w:r>
        <w:rPr>
          <w:b w:val="0"/>
          <w:i w:val="0"/>
          <w:color w:val="1A1A1A"/>
          <w:sz w:val="21"/>
        </w:rPr>
        <w:t>The schedule has been split by owner so that nobody has to read past what they are named on. Pages 1 to 3 are the same in every copy. Everything after this page is the part of the full schedule that names Digital Records, in the same order and the same wording as the full document. Nothing has been rewritten for this copy.</w:t>
      </w:r>
    </w:p>
    <w:p>
      <w:pPr>
        <w:spacing w:before="0" w:after="120"/>
      </w:pPr>
      <w:r>
        <w:rPr>
          <w:b w:val="0"/>
          <w:i w:val="0"/>
          <w:color w:val="1A1A1A"/>
          <w:sz w:val="21"/>
        </w:rPr>
        <w:t>The table of eleven items on page 3 lists the whole schedule, because page 3 is the same in every copy. Anything on it that is not in the table below sits in somebody else's copy and needs nothing from you.</w:t>
      </w:r>
    </w:p>
    <w:p>
      <w:pPr>
        <w:spacing w:before="0" w:after="80"/>
      </w:pPr>
      <w:r>
        <w:rPr>
          <w:b/>
          <w:color w:val="1A1A1A"/>
          <w:sz w:val="23"/>
        </w:rPr>
        <w:t>What is in this copy</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77"/>
            <w:shd w:val="clear" w:fill="EDEDED"/>
          </w:tcPr>
          <w:p>
            <w:pPr>
              <w:spacing w:after="40" w:before="40"/>
            </w:pPr>
            <w:r>
              <w:t>Item</w:t>
            </w:r>
          </w:p>
        </w:tc>
        <w:tc>
          <w:tcPr>
            <w:tcW w:type="dxa" w:w="3175"/>
            <w:shd w:val="clear" w:fill="EDEDED"/>
          </w:tcPr>
          <w:p>
            <w:pPr>
              <w:spacing w:after="40" w:before="40"/>
            </w:pPr>
            <w:r>
              <w:t>Subject</w:t>
            </w:r>
          </w:p>
        </w:tc>
        <w:tc>
          <w:tcPr>
            <w:tcW w:type="dxa" w:w="4025"/>
            <w:shd w:val="clear" w:fill="EDEDED"/>
          </w:tcPr>
          <w:p>
            <w:pPr>
              <w:spacing w:after="40" w:before="40"/>
            </w:pPr>
            <w:r>
              <w:t>Who else is named on it</w:t>
            </w:r>
          </w:p>
        </w:tc>
        <w:tc>
          <w:tcPr>
            <w:tcW w:type="dxa" w:w="1020"/>
            <w:shd w:val="clear" w:fill="EDEDED"/>
          </w:tcPr>
          <w:p>
            <w:pPr>
              <w:spacing w:after="40" w:before="40"/>
            </w:pPr>
            <w:r>
              <w:t>Where it is</w:t>
            </w:r>
          </w:p>
        </w:tc>
      </w:tr>
      <w:tr>
        <w:tc>
          <w:tcPr>
            <w:tcW w:type="dxa" w:w="1077"/>
          </w:tcPr>
          <w:p>
            <w:pPr>
              <w:spacing w:after="40" w:before="40"/>
            </w:pPr>
            <w:r>
              <w:t>EXT-8</w:t>
            </w:r>
          </w:p>
        </w:tc>
        <w:tc>
          <w:tcPr>
            <w:tcW w:type="dxa" w:w="3175"/>
          </w:tcPr>
          <w:p>
            <w:pPr>
              <w:spacing w:after="40" w:before="40"/>
            </w:pPr>
            <w:r>
              <w:t>Three contradictions and four gaps inside the identifier answer</w:t>
            </w:r>
          </w:p>
        </w:tc>
        <w:tc>
          <w:tcPr>
            <w:tcW w:type="dxa" w:w="4025"/>
          </w:tcPr>
          <w:p>
            <w:pPr>
              <w:spacing w:after="40" w:before="40"/>
            </w:pPr>
            <w:r>
              <w:t>The chief operating officer, answering together with you.</w:t>
            </w:r>
          </w:p>
        </w:tc>
        <w:tc>
          <w:tcPr>
            <w:tcW w:type="dxa" w:w="1020"/>
          </w:tcPr>
          <w:p>
            <w:pPr>
              <w:spacing w:after="40" w:before="40"/>
            </w:pPr>
            <w:r>
              <w:t>Part B</w:t>
            </w:r>
          </w:p>
        </w:tc>
      </w:tr>
    </w:tbl>
    <w:p>
      <w:pPr>
        <w:spacing w:before="40" w:after="120"/>
      </w:pPr>
      <w:r>
        <w:rPr>
          <w:b w:val="0"/>
          <w:i w:val="0"/>
          <w:color w:val="5A5A5A"/>
          <w:sz w:val="18"/>
        </w:rPr>
        <w:t>Where a second party is named on an item, that item takes one agreed answer and not one answer from each copy. The response block is printed in both copies so that either of you can be the one who writes in it, and the collation sheet at the back is where it gets recorded.</w:t>
      </w:r>
    </w:p>
    <w:p>
      <w:pPr>
        <w:spacing w:before="40" w:after="120"/>
      </w:pPr>
      <w:r>
        <w:rPr>
          <w:b w:val="0"/>
          <w:i w:val="0"/>
          <w:color w:val="5A5A5A"/>
          <w:sz w:val="18"/>
        </w:rPr>
        <w:t>Your items sit in Part B, which is the part that was already answered on 6 August. Nothing you answered is being asked again. What is asked for is the handful of points those answers left contradicting themselves, and it is short enough to reply to in an email.</w:t>
      </w:r>
    </w:p>
    <w:p>
      <w:r>
        <w:br w:type="page"/>
      </w:r>
    </w:p>
    <w:p>
      <w:pPr>
        <w:spacing w:before="0" w:after="80"/>
      </w:pPr>
      <w:r>
        <w:rPr>
          <w:b/>
          <w:color w:val="1A1A1A"/>
          <w:sz w:val="44"/>
        </w:rPr>
        <w:t>Part B</w:t>
      </w:r>
    </w:p>
    <w:p>
      <w:pPr>
        <w:spacing w:after="280"/>
        <w:pBdr>
          <w:bottom w:val="single" w:sz="6" w:space="6" w:color="999999"/>
        </w:pBdr>
      </w:pPr>
      <w:r>
        <w:rPr>
          <w:i/>
          <w:color w:val="5A5A5A"/>
          <w:sz w:val="21"/>
        </w:rPr>
        <w:t>Answered on 6 August, and what the answers left open. Two items here do need an answer.</w:t>
      </w:r>
    </w:p>
    <w:p>
      <w:pPr>
        <w:spacing w:before="0" w:after="120"/>
      </w:pPr>
      <w:r>
        <w:rPr>
          <w:b w:val="0"/>
          <w:i w:val="0"/>
          <w:color w:val="1A1A1A"/>
          <w:sz w:val="21"/>
        </w:rPr>
        <w:t>EXT-8 to EXT-12 went out on 6 August inside ENG-DR-2026-08-06-01 and all five came back the same day, every response box filled and every one naming a decider. Two of the five closed. Three did not.</w:t>
      </w:r>
    </w:p>
    <w:p>
      <w:pPr>
        <w:spacing w:before="0" w:after="120"/>
      </w:pPr>
      <w:r>
        <w:rPr>
          <w:b/>
          <w:color w:val="1A1A1A"/>
          <w:sz w:val="21"/>
        </w:rPr>
        <w:t xml:space="preserve">This part used to say "already sent, do not answer here". </w:t>
      </w:r>
      <w:r>
        <w:rPr>
          <w:b w:val="0"/>
          <w:color w:val="1A1A1A"/>
          <w:sz w:val="21"/>
        </w:rPr>
        <w:t>It carried no answer column, on the reasoning that an answer given in two places can differ in two places. That reasoning was right for a question still in flight and is wrong for one that has come back. What is asked for below is not any of the five questions asked again. It is the specific points the answers themselves left unsettled, and the person holding this schedule is now the only one who can settle them.</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20"/>
            <w:shd w:val="clear" w:fill="EDEDED"/>
          </w:tcPr>
          <w:p>
            <w:pPr>
              <w:spacing w:after="40" w:before="40"/>
            </w:pPr>
            <w:r/>
            <w:r>
              <w:rPr>
                <w:b/>
                <w:i w:val="0"/>
                <w:color w:val="1A1A1A"/>
                <w:sz w:val="18"/>
              </w:rPr>
              <w:t>Item</w:t>
            </w:r>
          </w:p>
        </w:tc>
        <w:tc>
          <w:tcPr>
            <w:tcW w:type="dxa" w:w="1928"/>
            <w:shd w:val="clear" w:fill="EDEDED"/>
          </w:tcPr>
          <w:p>
            <w:pPr>
              <w:spacing w:after="40" w:before="40"/>
            </w:pPr>
            <w:r/>
            <w:r>
              <w:rPr>
                <w:b/>
                <w:i w:val="0"/>
                <w:color w:val="1A1A1A"/>
                <w:sz w:val="18"/>
              </w:rPr>
              <w:t>State after 6 August</w:t>
            </w:r>
          </w:p>
        </w:tc>
        <w:tc>
          <w:tcPr>
            <w:tcW w:type="dxa" w:w="4762"/>
            <w:shd w:val="clear" w:fill="EDEDED"/>
          </w:tcPr>
          <w:p>
            <w:pPr>
              <w:spacing w:after="40" w:before="40"/>
            </w:pPr>
            <w:r/>
            <w:r>
              <w:rPr>
                <w:b/>
                <w:i w:val="0"/>
                <w:color w:val="1A1A1A"/>
                <w:sz w:val="18"/>
              </w:rPr>
              <w:t>What is still needed</w:t>
            </w:r>
          </w:p>
        </w:tc>
        <w:tc>
          <w:tcPr>
            <w:tcW w:type="dxa" w:w="1587"/>
            <w:shd w:val="clear" w:fill="EDEDED"/>
          </w:tcPr>
          <w:p>
            <w:pPr>
              <w:spacing w:after="40" w:before="40"/>
            </w:pPr>
            <w:r/>
            <w:r>
              <w:rPr>
                <w:b/>
                <w:i w:val="0"/>
                <w:color w:val="1A1A1A"/>
                <w:sz w:val="18"/>
              </w:rPr>
              <w:t>Blocks</w:t>
            </w:r>
          </w:p>
        </w:tc>
      </w:tr>
      <w:tr>
        <w:tc>
          <w:tcPr>
            <w:tcW w:type="dxa" w:w="1020"/>
          </w:tcPr>
          <w:p>
            <w:pPr>
              <w:spacing w:after="40" w:before="40"/>
            </w:pPr>
            <w:r/>
            <w:r>
              <w:rPr>
                <w:b w:val="0"/>
                <w:i w:val="0"/>
                <w:color w:val="1A1A1A"/>
                <w:sz w:val="18"/>
              </w:rPr>
              <w:t>EXT-8</w:t>
            </w:r>
          </w:p>
        </w:tc>
        <w:tc>
          <w:tcPr>
            <w:tcW w:type="dxa" w:w="1928"/>
          </w:tcPr>
          <w:p>
            <w:pPr>
              <w:spacing w:after="40" w:before="40"/>
            </w:pPr>
            <w:r/>
            <w:r>
              <w:rPr>
                <w:b w:val="0"/>
                <w:i w:val="0"/>
                <w:color w:val="1A1A1A"/>
                <w:sz w:val="18"/>
              </w:rPr>
              <w:t>Answered, not closed</w:t>
            </w:r>
          </w:p>
        </w:tc>
        <w:tc>
          <w:tcPr>
            <w:tcW w:type="dxa" w:w="4762"/>
          </w:tcPr>
          <w:p>
            <w:pPr>
              <w:spacing w:after="40" w:before="40"/>
            </w:pPr>
            <w:r/>
            <w:r>
              <w:rPr>
                <w:b w:val="0"/>
                <w:i w:val="0"/>
                <w:color w:val="1A1A1A"/>
                <w:sz w:val="18"/>
              </w:rPr>
              <w:t>Three contradictions inside the answer, plus four smaller gaps. Item EXT-8 below</w:t>
            </w:r>
          </w:p>
        </w:tc>
        <w:tc>
          <w:tcPr>
            <w:tcW w:type="dxa" w:w="1587"/>
          </w:tcPr>
          <w:p>
            <w:pPr>
              <w:spacing w:after="40" w:before="40"/>
            </w:pPr>
            <w:r/>
            <w:r>
              <w:rPr>
                <w:b w:val="0"/>
                <w:i w:val="0"/>
                <w:color w:val="1A1A1A"/>
                <w:sz w:val="18"/>
              </w:rPr>
              <w:t>E9-S2</w:t>
            </w:r>
          </w:p>
        </w:tc>
      </w:tr>
      <w:tr>
        <w:tc>
          <w:tcPr>
            <w:tcW w:type="dxa" w:w="1020"/>
          </w:tcPr>
          <w:p>
            <w:pPr>
              <w:spacing w:after="40" w:before="40"/>
            </w:pPr>
            <w:r/>
            <w:r>
              <w:rPr>
                <w:b w:val="0"/>
                <w:i w:val="0"/>
                <w:color w:val="1A1A1A"/>
                <w:sz w:val="18"/>
              </w:rPr>
              <w:t>EXT-9</w:t>
            </w:r>
          </w:p>
        </w:tc>
        <w:tc>
          <w:tcPr>
            <w:tcW w:type="dxa" w:w="1928"/>
          </w:tcPr>
          <w:p>
            <w:pPr>
              <w:spacing w:after="40" w:before="40"/>
            </w:pPr>
            <w:r/>
            <w:r>
              <w:rPr>
                <w:b w:val="0"/>
                <w:i w:val="0"/>
                <w:color w:val="1A1A1A"/>
                <w:sz w:val="18"/>
              </w:rPr>
              <w:t>Answered, not closed</w:t>
            </w:r>
          </w:p>
        </w:tc>
        <w:tc>
          <w:tcPr>
            <w:tcW w:type="dxa" w:w="4762"/>
          </w:tcPr>
          <w:p>
            <w:pPr>
              <w:spacing w:after="40" w:before="40"/>
            </w:pPr>
            <w:r/>
            <w:r>
              <w:rPr>
                <w:b w:val="0"/>
                <w:i w:val="0"/>
                <w:color w:val="1A1A1A"/>
                <w:sz w:val="18"/>
              </w:rPr>
              <w:t>The rate. The structure is settled and the number is not. Item EXT-9 below</w:t>
            </w:r>
          </w:p>
        </w:tc>
        <w:tc>
          <w:tcPr>
            <w:tcW w:type="dxa" w:w="1587"/>
          </w:tcPr>
          <w:p>
            <w:pPr>
              <w:spacing w:after="40" w:before="40"/>
            </w:pPr>
            <w:r/>
            <w:r>
              <w:rPr>
                <w:b w:val="0"/>
                <w:i w:val="0"/>
                <w:color w:val="1A1A1A"/>
                <w:sz w:val="18"/>
              </w:rPr>
              <w:t>E9-S3, and EXT-4</w:t>
            </w:r>
          </w:p>
        </w:tc>
      </w:tr>
      <w:tr>
        <w:tc>
          <w:tcPr>
            <w:tcW w:type="dxa" w:w="1020"/>
          </w:tcPr>
          <w:p>
            <w:pPr>
              <w:spacing w:after="40" w:before="40"/>
            </w:pPr>
            <w:r/>
            <w:r>
              <w:rPr>
                <w:b w:val="0"/>
                <w:i w:val="0"/>
                <w:color w:val="1A1A1A"/>
                <w:sz w:val="18"/>
              </w:rPr>
              <w:t>EXT-10</w:t>
            </w:r>
          </w:p>
        </w:tc>
        <w:tc>
          <w:tcPr>
            <w:tcW w:type="dxa" w:w="1928"/>
          </w:tcPr>
          <w:p>
            <w:pPr>
              <w:spacing w:after="40" w:before="40"/>
            </w:pPr>
            <w:r/>
            <w:r>
              <w:rPr>
                <w:b w:val="0"/>
                <w:i w:val="0"/>
                <w:color w:val="1A1A1A"/>
                <w:sz w:val="18"/>
              </w:rPr>
              <w:t>Answered by Finance, not closed</w:t>
            </w:r>
          </w:p>
        </w:tc>
        <w:tc>
          <w:tcPr>
            <w:tcW w:type="dxa" w:w="4762"/>
          </w:tcPr>
          <w:p>
            <w:pPr>
              <w:spacing w:after="40" w:before="40"/>
            </w:pPr>
            <w:r/>
            <w:r>
              <w:rPr>
                <w:b w:val="0"/>
                <w:i w:val="0"/>
                <w:color w:val="1A1A1A"/>
                <w:sz w:val="18"/>
              </w:rPr>
              <w:t>Counsel's signature on the position drafted for it, and the CEO, COO and CFO approval of the configuration. Asked at EXT-4 rows 6 and 7, because it is counsel's work</w:t>
            </w:r>
          </w:p>
        </w:tc>
        <w:tc>
          <w:tcPr>
            <w:tcW w:type="dxa" w:w="1587"/>
          </w:tcPr>
          <w:p>
            <w:pPr>
              <w:spacing w:after="40" w:before="40"/>
            </w:pPr>
            <w:r/>
            <w:r>
              <w:rPr>
                <w:b w:val="0"/>
                <w:i w:val="0"/>
                <w:color w:val="1A1A1A"/>
                <w:sz w:val="18"/>
              </w:rPr>
              <w:t>E9-S3, gate G4</w:t>
            </w:r>
          </w:p>
        </w:tc>
      </w:tr>
      <w:tr>
        <w:tc>
          <w:tcPr>
            <w:tcW w:type="dxa" w:w="1020"/>
          </w:tcPr>
          <w:p>
            <w:pPr>
              <w:spacing w:after="40" w:before="40"/>
            </w:pPr>
            <w:r/>
            <w:r>
              <w:rPr>
                <w:b w:val="0"/>
                <w:i w:val="0"/>
                <w:color w:val="1A1A1A"/>
                <w:sz w:val="18"/>
              </w:rPr>
              <w:t>EXT-11</w:t>
            </w:r>
          </w:p>
        </w:tc>
        <w:tc>
          <w:tcPr>
            <w:tcW w:type="dxa" w:w="1928"/>
          </w:tcPr>
          <w:p>
            <w:pPr>
              <w:spacing w:after="40" w:before="40"/>
            </w:pPr>
            <w:r/>
            <w:r>
              <w:rPr>
                <w:b w:val="0"/>
                <w:i w:val="0"/>
                <w:color w:val="1A1A1A"/>
                <w:sz w:val="18"/>
              </w:rPr>
              <w:t>Closed</w:t>
            </w:r>
          </w:p>
        </w:tc>
        <w:tc>
          <w:tcPr>
            <w:tcW w:type="dxa" w:w="4762"/>
          </w:tcPr>
          <w:p>
            <w:pPr>
              <w:spacing w:after="40" w:before="40"/>
            </w:pPr>
            <w:r/>
            <w:r>
              <w:rPr>
                <w:b w:val="0"/>
                <w:i w:val="0"/>
                <w:color w:val="1A1A1A"/>
                <w:sz w:val="18"/>
              </w:rPr>
              <w:t>Nothing. It converted into an executed transfer instrument at EXT-2 row 4, an amended privacy policy and a copy of GAID 2025 at EXT-5 rows 7 and 8</w:t>
            </w:r>
          </w:p>
        </w:tc>
        <w:tc>
          <w:tcPr>
            <w:tcW w:type="dxa" w:w="1587"/>
          </w:tcPr>
          <w:p>
            <w:pPr>
              <w:spacing w:after="40" w:before="40"/>
            </w:pPr>
            <w:r/>
            <w:r>
              <w:rPr>
                <w:b w:val="0"/>
                <w:i w:val="0"/>
                <w:color w:val="1A1A1A"/>
                <w:sz w:val="18"/>
              </w:rPr>
              <w:t>Released the region half of D4</w:t>
            </w:r>
          </w:p>
        </w:tc>
      </w:tr>
      <w:tr>
        <w:tc>
          <w:tcPr>
            <w:tcW w:type="dxa" w:w="1020"/>
          </w:tcPr>
          <w:p>
            <w:pPr>
              <w:spacing w:after="40" w:before="40"/>
            </w:pPr>
            <w:r/>
            <w:r>
              <w:rPr>
                <w:b w:val="0"/>
                <w:i w:val="0"/>
                <w:color w:val="1A1A1A"/>
                <w:sz w:val="18"/>
              </w:rPr>
              <w:t>EXT-12</w:t>
            </w:r>
          </w:p>
        </w:tc>
        <w:tc>
          <w:tcPr>
            <w:tcW w:type="dxa" w:w="1928"/>
          </w:tcPr>
          <w:p>
            <w:pPr>
              <w:spacing w:after="40" w:before="40"/>
            </w:pPr>
            <w:r/>
            <w:r>
              <w:rPr>
                <w:b w:val="0"/>
                <w:i w:val="0"/>
                <w:color w:val="1A1A1A"/>
                <w:sz w:val="18"/>
              </w:rPr>
              <w:t>Closed</w:t>
            </w:r>
          </w:p>
        </w:tc>
        <w:tc>
          <w:tcPr>
            <w:tcW w:type="dxa" w:w="4762"/>
          </w:tcPr>
          <w:p>
            <w:pPr>
              <w:spacing w:after="40" w:before="40"/>
            </w:pPr>
            <w:r/>
            <w:r>
              <w:rPr>
                <w:b w:val="0"/>
                <w:i w:val="0"/>
                <w:color w:val="1A1A1A"/>
                <w:sz w:val="18"/>
              </w:rPr>
              <w:t>Nothing. It converted into ID Standard Version 2, due 13 August 2026, and the instrument corrections at EXT-4 rows 5 and 10</w:t>
            </w:r>
          </w:p>
        </w:tc>
        <w:tc>
          <w:tcPr>
            <w:tcW w:type="dxa" w:w="1587"/>
          </w:tcPr>
          <w:p>
            <w:pPr>
              <w:spacing w:after="40" w:before="40"/>
            </w:pPr>
            <w:r/>
            <w:r>
              <w:rPr>
                <w:b w:val="0"/>
                <w:i w:val="0"/>
                <w:color w:val="1A1A1A"/>
                <w:sz w:val="18"/>
              </w:rPr>
              <w:t>Released EXT-3 row 8</w:t>
            </w:r>
          </w:p>
        </w:tc>
      </w:tr>
    </w:tbl>
    <w:p>
      <w:pPr>
        <w:spacing w:after="40"/>
      </w:pPr>
    </w:p>
    <w:p>
      <w:r>
        <w:br w:type="page"/>
      </w:r>
    </w:p>
    <w:p>
      <w:pPr>
        <w:spacing w:before="0" w:after="20"/>
      </w:pPr>
      <w:r>
        <w:rPr>
          <w:b/>
          <w:color w:val="1A1A1A"/>
          <w:sz w:val="36"/>
        </w:rPr>
        <w:t>EXT-8</w:t>
      </w:r>
    </w:p>
    <w:p>
      <w:pPr>
        <w:spacing w:after="120"/>
      </w:pPr>
      <w:r>
        <w:rPr>
          <w:b/>
          <w:color w:val="1A1A1A"/>
          <w:sz w:val="23"/>
        </w:rPr>
        <w:t>Three contradictions and four gaps inside an answer that mostly worked</w:t>
      </w:r>
    </w:p>
    <w:p>
      <w:pPr>
        <w:spacing w:after="200"/>
        <w:pBdr>
          <w:bottom w:val="single" w:sz="6" w:space="6" w:color="999999"/>
        </w:pBdr>
      </w:pPr>
      <w:r>
        <w:rPr>
          <w:i/>
          <w:color w:val="5A5A5A"/>
          <w:sz w:val="19"/>
        </w:rPr>
        <w:t>Owner: Digital Records, COO     |     Closes the identifier half of E9-S2. Answered 6 August 2026 by the Chief Operating Officer, with Digital Records.</w:t>
      </w:r>
    </w:p>
    <w:p>
      <w:pPr>
        <w:spacing w:before="0" w:after="120"/>
      </w:pPr>
      <w:r>
        <w:rPr>
          <w:b/>
          <w:color w:val="1A1A1A"/>
          <w:sz w:val="20"/>
        </w:rPr>
        <w:t xml:space="preserve">This is a short note, not a document. Three sentences would close most of it. </w:t>
      </w:r>
      <w:r>
        <w:rPr>
          <w:b w:val="0"/>
          <w:color w:val="1A1A1A"/>
          <w:sz w:val="20"/>
        </w:rPr>
        <w:t>Four of the five EXT-8 questions came back settled: the fourteen professional categories with Estate Agent in scope, both case identifier formats, the move from SBR-SRV-BUY to SBR-SRV-TYPE, and the register split by identifier family. None of that is reopened here and none of it is asked again. What follows is the part that cannot be built as written, because the document says two different things in two places and engineering cannot pick one.</w:t>
      </w:r>
    </w:p>
    <w:p>
      <w:pPr>
        <w:spacing w:before="160" w:after="80"/>
      </w:pPr>
      <w:r>
        <w:rPr>
          <w:b/>
          <w:color w:val="1A1A1A"/>
          <w:sz w:val="23"/>
        </w:rPr>
        <w:t>The three that block</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SUR or SVR, for Surveyor as a record-type segment.</w:t>
            </w:r>
          </w:p>
          <w:p>
            <w:pPr>
              <w:spacing w:after="40" w:before="0"/>
            </w:pPr>
            <w:r>
              <w:rPr>
                <w:b w:val="0"/>
                <w:i/>
                <w:color w:val="5A5A5A"/>
                <w:sz w:val="17"/>
              </w:rPr>
              <w:t>Format: one sentence naming the segment value for Surveyor, and confirmation that Surulere keeps SUR in the location position. Question 5's answer says "Use SVR". Three other places in the same document say SUR is retained: question 5's own second sentence, the EXT-12 answer, and the collation sheet's EXT-8.5 row. One says change it, three say keep it.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Whether UUID really replaces NNN in the four approved formats.</w:t>
            </w:r>
          </w:p>
          <w:p>
            <w:pPr>
              <w:spacing w:after="40" w:before="0"/>
            </w:pPr>
            <w:r>
              <w:rPr>
                <w:b w:val="0"/>
                <w:i/>
                <w:color w:val="5A5A5A"/>
                <w:sz w:val="17"/>
              </w:rPr>
              <w:t>Format: one sentence. Either UUID replaces NNN in all four, in which case those formats need reprinting, or the four printed formats stand and UUID applies to something narrower that has to be named. The scoping box and the EXT-12 answer both say UUID replaces the NNN at the end of the identifiers. Four identifier formats approved on the same pages all end in -NNN, and neither corresponding collation row mentions UUID. This is not a detail: the stated reason is to ensure there is no collision, and NNN is not a random number. It is a per-prefix, per-day counter held in the database, so it cannot collide. If the concern was collision it is already handled. If the concern is something else, we should be told what, because the two answers lead to different builds.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SBR-ALD-LOCYYXX-NNN format.</w:t>
            </w:r>
          </w:p>
          <w:p>
            <w:pPr>
              <w:spacing w:after="40" w:before="0"/>
            </w:pPr>
            <w:r>
              <w:rPr>
                <w:b w:val="0"/>
                <w:i/>
                <w:color w:val="5A5A5A"/>
                <w:sz w:val="17"/>
              </w:rPr>
              <w:t>Format: the format written the way the other four are written, with separators, and one line saying what XX stands for. Allied Service Provider is introduced as the fourteenth category and its identifier is printed without separators, and XX is never defined anywhere in the document.</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160" w:after="80"/>
      </w:pPr>
      <w:r>
        <w:rPr>
          <w:b/>
          <w:color w:val="1A1A1A"/>
          <w:sz w:val="23"/>
        </w:rPr>
        <w:t>The four smaller gaps</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SUP against ALD, for a building material seller.</w:t>
            </w:r>
          </w:p>
          <w:p>
            <w:pPr>
              <w:spacing w:after="40" w:before="0"/>
            </w:pPr>
            <w:r>
              <w:rPr>
                <w:b w:val="0"/>
                <w:i/>
                <w:color w:val="5A5A5A"/>
                <w:sz w:val="17"/>
              </w:rPr>
              <w:t>Format: which code a building material seller takes. SUP is Material Supplier in the thirteen-category list. The Allied Service Provider description covers building material sellers. The same business could be coded either way.</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5</w:t>
            </w:r>
          </w:p>
        </w:tc>
        <w:tc>
          <w:tcPr>
            <w:tcW w:type="dxa" w:w="5272"/>
          </w:tcPr>
          <w:p>
            <w:pPr>
              <w:spacing w:after="40" w:before="40"/>
            </w:pPr>
            <w:r/>
            <w:r>
              <w:rPr>
                <w:b w:val="0"/>
                <w:i w:val="0"/>
                <w:color w:val="1A1A1A"/>
                <w:sz w:val="19"/>
              </w:rPr>
              <w:t>The TYPE list is not closed.</w:t>
            </w:r>
          </w:p>
          <w:p>
            <w:pPr>
              <w:spacing w:after="40" w:before="0"/>
            </w:pPr>
            <w:r>
              <w:rPr>
                <w:b w:val="0"/>
                <w:i/>
                <w:color w:val="5A5A5A"/>
                <w:sz w:val="17"/>
              </w:rPr>
              <w:t>Format: the complete list, or "those five and no others for now". Question 3 gives it as a controlled list "including BUY, SEL, DD, PRO and PRT". A controlled list introduced with "including" is not controlled, and validation has to reject values that are not on it.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6</w:t>
            </w:r>
          </w:p>
        </w:tc>
        <w:tc>
          <w:tcPr>
            <w:tcW w:type="dxa" w:w="5272"/>
          </w:tcPr>
          <w:p>
            <w:pPr>
              <w:spacing w:after="40" w:before="40"/>
            </w:pPr>
            <w:r/>
            <w:r>
              <w:rPr>
                <w:b w:val="0"/>
                <w:i w:val="0"/>
                <w:color w:val="1A1A1A"/>
                <w:sz w:val="19"/>
              </w:rPr>
              <w:t>SBR-CASE-DD.</w:t>
            </w:r>
          </w:p>
          <w:p>
            <w:pPr>
              <w:spacing w:after="40" w:before="0"/>
            </w:pPr>
            <w:r>
              <w:rPr>
                <w:b w:val="0"/>
                <w:i/>
                <w:color w:val="5A5A5A"/>
                <w:sz w:val="17"/>
              </w:rPr>
              <w:t>Format: approved as a third case type, or the identifier it should have been. Question 2 approves two case types, ENV and SEC. The platform issues SBR-CASE-DD today and DD is not among the two.</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7</w:t>
            </w:r>
          </w:p>
        </w:tc>
        <w:tc>
          <w:tcPr>
            <w:tcW w:type="dxa" w:w="5272"/>
          </w:tcPr>
          <w:p>
            <w:pPr>
              <w:spacing w:after="40" w:before="40"/>
            </w:pPr>
            <w:r/>
            <w:r>
              <w:rPr>
                <w:b w:val="0"/>
                <w:i w:val="0"/>
                <w:color w:val="1A1A1A"/>
                <w:sz w:val="19"/>
              </w:rPr>
              <w:t>The heading says three trades and the sentence names four.</w:t>
            </w:r>
          </w:p>
          <w:p>
            <w:pPr>
              <w:spacing w:after="40" w:before="0"/>
            </w:pPr>
            <w:r>
              <w:rPr>
                <w:b w:val="0"/>
                <w:i/>
                <w:color w:val="5A5A5A"/>
                <w:sz w:val="17"/>
              </w:rPr>
              <w:t>Format: confirmation that all four are in, which is what we have assumed. "The three uncoded trades" is followed by "plumbers, electricians and interior designers, building material sellers".</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160" w:after="80"/>
      </w:pPr>
      <w:r>
        <w:rPr>
          <w:b/>
          <w:color w:val="1A1A1A"/>
          <w:sz w:val="23"/>
        </w:rPr>
        <w:t>And one instruction rather than a question</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8</w:t>
            </w:r>
          </w:p>
        </w:tc>
        <w:tc>
          <w:tcPr>
            <w:tcW w:type="dxa" w:w="5272"/>
          </w:tcPr>
          <w:p>
            <w:pPr>
              <w:spacing w:after="40" w:before="40"/>
            </w:pPr>
            <w:r/>
            <w:r>
              <w:rPr>
                <w:b w:val="0"/>
                <w:i w:val="0"/>
                <w:color w:val="1A1A1A"/>
                <w:sz w:val="19"/>
              </w:rPr>
              <w:t>Who runs the production-impact query, and when.</w:t>
            </w:r>
          </w:p>
          <w:p>
            <w:pPr>
              <w:spacing w:after="40" w:before="0"/>
            </w:pPr>
            <w:r>
              <w:rPr>
                <w:b w:val="0"/>
                <w:i/>
                <w:color w:val="5A5A5A"/>
                <w:sz w:val="17"/>
              </w:rPr>
              <w:t>Format: a name and a date, or grant the access. "Run the production-impact query before remediation" came back addressed to us. Nobody on this side has production database access, which is stated in the escalation the instruction is answering. The query itself is written and ready.</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tbl>
      <w:tblPr>
        <w:tblStyle w:val="TableGrid"/>
        <w:tblW w:type="auto" w:w="0"/>
        <w:jc w:val="left"/>
        <w:tblLook w:firstColumn="1" w:firstRow="1" w:lastColumn="0" w:lastRow="0" w:noHBand="0" w:noVBand="1" w:val="04A0"/>
      </w:tblPr>
      <w:tblGrid>
        <w:gridCol w:w="9298"/>
      </w:tblGrid>
      <w:tr>
        <w:tc>
          <w:tcPr>
            <w:tcW w:type="dxa" w:w="9298"/>
            <w:shd w:val="clear" w:fill="EDEDED"/>
          </w:tcPr>
          <w:p>
            <w:pPr>
              <w:spacing w:after="40" w:before="40"/>
            </w:pPr>
            <w:r/>
            <w:r>
              <w:rPr>
                <w:b/>
                <w:i w:val="0"/>
                <w:color w:val="5A5A5A"/>
                <w:sz w:val="17"/>
              </w:rPr>
              <w:t>OPTIONAL  ·  suggested wording, if you would rather reply in prose than fill the table above</w:t>
            </w:r>
          </w:p>
        </w:tc>
      </w:tr>
      <w:tr>
        <w:tc>
          <w:tcPr>
            <w:tcW w:type="dxa" w:w="9298"/>
            <w:shd w:val="clear" w:fill="F7F7F7"/>
          </w:tcPr>
          <w:p>
            <w:pPr>
              <w:spacing w:after="40" w:before="40"/>
            </w:pPr>
            <w:r/>
            <w:r>
              <w:rPr>
                <w:b w:val="0"/>
                <w:i/>
                <w:color w:val="1A1A1A"/>
                <w:sz w:val="19"/>
              </w:rPr>
              <w:t>Surveyor as a record-type segment is [SUR / SVR] and Surulere keeps SUR in the location</w:t>
            </w:r>
          </w:p>
        </w:tc>
      </w:tr>
      <w:tr>
        <w:tc>
          <w:tcPr>
            <w:tcW w:type="dxa" w:w="9298"/>
            <w:shd w:val="clear" w:fill="F7F7F7"/>
          </w:tcPr>
          <w:p>
            <w:pPr>
              <w:spacing w:after="40" w:before="40"/>
            </w:pPr>
            <w:r/>
            <w:r>
              <w:rPr>
                <w:b w:val="0"/>
                <w:i/>
                <w:color w:val="1A1A1A"/>
                <w:sz w:val="19"/>
              </w:rPr>
              <w:t>segment: [yes/no]. UUID replaces NNN in all four approved formats / applies only to</w:t>
            </w:r>
          </w:p>
        </w:tc>
      </w:tr>
      <w:tr>
        <w:tc>
          <w:tcPr>
            <w:tcW w:type="dxa" w:w="9298"/>
            <w:shd w:val="clear" w:fill="F7F7F7"/>
          </w:tcPr>
          <w:p>
            <w:pPr>
              <w:spacing w:after="40" w:before="40"/>
            </w:pPr>
            <w:r/>
            <w:r>
              <w:rPr>
                <w:b w:val="0"/>
                <w:i/>
                <w:color w:val="1A1A1A"/>
                <w:sz w:val="19"/>
              </w:rPr>
              <w:t>[scope]. The ALD identifier format is [format], where XX means [meaning]. A building</w:t>
            </w:r>
          </w:p>
        </w:tc>
      </w:tr>
      <w:tr>
        <w:tc>
          <w:tcPr>
            <w:tcW w:type="dxa" w:w="9298"/>
            <w:shd w:val="clear" w:fill="F7F7F7"/>
          </w:tcPr>
          <w:p>
            <w:pPr>
              <w:spacing w:after="40" w:before="40"/>
            </w:pPr>
            <w:r/>
            <w:r>
              <w:rPr>
                <w:b w:val="0"/>
                <w:i/>
                <w:color w:val="1A1A1A"/>
                <w:sz w:val="19"/>
              </w:rPr>
              <w:t>material seller is coded [code]. The complete TYPE list is [list]. SBR-CASE-DD is approved</w:t>
            </w:r>
          </w:p>
        </w:tc>
      </w:tr>
      <w:tr>
        <w:tc>
          <w:tcPr>
            <w:tcW w:type="dxa" w:w="9298"/>
            <w:shd w:val="clear" w:fill="F7F7F7"/>
          </w:tcPr>
          <w:p>
            <w:pPr>
              <w:spacing w:after="40" w:before="40"/>
            </w:pPr>
            <w:r/>
            <w:r>
              <w:rPr>
                <w:b w:val="0"/>
                <w:i/>
                <w:color w:val="1A1A1A"/>
                <w:sz w:val="19"/>
              </w:rPr>
              <w:t>as a third case type / should have been [identifier]. All four uncoded trades are in</w:t>
            </w:r>
          </w:p>
        </w:tc>
      </w:tr>
      <w:tr>
        <w:tc>
          <w:tcPr>
            <w:tcW w:type="dxa" w:w="9298"/>
            <w:shd w:val="clear" w:fill="F7F7F7"/>
          </w:tcPr>
          <w:p>
            <w:pPr>
              <w:spacing w:after="40" w:before="40"/>
            </w:pPr>
            <w:r/>
            <w:r>
              <w:rPr>
                <w:b w:val="0"/>
                <w:i/>
                <w:color w:val="1A1A1A"/>
                <w:sz w:val="19"/>
              </w:rPr>
              <w:t>scope: [yes/no]. The production-impact query will be run by [name] on [date].</w:t>
            </w:r>
          </w:p>
        </w:tc>
      </w:tr>
    </w:tbl>
    <w:p>
      <w:pPr>
        <w:spacing w:after="40"/>
      </w:pPr>
    </w:p>
    <w:p>
      <w:pPr>
        <w:spacing w:before="160" w:after="200"/>
      </w:pPr>
      <w:r>
        <w:rPr>
          <w:b/>
          <w:color w:val="5A5A5A"/>
          <w:sz w:val="18"/>
        </w:rPr>
        <w:t xml:space="preserve">Records we update when this lands, so you can see where your answer goes: </w:t>
      </w:r>
      <w:r>
        <w:rPr>
          <w:color w:val="5A5A5A"/>
          <w:sz w:val="18"/>
        </w:rPr>
        <w:t>The EXT-8 entry and the E9-S2 criteria in the outstanding backlog. The answer section in the escalation record. The delivery board and the build checklist. Nothing is encoded before ID Standard Version 2 is issued, which the EXT-12 answer sets for 13 August 2026.</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EXT-8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280" w:after="80"/>
      </w:pPr>
      <w:r>
        <w:rPr>
          <w:b/>
          <w:color w:val="1A1A1A"/>
          <w:sz w:val="23"/>
        </w:rPr>
        <w:t>One more thing about the returned copy, which is not a question</w:t>
      </w:r>
    </w:p>
    <w:p>
      <w:pPr>
        <w:spacing w:before="0" w:after="120"/>
      </w:pPr>
      <w:r>
        <w:rPr>
          <w:b w:val="0"/>
          <w:i w:val="0"/>
          <w:color w:val="1A1A1A"/>
          <w:sz w:val="20"/>
        </w:rPr>
        <w:t>The completed copy of ENG-DR-2026-08-06-01 differs from the copy that was dispatched in six places, and four of those changes rewrote the question text rather than the answer boxes. All four changed a quotation of Power of Attorney clause 5 from 10 per cent to 5 per cent. The signed instrument says 10 per cent.</w:t>
      </w:r>
    </w:p>
    <w:p>
      <w:pPr>
        <w:spacing w:before="0" w:after="120"/>
      </w:pPr>
      <w:r>
        <w:rPr>
          <w:b/>
          <w:color w:val="1A1A1A"/>
          <w:sz w:val="20"/>
        </w:rPr>
        <w:t xml:space="preserve">This is recorded rather than asked about, because it needs no decision. The copy we sent was accurate. </w:t>
      </w:r>
      <w:r>
        <w:rPr>
          <w:b w:val="0"/>
          <w:color w:val="1A1A1A"/>
          <w:sz w:val="20"/>
        </w:rPr>
        <w:t>One consequence does matter for the rate question above: the edited preamble now reads that 5 plus 5 is the Power of Attorney's 5% at source, which does not add up in either direction and cannot be used to settle anything. The dispatched wording is the one to read.</w:t>
      </w:r>
    </w:p>
    <w:p>
      <w:pPr>
        <w:spacing w:before="0" w:after="120"/>
      </w:pPr>
      <w:r>
        <w:rPr>
          <w:b w:val="0"/>
          <w:i w:val="0"/>
          <w:color w:val="1A1A1A"/>
          <w:sz w:val="20"/>
        </w:rPr>
        <w:t>The dispatched cover invited exactly this: "If you disagree with a fact stated here, say so in the box." Saying it in the box leaves both readings on the record. Editing the question leaves only one, and it is the one the instrument does not support.</w:t>
      </w:r>
    </w:p>
    <w:p>
      <w:r>
        <w:br w:type="page"/>
      </w:r>
    </w:p>
    <w:p>
      <w:pPr>
        <w:spacing w:before="0" w:after="80"/>
      </w:pPr>
      <w:r>
        <w:rPr>
          <w:b/>
          <w:color w:val="1A1A1A"/>
          <w:sz w:val="44"/>
        </w:rPr>
        <w:t>Collation sheet</w:t>
      </w:r>
    </w:p>
    <w:p>
      <w:pPr>
        <w:spacing w:after="280"/>
        <w:pBdr>
          <w:bottom w:val="single" w:sz="6" w:space="6" w:color="999999"/>
        </w:pBdr>
      </w:pPr>
      <w:r>
        <w:rPr>
          <w:i/>
          <w:color w:val="5A5A5A"/>
          <w:sz w:val="21"/>
        </w:rPr>
        <w:t>For whoever gathers the responses. One line each, so nothing is lost in a thread.</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361"/>
            <w:shd w:val="clear" w:fill="EDEDED"/>
          </w:tcPr>
          <w:p>
            <w:pPr>
              <w:spacing w:after="40" w:before="40"/>
            </w:pPr>
            <w:r/>
            <w:r>
              <w:rPr>
                <w:b/>
                <w:i w:val="0"/>
                <w:color w:val="1A1A1A"/>
                <w:sz w:val="20"/>
              </w:rPr>
              <w:t>Item</w:t>
            </w:r>
          </w:p>
        </w:tc>
        <w:tc>
          <w:tcPr>
            <w:tcW w:type="dxa" w:w="2494"/>
            <w:shd w:val="clear" w:fill="EDEDED"/>
          </w:tcPr>
          <w:p>
            <w:pPr>
              <w:spacing w:after="40" w:before="40"/>
            </w:pPr>
            <w:r/>
            <w:r>
              <w:rPr>
                <w:b/>
                <w:i w:val="0"/>
                <w:color w:val="1A1A1A"/>
                <w:sz w:val="20"/>
              </w:rPr>
              <w:t>Answered by</w:t>
            </w:r>
          </w:p>
        </w:tc>
        <w:tc>
          <w:tcPr>
            <w:tcW w:type="dxa" w:w="1474"/>
            <w:shd w:val="clear" w:fill="EDEDED"/>
          </w:tcPr>
          <w:p>
            <w:pPr>
              <w:spacing w:after="40" w:before="40"/>
            </w:pPr>
            <w:r/>
            <w:r>
              <w:rPr>
                <w:b/>
                <w:i w:val="0"/>
                <w:color w:val="1A1A1A"/>
                <w:sz w:val="20"/>
              </w:rPr>
              <w:t>Date</w:t>
            </w:r>
          </w:p>
        </w:tc>
        <w:tc>
          <w:tcPr>
            <w:tcW w:type="dxa" w:w="3969"/>
            <w:shd w:val="clear" w:fill="EDEDED"/>
          </w:tcPr>
          <w:p>
            <w:pPr>
              <w:spacing w:after="40" w:before="40"/>
            </w:pPr>
            <w:r/>
            <w:r>
              <w:rPr>
                <w:b/>
                <w:i w:val="0"/>
                <w:color w:val="1A1A1A"/>
                <w:sz w:val="20"/>
              </w:rPr>
              <w:t>Rows still outstanding on this item</w:t>
            </w:r>
          </w:p>
        </w:tc>
      </w:tr>
      <w:tr>
        <w:tc>
          <w:tcPr>
            <w:tcW w:type="dxa" w:w="1361"/>
          </w:tcPr>
          <w:p>
            <w:pPr>
              <w:spacing w:after="160" w:before="160"/>
            </w:pPr>
            <w:r/>
            <w:r>
              <w:rPr>
                <w:b w:val="0"/>
                <w:i w:val="0"/>
                <w:color w:val="1A1A1A"/>
                <w:sz w:val="20"/>
              </w:rPr>
              <w:t>EXT-8</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bl>
    <w:p>
      <w:pPr>
        <w:spacing w:after="40"/>
      </w:pPr>
    </w:p>
    <w:p>
      <w:pPr>
        <w:spacing w:before="80" w:after="40"/>
      </w:pPr>
      <w:r>
        <w:rPr>
          <w:b w:val="0"/>
          <w:i w:val="0"/>
          <w:color w:val="5A5A5A"/>
          <w:sz w:val="18"/>
        </w:rPr>
        <w:t>The EXT-8 and EXT-9 rows are for the follow-up asked in Part B. They are not for the answers given on 6 August, which are already recorded.</w:t>
      </w:r>
    </w:p>
    <w:p>
      <w:pPr>
        <w:spacing w:before="240" w:after="120"/>
      </w:pPr>
      <w:r>
        <w:rPr>
          <w:b w:val="0"/>
          <w:i w:val="0"/>
          <w:color w:val="1A1A1A"/>
          <w:sz w:val="21"/>
        </w:rPr>
        <w:t>Return the completed pages to Abie Olaluwe at oolaluwe@gmail.com. A scan, a photograph of the annotated pages, or the answers typed into a reply all work equally well. What matters is that every answer names its item and its row number, because each one is written into a different record and releases a different piece of work.</w:t>
      </w:r>
    </w:p>
    <w:p>
      <w:pPr>
        <w:spacing w:before="240" w:after="120"/>
      </w:pPr>
      <w:r>
        <w:rPr>
          <w:b/>
          <w:color w:val="1A1A1A"/>
          <w:sz w:val="21"/>
        </w:rPr>
        <w:t xml:space="preserve">Response requested by close of business today, 2026-08-06. </w:t>
      </w:r>
      <w:r>
        <w:rPr>
          <w:b w:val="0"/>
          <w:color w:val="1A1A1A"/>
          <w:sz w:val="21"/>
        </w:rPr>
        <w:t>That deadline is for what can be answered today, and it is not a request for any decision to be rushed. Partial returns land immediately: one answered item releases its story whether or not the rest of the schedule is complete. Anything that cannot be settled today is answered under rule 1 rather than left blank, with the word pending and the date it is expected, which is itself a usable answer because the work behind it can then be planned against a date instead of against silence.</w:t>
      </w:r>
    </w:p>
    <w:p>
      <w:pPr>
        <w:spacing w:before="120" w:after="120"/>
      </w:pPr>
      <w:r>
        <w:rPr>
          <w:b w:val="0"/>
          <w:i w:val="0"/>
          <w:color w:val="5A5A5A"/>
          <w:sz w:val="19"/>
        </w:rPr>
        <w:t>An item left open is recorded as open, and the work behind it stays where it is. What the record cannot do is carry an answer nobody gave, so a blank stays a blank until somebody fills it.</w:t>
      </w:r>
    </w:p>
    <w:sectPr w:rsidR="00FC693F" w:rsidRPr="0006063C" w:rsidSect="00034616">
      <w:footerReference w:type="default" r:id="rId9"/>
      <w:pgSz w:w="11906" w:h="16838"/>
      <w:pgMar w:top="1134"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ENG-CS-2026-08-06-01   ·   digital records copy   ·   Confidential   ·   SafeBuy Realties Limited   ·   page </w:t>
    </w:r>
    <w:fldSimple w:instr="PAGE">
      <w:r>
        <w:rPr>
          <w:sz w:val="16"/>
        </w:rPr>
      </w:r>
    </w:fldSimple>
    <w:r>
      <w:rPr>
        <w:color w:val="5A5A5A"/>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