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 and four gaps</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Finance. Two of the eleven items on this schedule, and nothing else is being asked of you.</w:t>
      </w:r>
    </w:p>
    <w:p>
      <w:pPr>
        <w:spacing w:before="40" w:after="120"/>
      </w:pPr>
      <w:r>
        <w:rPr>
          <w:b w:val="0"/>
          <w:i w:val="0"/>
          <w:color w:val="5A5A5A"/>
          <w:sz w:val="18"/>
        </w:rPr>
        <w:t>Reference ENG-CS-2026-08-06-01, finance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Finance,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EXT-1</w:t>
            </w:r>
          </w:p>
        </w:tc>
        <w:tc>
          <w:tcPr>
            <w:tcW w:type="dxa" w:w="3175"/>
          </w:tcPr>
          <w:p>
            <w:pPr>
              <w:spacing w:after="40" w:before="40"/>
            </w:pPr>
            <w:r>
              <w:t>Live payment credentials and a client-funds account</w:t>
            </w:r>
          </w:p>
        </w:tc>
        <w:tc>
          <w:tcPr>
            <w:tcW w:type="dxa" w:w="4025"/>
          </w:tcPr>
          <w:p>
            <w:pPr>
              <w:spacing w:after="40" w:before="40"/>
            </w:pPr>
            <w:r>
              <w:t>The client, answering together with you.</w:t>
            </w:r>
          </w:p>
        </w:tc>
        <w:tc>
          <w:tcPr>
            <w:tcW w:type="dxa" w:w="1020"/>
          </w:tcPr>
          <w:p>
            <w:pPr>
              <w:spacing w:after="40" w:before="40"/>
            </w:pPr>
            <w:r>
              <w:t>Part A</w:t>
            </w:r>
          </w:p>
        </w:tc>
      </w:tr>
      <w:tr>
        <w:tc>
          <w:tcPr>
            <w:tcW w:type="dxa" w:w="1077"/>
          </w:tcPr>
          <w:p>
            <w:pPr>
              <w:spacing w:after="40" w:before="40"/>
            </w:pPr>
            <w:r>
              <w:t>EXT-9</w:t>
            </w:r>
          </w:p>
        </w:tc>
        <w:tc>
          <w:tcPr>
            <w:tcW w:type="dxa" w:w="3175"/>
          </w:tcPr>
          <w:p>
            <w:pPr>
              <w:spacing w:after="40" w:before="40"/>
            </w:pPr>
            <w:r>
              <w:t>The commission rate. The structure is settled, the number is not</w:t>
            </w:r>
          </w:p>
        </w:tc>
        <w:tc>
          <w:tcPr>
            <w:tcW w:type="dxa" w:w="4025"/>
          </w:tcPr>
          <w:p>
            <w:pPr>
              <w:spacing w:after="40" w:before="40"/>
            </w:pPr>
            <w:r>
              <w:t>Nobody else. This one is yours alone.</w:t>
            </w:r>
          </w:p>
        </w:tc>
        <w:tc>
          <w:tcPr>
            <w:tcW w:type="dxa" w:w="1020"/>
          </w:tcPr>
          <w:p>
            <w:pPr>
              <w:spacing w:after="40" w:before="40"/>
            </w:pPr>
            <w:r>
              <w:t>Part B</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pPr>
        <w:spacing w:before="40" w:after="120"/>
      </w:pPr>
      <w:r>
        <w:rPr>
          <w:b w:val="0"/>
          <w:i w:val="0"/>
          <w:color w:val="5A5A5A"/>
          <w:sz w:val="18"/>
        </w:rPr>
        <w:t>Your items sit in Part B, which is the part that was already answered on 6 August. Nothing you answered is being asked again. What is asked for is the handful of points those answers left contradicting themselves, and it is short enough to reply to in an email.</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EXT-1</w:t>
      </w:r>
    </w:p>
    <w:p>
      <w:pPr>
        <w:spacing w:after="120"/>
      </w:pPr>
      <w:r>
        <w:rPr>
          <w:b/>
          <w:color w:val="1A1A1A"/>
          <w:sz w:val="23"/>
        </w:rPr>
        <w:t>Live payment credentials and a ring-fenced client-funds account</w:t>
      </w:r>
    </w:p>
    <w:p>
      <w:pPr>
        <w:spacing w:after="200"/>
        <w:pBdr>
          <w:bottom w:val="single" w:sz="6" w:space="6" w:color="999999"/>
        </w:pBdr>
      </w:pPr>
      <w:r>
        <w:rPr>
          <w:i/>
          <w:color w:val="5A5A5A"/>
          <w:sz w:val="19"/>
        </w:rPr>
        <w:t>Owner: Client, Finance     |     Closes E2-S1, with E2-S3 and E2-S5 behind it. Needed by E9-S4. Moves gates G2 and G6.</w:t>
      </w:r>
    </w:p>
    <w:p>
      <w:pPr>
        <w:spacing w:before="0" w:after="120"/>
      </w:pPr>
      <w:r>
        <w:rPr>
          <w:b/>
          <w:color w:val="1A1A1A"/>
          <w:sz w:val="20"/>
        </w:rPr>
        <w:t xml:space="preserve">Why this is blocking: </w:t>
      </w:r>
      <w:r>
        <w:rPr>
          <w:b w:val="0"/>
          <w:color w:val="1A1A1A"/>
          <w:sz w:val="20"/>
        </w:rPr>
        <w:t>the platform cannot move money it has no account to move it from, and ADR-0002 settled that SafeBuyRealties holds client funds rather than passing them straight through. That makes the account a liability account held apart from operating money, not a merchant account swept into revenue.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Paystack live secret key and live public key.</w:t>
            </w:r>
          </w:p>
          <w:p>
            <w:pPr>
              <w:spacing w:after="40" w:before="0"/>
            </w:pPr>
            <w:r>
              <w:rPr>
                <w:b w:val="0"/>
                <w:i/>
                <w:color w:val="5A5A5A"/>
                <w:sz w:val="17"/>
              </w:rPr>
              <w:t>Do not write the keys here. Write who received them, on what date, and through which channel. Example: issued to A. Olaluwe on 12 August 2026 by password manager share.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signatories on the account.</w:t>
            </w:r>
          </w:p>
          <w:p>
            <w:pPr>
              <w:spacing w:after="40" w:before="0"/>
            </w:pPr>
            <w:r>
              <w:rPr>
                <w:b w:val="0"/>
                <w:i/>
                <w:color w:val="5A5A5A"/>
                <w:sz w:val="17"/>
              </w:rPr>
              <w:t>Format: full name and role for each one. Not "Finance".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authorisation rule for releasing funds from it.</w:t>
            </w:r>
          </w:p>
          <w:p>
            <w:pPr>
              <w:spacing w:after="40" w:before="0"/>
            </w:pPr>
            <w:r>
              <w:rPr>
                <w:b w:val="0"/>
                <w:i/>
                <w:color w:val="5A5A5A"/>
                <w:sz w:val="17"/>
              </w:rPr>
              <w:t>Format: the rule in words. Example: any two of the three signatories, for any amount.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the balance can be reconciled daily, and how.</w:t>
            </w:r>
          </w:p>
          <w:p>
            <w:pPr>
              <w:spacing w:after="40" w:before="0"/>
            </w:pPr>
            <w:r>
              <w:rPr>
                <w:b w:val="0"/>
                <w:i/>
                <w:color w:val="5A5A5A"/>
                <w:sz w:val="17"/>
              </w:rPr>
              <w:t>Format: yes or no, who does it, and what they read it from, being a portal, a statement or an API. Section 11.1 of the finance specification obliges the platform to reconcile it and only the account's operator can do that.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section 14.2 approval to activate payments in production.</w:t>
            </w:r>
          </w:p>
          <w:p>
            <w:pPr>
              <w:spacing w:after="40" w:before="0"/>
            </w:pPr>
            <w:r>
              <w:rPr>
                <w:b w:val="0"/>
                <w:i/>
                <w:color w:val="5A5A5A"/>
                <w:sz w:val="17"/>
              </w:rPr>
              <w:t>Format: the words "I approve production activation", a full name, a role and a date. Approval to build is not approval to operate, and gate G6 closes on this signature rather than on any code.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live Paystack credentials were issued to [name] on [date] by [channel]. The</w:t>
            </w:r>
          </w:p>
        </w:tc>
      </w:tr>
      <w:tr>
        <w:tc>
          <w:tcPr>
            <w:tcW w:type="dxa" w:w="9298"/>
            <w:shd w:val="clear" w:fill="F7F7F7"/>
          </w:tcPr>
          <w:p>
            <w:pPr>
              <w:spacing w:after="40" w:before="40"/>
            </w:pPr>
            <w:r/>
            <w:r>
              <w:rPr>
                <w:b w:val="0"/>
                <w:i/>
                <w:color w:val="1A1A1A"/>
                <w:sz w:val="19"/>
              </w:rPr>
              <w:t>client-funds account is [bank], account name [name], number [10 digits], held under a</w:t>
            </w:r>
          </w:p>
        </w:tc>
      </w:tr>
      <w:tr>
        <w:tc>
          <w:tcPr>
            <w:tcW w:type="dxa" w:w="9298"/>
            <w:shd w:val="clear" w:fill="F7F7F7"/>
          </w:tcPr>
          <w:p>
            <w:pPr>
              <w:spacing w:after="40" w:before="40"/>
            </w:pPr>
            <w:r/>
            <w:r>
              <w:rPr>
                <w:b w:val="0"/>
                <w:i/>
                <w:color w:val="1A1A1A"/>
                <w:sz w:val="19"/>
              </w:rPr>
              <w:t>mandate dated [date] that ring-fences it from operating funds. Signatories are [names</w:t>
            </w:r>
          </w:p>
        </w:tc>
      </w:tr>
      <w:tr>
        <w:tc>
          <w:tcPr>
            <w:tcW w:type="dxa" w:w="9298"/>
            <w:shd w:val="clear" w:fill="F7F7F7"/>
          </w:tcPr>
          <w:p>
            <w:pPr>
              <w:spacing w:after="40" w:before="40"/>
            </w:pPr>
            <w:r/>
            <w:r>
              <w:rPr>
                <w:b w:val="0"/>
                <w:i/>
                <w:color w:val="1A1A1A"/>
                <w:sz w:val="19"/>
              </w:rPr>
              <w:t>and roles]. A release requires [rule]. The balance is reconciled [how, by whom].</w:t>
            </w:r>
          </w:p>
        </w:tc>
      </w:tr>
      <w:tr>
        <w:tc>
          <w:tcPr>
            <w:tcW w:type="dxa" w:w="9298"/>
            <w:shd w:val="clear" w:fill="F7F7F7"/>
          </w:tcPr>
          <w:p>
            <w:pPr>
              <w:spacing w:after="40" w:before="40"/>
            </w:pPr>
            <w:r/>
            <w:r>
              <w:rPr>
                <w:b w:val="0"/>
                <w:i/>
                <w:color w:val="1A1A1A"/>
                <w:sz w:val="19"/>
              </w:rPr>
              <w:t>I approve production activation under section 14.2: [name], [role],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PAYMENT_CREDENTIALS.md, which records where a credential lives and never its value. The EXT-1 row, the E2-S1 entry and the gate G6 note in the outstanding backlog. ADR-0002, for the activation approval.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EXT-1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and what the answers left open. Two items here do need an answer.</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p>
      <w:pPr>
        <w:spacing w:before="0" w:after="120"/>
      </w:pPr>
      <w:r>
        <w:rPr>
          <w:b/>
          <w:color w:val="1A1A1A"/>
          <w:sz w:val="21"/>
        </w:rPr>
        <w:t xml:space="preserve">This part used to say "already sent, do not answer here". </w:t>
      </w:r>
      <w:r>
        <w:rPr>
          <w:b w:val="0"/>
          <w:color w:val="1A1A1A"/>
          <w:sz w:val="21"/>
        </w:rPr>
        <w:t>It carried no answer column, on the reasoning that an answer given in two places can differ in two places. That reasoning was right for a question still in flight and is wrong for one that has come back. What is asked for below is not any of the five questions asked again. It is the specific points the answers themselves left unsettled, and the person holding this schedule is now the only one who can settle them.</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plus four smaller gaps.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20"/>
      </w:pPr>
      <w:r>
        <w:rPr>
          <w:b/>
          <w:color w:val="1A1A1A"/>
          <w:sz w:val="36"/>
        </w:rPr>
        <w:t>EXT-9</w:t>
      </w:r>
    </w:p>
    <w:p>
      <w:pPr>
        <w:spacing w:after="120"/>
      </w:pPr>
      <w:r>
        <w:rPr>
          <w:b/>
          <w:color w:val="1A1A1A"/>
          <w:sz w:val="23"/>
        </w:rPr>
        <w:t>The structure is settled and the number is not</w:t>
      </w:r>
    </w:p>
    <w:p>
      <w:pPr>
        <w:spacing w:after="200"/>
        <w:pBdr>
          <w:bottom w:val="single" w:sz="6" w:space="6" w:color="999999"/>
        </w:pBdr>
      </w:pPr>
      <w:r>
        <w:rPr>
          <w:i/>
          <w:color w:val="5A5A5A"/>
          <w:sz w:val="19"/>
        </w:rPr>
        <w:t>Owner: Finance     |     Closes the commission half of E9-S3, and rows 8 and 9 of EXT-4. Answered 6 August 2026 by Finance.</w:t>
      </w:r>
    </w:p>
    <w:p>
      <w:pPr>
        <w:spacing w:before="0" w:after="120"/>
      </w:pPr>
      <w:r>
        <w:rPr>
          <w:b/>
          <w:color w:val="1A1A1A"/>
          <w:sz w:val="20"/>
        </w:rPr>
        <w:t xml:space="preserve">Two of the three questions closed and are not reopened. </w:t>
      </w:r>
      <w:r>
        <w:rPr>
          <w:b w:val="0"/>
          <w:color w:val="1A1A1A"/>
          <w:sz w:val="20"/>
        </w:rPr>
        <w:t>Commission is two-sided, charged to both parties. The buyer's share is collected from the buyer and must not be withheld from the seller's proceeds. Both are clear and both are implementable.</w:t>
      </w:r>
    </w:p>
    <w:p>
      <w:pPr>
        <w:spacing w:before="0" w:after="120"/>
      </w:pPr>
      <w:r>
        <w:rPr>
          <w:b/>
          <w:color w:val="1A1A1A"/>
          <w:sz w:val="20"/>
        </w:rPr>
        <w:t xml:space="preserve">The rate is given twice in the same document, at two different numbers. </w:t>
      </w:r>
      <w:r>
        <w:rPr>
          <w:b w:val="0"/>
          <w:color w:val="1A1A1A"/>
          <w:sz w:val="20"/>
        </w:rPr>
        <w:t>On a NGN 50,000,000 sale that is NGN 2,500,000 per side against NGN 5,000,000 per side. It is not a rounding difference and it is not something engineering can pick.</w:t>
      </w:r>
    </w:p>
    <w:tbl>
      <w:tblPr>
        <w:tblStyle w:val="TableGrid"/>
        <w:tblW w:type="auto" w:w="0"/>
        <w:jc w:val="left"/>
        <w:tblLook w:firstColumn="1" w:firstRow="1" w:lastColumn="0" w:lastRow="0" w:noHBand="0" w:noVBand="1" w:val="04A0"/>
      </w:tblPr>
      <w:tblGrid>
        <w:gridCol w:w="3099"/>
        <w:gridCol w:w="3099"/>
        <w:gridCol w:w="3099"/>
      </w:tblGrid>
      <w:tr>
        <w:tc>
          <w:tcPr>
            <w:tcW w:type="dxa" w:w="2948"/>
            <w:shd w:val="clear" w:fill="EDEDED"/>
          </w:tcPr>
          <w:p>
            <w:pPr>
              <w:spacing w:after="40" w:before="40"/>
            </w:pPr>
            <w:r/>
            <w:r>
              <w:rPr>
                <w:b/>
                <w:i w:val="0"/>
                <w:color w:val="1A1A1A"/>
                <w:sz w:val="19"/>
              </w:rPr>
              <w:t>Where in the document</w:t>
            </w:r>
          </w:p>
        </w:tc>
        <w:tc>
          <w:tcPr>
            <w:tcW w:type="dxa" w:w="3175"/>
            <w:shd w:val="clear" w:fill="EDEDED"/>
          </w:tcPr>
          <w:p>
            <w:pPr>
              <w:spacing w:after="40" w:before="40"/>
            </w:pPr>
            <w:r/>
            <w:r>
              <w:rPr>
                <w:b/>
                <w:i w:val="0"/>
                <w:color w:val="1A1A1A"/>
                <w:sz w:val="19"/>
              </w:rPr>
              <w:t>Question 1</w:t>
            </w:r>
          </w:p>
        </w:tc>
        <w:tc>
          <w:tcPr>
            <w:tcW w:type="dxa" w:w="3175"/>
            <w:shd w:val="clear" w:fill="EDEDED"/>
          </w:tcPr>
          <w:p>
            <w:pPr>
              <w:spacing w:after="40" w:before="40"/>
            </w:pPr>
            <w:r/>
            <w:r>
              <w:rPr>
                <w:b/>
                <w:i w:val="0"/>
                <w:color w:val="1A1A1A"/>
                <w:sz w:val="19"/>
              </w:rPr>
              <w:t>Question 3</w:t>
            </w:r>
          </w:p>
        </w:tc>
      </w:tr>
      <w:tr>
        <w:tc>
          <w:tcPr>
            <w:tcW w:type="dxa" w:w="2948"/>
          </w:tcPr>
          <w:p>
            <w:pPr>
              <w:spacing w:after="40" w:before="40"/>
            </w:pPr>
            <w:r/>
            <w:r>
              <w:rPr>
                <w:b w:val="0"/>
                <w:i w:val="0"/>
                <w:color w:val="1A1A1A"/>
                <w:sz w:val="19"/>
              </w:rPr>
              <w:t>Response box</w:t>
            </w:r>
          </w:p>
        </w:tc>
        <w:tc>
          <w:tcPr>
            <w:tcW w:type="dxa" w:w="3175"/>
          </w:tcPr>
          <w:p>
            <w:pPr>
              <w:spacing w:after="40" w:before="40"/>
            </w:pPr>
            <w:r/>
            <w:r>
              <w:rPr>
                <w:b w:val="0"/>
                <w:i w:val="0"/>
                <w:color w:val="1A1A1A"/>
                <w:sz w:val="19"/>
              </w:rPr>
              <w:t>"5% to the seller and 5% to the buyer"</w:t>
            </w:r>
          </w:p>
        </w:tc>
        <w:tc>
          <w:tcPr>
            <w:tcW w:type="dxa" w:w="3175"/>
          </w:tcPr>
          <w:p>
            <w:pPr>
              <w:spacing w:after="40" w:before="40"/>
            </w:pPr>
            <w:r/>
            <w:r>
              <w:rPr>
                <w:b w:val="0"/>
                <w:i w:val="0"/>
                <w:color w:val="1A1A1A"/>
                <w:sz w:val="19"/>
              </w:rPr>
              <w:t>"5% is the standard rate for each party"</w:t>
            </w:r>
          </w:p>
        </w:tc>
      </w:tr>
      <w:tr>
        <w:tc>
          <w:tcPr>
            <w:tcW w:type="dxa" w:w="2948"/>
          </w:tcPr>
          <w:p>
            <w:pPr>
              <w:spacing w:after="40" w:before="40"/>
            </w:pPr>
            <w:r/>
            <w:r>
              <w:rPr>
                <w:b w:val="0"/>
                <w:i w:val="0"/>
                <w:color w:val="1A1A1A"/>
                <w:sz w:val="19"/>
              </w:rPr>
              <w:t>Collation sheet, same questions</w:t>
            </w:r>
          </w:p>
        </w:tc>
        <w:tc>
          <w:tcPr>
            <w:tcW w:type="dxa" w:w="3175"/>
          </w:tcPr>
          <w:p>
            <w:pPr>
              <w:spacing w:after="40" w:before="40"/>
            </w:pPr>
            <w:r/>
            <w:r>
              <w:rPr>
                <w:b w:val="0"/>
                <w:i w:val="0"/>
                <w:color w:val="1A1A1A"/>
                <w:sz w:val="19"/>
              </w:rPr>
              <w:t>"Two-sided: 10% seller and 10% buyer"</w:t>
            </w:r>
          </w:p>
        </w:tc>
        <w:tc>
          <w:tcPr>
            <w:tcW w:type="dxa" w:w="3175"/>
          </w:tcPr>
          <w:p>
            <w:pPr>
              <w:spacing w:after="40" w:before="40"/>
            </w:pPr>
            <w:r/>
            <w:r>
              <w:rPr>
                <w:b w:val="0"/>
                <w:i w:val="0"/>
                <w:color w:val="1A1A1A"/>
                <w:sz w:val="19"/>
              </w:rPr>
              <w:t>"10% standard; editable by authorised user"</w:t>
            </w:r>
          </w:p>
        </w:tc>
      </w:tr>
    </w:tbl>
    <w:p>
      <w:pPr>
        <w:spacing w:after="40"/>
      </w:pPr>
    </w:p>
    <w:p>
      <w:pPr>
        <w:spacing w:before="0" w:after="120"/>
      </w:pPr>
      <w:r>
        <w:rPr>
          <w:b/>
          <w:color w:val="1A1A1A"/>
          <w:sz w:val="20"/>
        </w:rPr>
        <w:t xml:space="preserve">What the signed instrument says, offered so this can be confirmed in one line rather than re-derived. </w:t>
      </w:r>
      <w:r>
        <w:rPr>
          <w:b w:val="0"/>
          <w:color w:val="1A1A1A"/>
          <w:sz w:val="20"/>
        </w:rPr>
        <w:t>Clause 5 of the seller Power of Attorney authorises the donee to deduct from source 10% brokerage and commission. 5 plus 5 comes to exactly that 10 per cent. 10 plus 10 comes to twice it. That is an observation about arithmetic, not us choosing the rate.</w:t>
      </w:r>
    </w:p>
    <w:p>
      <w:pPr>
        <w:spacing w:before="0" w:after="80"/>
      </w:pPr>
      <w:r>
        <w:rPr>
          <w:b w:val="0"/>
          <w:i w:val="0"/>
          <w:color w:val="1A1A1A"/>
          <w:sz w:val="20"/>
        </w:rPr>
        <w:t>Two things to note about it. The clause authorises deduction from the seller, so even at 5 plus 5 the buyer's half has no authority in that instrument and needs a buyer-facing one, which is EXT-4 row 8. And terms of service section 5(a) promises a minimum 5 per cent from each side, which the response box matches and the collation sheet does not.</w:t>
      </w:r>
    </w:p>
    <w:p>
      <w:pPr>
        <w:spacing w:before="0" w:after="160"/>
      </w:pPr>
      <w:r>
        <w:rPr>
          <w:b w:val="0"/>
          <w:i w:val="0"/>
          <w:color w:val="1A1A1A"/>
          <w:sz w:val="20"/>
        </w:rPr>
        <w:t>What the platform does today, so the size of the change is visible either way: one rate is set at 5 per cent in the escrow constants and applied once, to the seller side only. A buyer-side charge does not exist yet at any rate.</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rate per side.</w:t>
            </w:r>
          </w:p>
          <w:p>
            <w:pPr>
              <w:spacing w:after="40" w:before="0"/>
            </w:pPr>
            <w:r>
              <w:rPr>
                <w:b w:val="0"/>
                <w:i/>
                <w:color w:val="5A5A5A"/>
                <w:sz w:val="17"/>
              </w:rPr>
              <w:t>Format: one number, and confirmation it is per side rather than combined.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Who "authorised users" means.</w:t>
            </w:r>
          </w:p>
          <w:p>
            <w:pPr>
              <w:spacing w:after="40" w:before="0"/>
            </w:pPr>
            <w:r>
              <w:rPr>
                <w:b w:val="0"/>
                <w:i/>
                <w:color w:val="5A5A5A"/>
                <w:sz w:val="17"/>
              </w:rPr>
              <w:t>Format: the role or roles, and whether a second approval is required. Question 3 says the application must allow authorised users to edit the commission rate for an approved transaction-specific variation. A per-transaction rate override moves money, so it ships behind a flag that is off until Finance, Legal and technical sign-off, and the flag is named in the pull request that adds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Whether a variation is capped.</w:t>
            </w:r>
          </w:p>
          <w:p>
            <w:pPr>
              <w:spacing w:after="40" w:before="0"/>
            </w:pPr>
            <w:r>
              <w:rPr>
                <w:b w:val="0"/>
                <w:i/>
                <w:color w:val="5A5A5A"/>
                <w:sz w:val="17"/>
              </w:rPr>
              <w:t>Format: a floor and a ceiling, or "no cap". Without one, an editable rate is an editable rate all the way to zero.</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Commission is [number] per cent per side, charged to both the buyer and the seller.</w:t>
            </w:r>
          </w:p>
        </w:tc>
      </w:tr>
      <w:tr>
        <w:tc>
          <w:tcPr>
            <w:tcW w:type="dxa" w:w="9298"/>
            <w:shd w:val="clear" w:fill="F7F7F7"/>
          </w:tcPr>
          <w:p>
            <w:pPr>
              <w:spacing w:after="40" w:before="40"/>
            </w:pPr>
            <w:r/>
            <w:r>
              <w:rPr>
                <w:b w:val="0"/>
                <w:i/>
                <w:color w:val="1A1A1A"/>
                <w:sz w:val="19"/>
              </w:rPr>
              <w:t>Authorised users for a transaction-specific variation are [roles], and a variation does /</w:t>
            </w:r>
          </w:p>
        </w:tc>
      </w:tr>
      <w:tr>
        <w:tc>
          <w:tcPr>
            <w:tcW w:type="dxa" w:w="9298"/>
            <w:shd w:val="clear" w:fill="F7F7F7"/>
          </w:tcPr>
          <w:p>
            <w:pPr>
              <w:spacing w:after="40" w:before="40"/>
            </w:pPr>
            <w:r/>
            <w:r>
              <w:rPr>
                <w:b w:val="0"/>
                <w:i/>
                <w:color w:val="1A1A1A"/>
                <w:sz w:val="19"/>
              </w:rPr>
              <w:t>does not require a second approval. A varied rate must stay between [floor] and [ceiling]</w:t>
            </w:r>
          </w:p>
        </w:tc>
      </w:tr>
      <w:tr>
        <w:tc>
          <w:tcPr>
            <w:tcW w:type="dxa" w:w="9298"/>
            <w:shd w:val="clear" w:fill="F7F7F7"/>
          </w:tcPr>
          <w:p>
            <w:pPr>
              <w:spacing w:after="40" w:before="40"/>
            </w:pPr>
            <w:r/>
            <w:r>
              <w:rPr>
                <w:b w:val="0"/>
                <w:i/>
                <w:color w:val="1A1A1A"/>
                <w:sz w:val="19"/>
              </w:rPr>
              <w:t>per cent, or: no cap.</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EXT-9 entry and the E9-S3 entry in the outstanding backlog. The answer section in the escalation record. Section 4 and Appendix C of the financial governance specification. The delivery board and the build checklist. The rate itself lands in the escrow constants when E9-S3 is built, not before.</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EXT-9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One more thing about the returned copy, which is not a question</w:t>
      </w:r>
    </w:p>
    <w:p>
      <w:pPr>
        <w:spacing w:before="0" w:after="120"/>
      </w:pPr>
      <w:r>
        <w:rPr>
          <w:b w:val="0"/>
          <w:i w:val="0"/>
          <w:color w:val="1A1A1A"/>
          <w:sz w:val="20"/>
        </w:rPr>
        <w:t>The completed copy of ENG-DR-2026-08-06-01 differs from the copy that was dispatched in six places, and four of those changes rewrote the question text rather than the answer boxes. All four changed a quotation of Power of Attorney clause 5 from 10 per cent to 5 per cent. The signed instrument says 10 per cent.</w:t>
      </w:r>
    </w:p>
    <w:p>
      <w:pPr>
        <w:spacing w:before="0" w:after="120"/>
      </w:pPr>
      <w:r>
        <w:rPr>
          <w:b/>
          <w:color w:val="1A1A1A"/>
          <w:sz w:val="20"/>
        </w:rPr>
        <w:t xml:space="preserve">This is recorded rather than asked about, because it needs no decision. The copy we sent was accurate. </w:t>
      </w:r>
      <w:r>
        <w:rPr>
          <w:b w:val="0"/>
          <w:color w:val="1A1A1A"/>
          <w:sz w:val="20"/>
        </w:rPr>
        <w:t>One consequence does matter for the rate question above: the edited preamble now reads that 5 plus 5 is the Power of Attorney's 5% at source, which does not add up in either direction and cannot be used to settle anything. The dispatched wording is the one to read.</w:t>
      </w:r>
    </w:p>
    <w:p>
      <w:pPr>
        <w:spacing w:before="0" w:after="120"/>
      </w:pPr>
      <w:r>
        <w:rPr>
          <w:b w:val="0"/>
          <w:i w:val="0"/>
          <w:color w:val="1A1A1A"/>
          <w:sz w:val="20"/>
        </w:rPr>
        <w:t>The dispatched cover invited exactly this: "If you disagree with a fact stated here, say so in the box." Saying it in the box leaves both readings on the record. Editing the question leaves only one, and it is the one the instrument does not support.</w:t>
      </w: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EXT-1</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EXT-9</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finance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