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Nine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questions.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nine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to EXT-12 are outstanding too. They went out on 6 August inside ENG-DR-2026-08-06-01 and appear in Part B of this document with no answer column, because an answer given in two places is an answer that can differ in two places.</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or write "deferred pending EXT-11". EXT-11 decides whether the internal policy's closed list of three transfer conditions governs or the published policy's reasonable steps does. If the closed list wins, the region must be Nigerian or covered by one of those three conditions.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or deferred pending EXT-11].</w:t>
            </w:r>
          </w:p>
        </w:tc>
      </w:tr>
      <w:tr>
        <w:tc>
          <w:tcPr>
            <w:tcW w:type="dxa" w:w="9298"/>
            <w:shd w:val="clear" w:fill="F7F7F7"/>
          </w:tcPr>
          <w:p>
            <w:pPr>
              <w:spacing w:after="40" w:before="40"/>
            </w:pPr>
            <w:r/>
            <w:r>
              <w:rPr>
                <w:b w:val="0"/>
                <w:i/>
                <w:color w:val="1A1A1A"/>
                <w:sz w:val="19"/>
              </w:rPr>
              <w:t>Credentials were issued to [name] on [date] by [channel], scoped to this bucket only.</w:t>
            </w:r>
          </w:p>
        </w:tc>
      </w:tr>
      <w:tr>
        <w:tc>
          <w:tcPr>
            <w:tcW w:type="dxa" w:w="9298"/>
            <w:shd w:val="clear" w:fill="F7F7F7"/>
          </w:tcPr>
          <w:p>
            <w:pPr>
              <w:spacing w:after="40" w:before="40"/>
            </w:pPr>
            <w:r/>
            <w:r>
              <w:rPr>
                <w:b w:val="0"/>
                <w:i/>
                <w:color w:val="1A1A1A"/>
                <w:sz w:val="19"/>
              </w:rPr>
              <w:t>Public reads are denied at the bucket policy: [yes/no], checked [date]. Object</w:t>
            </w:r>
          </w:p>
        </w:tc>
      </w:tr>
      <w:tr>
        <w:tc>
          <w:tcPr>
            <w:tcW w:type="dxa" w:w="9298"/>
            <w:shd w:val="clear" w:fill="F7F7F7"/>
          </w:tcPr>
          <w:p>
            <w:pPr>
              <w:spacing w:after="40" w:before="40"/>
            </w:pPr>
            <w:r/>
            <w:r>
              <w:rPr>
                <w:b w:val="0"/>
                <w:i/>
                <w:color w:val="1A1A1A"/>
                <w:sz w:val="19"/>
              </w:rPr>
              <w:t>versioning is [on/off]. Lifecycle rules 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EXT-3</w:t>
      </w:r>
    </w:p>
    <w:p>
      <w:pPr>
        <w:spacing w:after="120"/>
      </w:pPr>
      <w:r>
        <w:rPr>
          <w:b/>
          <w:color w:val="1A1A1A"/>
          <w:sz w:val="23"/>
        </w:rPr>
        <w:t>Transactional email domain and authentication</w:t>
      </w:r>
    </w:p>
    <w:p>
      <w:pPr>
        <w:spacing w:after="200"/>
        <w:pBdr>
          <w:bottom w:val="single" w:sz="6" w:space="6" w:color="999999"/>
        </w:pBdr>
      </w:pPr>
      <w:r>
        <w:rPr>
          <w:i/>
          <w:color w:val="5A5A5A"/>
          <w:sz w:val="19"/>
        </w:rPr>
        <w:t>Owner: Client     |     Closes E6-S1.</w:t>
      </w:r>
    </w:p>
    <w:p>
      <w:pPr>
        <w:spacing w:before="0" w:after="120"/>
      </w:pPr>
      <w:r>
        <w:rPr>
          <w:b/>
          <w:color w:val="1A1A1A"/>
          <w:sz w:val="20"/>
        </w:rPr>
        <w:t xml:space="preserve">Why this is blocking: </w:t>
      </w:r>
      <w:r>
        <w:rPr>
          <w:b w:val="0"/>
          <w:color w:val="1A1A1A"/>
          <w:sz w:val="20"/>
        </w:rPr>
        <w:t>the platform can compose mail but has no authenticated domain to send it from. Unauthenticated transactional mail about money and title documents goes to spam, which is worse than not sending it, because the sender believes it arrived.</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sending domain or subdomain.</w:t>
            </w:r>
          </w:p>
          <w:p>
            <w:pPr>
              <w:spacing w:after="40" w:before="0"/>
            </w:pPr>
            <w:r>
              <w:rPr>
                <w:b w:val="0"/>
                <w:i/>
                <w:color w:val="5A5A5A"/>
                <w:sz w:val="17"/>
              </w:rPr>
              <w:t>Format: the exact domain. Example: mail.example.com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controls DNS for that domain.</w:t>
            </w:r>
          </w:p>
          <w:p>
            <w:pPr>
              <w:spacing w:after="40" w:before="0"/>
            </w:pPr>
            <w:r>
              <w:rPr>
                <w:b w:val="0"/>
                <w:i/>
                <w:color w:val="5A5A5A"/>
                <w:sz w:val="17"/>
              </w:rPr>
              <w:t>Format: name of the person and the organisation. The SPF, DKIM and DMARC records have to be published by that party and cannot be published by us.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SPF record as published.</w:t>
            </w:r>
          </w:p>
          <w:p>
            <w:pPr>
              <w:spacing w:after="40" w:before="0"/>
            </w:pPr>
            <w:r>
              <w:rPr>
                <w:b w:val="0"/>
                <w:i/>
                <w:color w:val="5A5A5A"/>
                <w:sz w:val="17"/>
              </w:rPr>
              <w:t>Format: the record value, and the date it was published.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DKIM selector, and confirmation the public key is published.</w:t>
            </w:r>
          </w:p>
          <w:p>
            <w:pPr>
              <w:spacing w:after="40" w:before="0"/>
            </w:pPr>
            <w:r>
              <w:rPr>
                <w:b w:val="0"/>
                <w:i/>
                <w:color w:val="5A5A5A"/>
                <w:sz w:val="17"/>
              </w:rPr>
              <w:t>Format: the selector name, and yes or no on the key being live in DNS.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DMARC policy and reporting address.</w:t>
            </w:r>
          </w:p>
          <w:p>
            <w:pPr>
              <w:spacing w:after="40" w:before="0"/>
            </w:pPr>
            <w:r>
              <w:rPr>
                <w:b w:val="0"/>
                <w:i/>
                <w:color w:val="5A5A5A"/>
                <w:sz w:val="17"/>
              </w:rPr>
              <w:t>Format: none, quarantine or reject, plus the address aggregate reports go to.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SMTP host, port and username.</w:t>
            </w:r>
          </w:p>
          <w:p>
            <w:pPr>
              <w:spacing w:after="40" w:before="0"/>
            </w:pPr>
            <w:r>
              <w:rPr>
                <w:b w:val="0"/>
                <w:i/>
                <w:color w:val="5A5A5A"/>
                <w:sz w:val="17"/>
              </w:rPr>
              <w:t>Format: host, port number, username. Do not write the password here. State who received it, when, and through which channel.</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addresses users will see, and the bounce address.</w:t>
            </w:r>
          </w:p>
          <w:p>
            <w:pPr>
              <w:spacing w:after="40" w:before="0"/>
            </w:pPr>
            <w:r>
              <w:rPr>
                <w:b w:val="0"/>
                <w:i/>
                <w:color w:val="5A5A5A"/>
                <w:sz w:val="17"/>
              </w:rPr>
              <w:t>Format: the From address, the Reply-To address, and the bounce address.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Whether to wait for EXT-12 before publishing DNS.</w:t>
            </w:r>
          </w:p>
          <w:p>
            <w:pPr>
              <w:spacing w:after="40" w:before="0"/>
            </w:pPr>
            <w:r>
              <w:rPr>
                <w:b w:val="0"/>
                <w:i/>
                <w:color w:val="5A5A5A"/>
                <w:sz w:val="17"/>
              </w:rPr>
              <w:t>Format: proceed now, or wait. EXT-12 settles the canonical domain. A sending domain chosen before that answer may have to move, which means publishing DNS again and warming it again.</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Mail sends from [domain]. DNS for it is controlled by [name, organisation]. SPF, DKIM</w:t>
            </w:r>
          </w:p>
        </w:tc>
      </w:tr>
      <w:tr>
        <w:tc>
          <w:tcPr>
            <w:tcW w:type="dxa" w:w="9298"/>
            <w:shd w:val="clear" w:fill="F7F7F7"/>
          </w:tcPr>
          <w:p>
            <w:pPr>
              <w:spacing w:after="40" w:before="40"/>
            </w:pPr>
            <w:r/>
            <w:r>
              <w:rPr>
                <w:b w:val="0"/>
                <w:i/>
                <w:color w:val="1A1A1A"/>
                <w:sz w:val="19"/>
              </w:rPr>
              <w:t>and DMARC were published on [date], DMARC policy [none/quarantine/reject], reports to</w:t>
            </w:r>
          </w:p>
        </w:tc>
      </w:tr>
      <w:tr>
        <w:tc>
          <w:tcPr>
            <w:tcW w:type="dxa" w:w="9298"/>
            <w:shd w:val="clear" w:fill="F7F7F7"/>
          </w:tcPr>
          <w:p>
            <w:pPr>
              <w:spacing w:after="40" w:before="40"/>
            </w:pPr>
            <w:r/>
            <w:r>
              <w:rPr>
                <w:b w:val="0"/>
                <w:i/>
                <w:color w:val="1A1A1A"/>
                <w:sz w:val="19"/>
              </w:rPr>
              <w:t>[address]. SMTP credentials were issued to [name] on [date]. Users see From [address]</w:t>
            </w:r>
          </w:p>
        </w:tc>
      </w:tr>
      <w:tr>
        <w:tc>
          <w:tcPr>
            <w:tcW w:type="dxa" w:w="9298"/>
            <w:shd w:val="clear" w:fill="F7F7F7"/>
          </w:tcPr>
          <w:p>
            <w:pPr>
              <w:spacing w:after="40" w:before="40"/>
            </w:pPr>
            <w:r/>
            <w:r>
              <w:rPr>
                <w:b w:val="0"/>
                <w:i/>
                <w:color w:val="1A1A1A"/>
                <w:sz w:val="19"/>
              </w:rPr>
              <w:t>and Reply-To [address]. Bounces go to [address].</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EXT-3 row and the E6-S1 entry in the outstanding backlog. The local development guide.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Moves gate G4.</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entity name to be used throughout the documents.</w:t>
            </w:r>
          </w:p>
          <w:p>
            <w:pPr>
              <w:spacing w:after="40" w:before="0"/>
            </w:pPr>
            <w:r>
              <w:rPr>
                <w:b w:val="0"/>
                <w:i/>
                <w:color w:val="5A5A5A"/>
                <w:sz w:val="17"/>
              </w:rPr>
              <w:t>Format: the registered name exactly as it appears at the Corporate Affairs Commission. This is the same answer as EXT-12 and only needs giving once.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Whether counsel proceeds now or waits for EXT-9, EXT-10 and EXT-12.</w:t>
            </w:r>
          </w:p>
          <w:p>
            <w:pPr>
              <w:spacing w:after="40" w:before="0"/>
            </w:pPr>
            <w:r>
              <w:rPr>
                <w:b w:val="0"/>
                <w:i/>
                <w:color w:val="5A5A5A"/>
                <w:sz w:val="17"/>
              </w:rPr>
              <w:t>Format: proceed now, or wait. The commission basis, the VAT authority and the registered name all sit inside the text counsel would be approving. Sending it first means paying for a review of text that then changes.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named throughout is</w:t>
            </w:r>
          </w:p>
        </w:tc>
      </w:tr>
      <w:tr>
        <w:tc>
          <w:tcPr>
            <w:tcW w:type="dxa" w:w="9298"/>
            <w:shd w:val="clear" w:fill="F7F7F7"/>
          </w:tcPr>
          <w:p>
            <w:pPr>
              <w:spacing w:after="40" w:before="40"/>
            </w:pPr>
            <w:r/>
            <w:r>
              <w:rPr>
                <w:b w:val="0"/>
                <w:i/>
                <w:color w:val="1A1A1A"/>
                <w:sz w:val="19"/>
              </w:rPr>
              <w:t>[registered name]. They [proceed now / wait for EXT-9, EXT-10 and EXT-12].</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E8-S2 entry and the gate G4 note in the outstanding backlog. The clause text and a version stamp in the Power of Attorney service.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EXT-5,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0" w:after="160"/>
      </w:pPr>
      <w:r>
        <w:rPr>
          <w:b w:val="0"/>
          <w:i w:val="0"/>
          <w:color w:val="5A5A5A"/>
          <w:sz w:val="18"/>
        </w:rPr>
        <w:t>The cross-border half of EXT-5 waits on EXT-11 and is deliberately not asked again here.</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Retention periods are in the table above.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EXT-5 row and the E8-S1 entry in the outstanding backlog. A record of processing activities and a data protection impact assessment added to the documentation.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EXT-6</w:t>
      </w:r>
    </w:p>
    <w:p>
      <w:pPr>
        <w:spacing w:after="120"/>
      </w:pPr>
      <w:r>
        <w:rPr>
          <w:b/>
          <w:color w:val="1A1A1A"/>
          <w:sz w:val="23"/>
        </w:rPr>
        <w:t>Penetration test vendor and window</w:t>
      </w:r>
    </w:p>
    <w:p>
      <w:pPr>
        <w:spacing w:after="200"/>
        <w:pBdr>
          <w:bottom w:val="single" w:sz="6" w:space="6" w:color="999999"/>
        </w:pBdr>
      </w:pPr>
      <w:r>
        <w:rPr>
          <w:i/>
          <w:color w:val="5A5A5A"/>
          <w:sz w:val="19"/>
        </w:rPr>
        <w:t>Owner: Corne Labs     |     Closes E8-S3. Moves gate G5.</w:t>
      </w:r>
    </w:p>
    <w:p>
      <w:pPr>
        <w:spacing w:before="0" w:after="120"/>
      </w:pPr>
      <w:r>
        <w:rPr>
          <w:b/>
          <w:color w:val="1A1A1A"/>
          <w:sz w:val="20"/>
        </w:rPr>
        <w:t xml:space="preserve">This is the only item on this schedule with no upstream dependency. </w:t>
      </w:r>
      <w:r>
        <w:rPr>
          <w:b w:val="0"/>
          <w:color w:val="1A1A1A"/>
          <w:sz w:val="20"/>
        </w:rPr>
        <w:t>It waits on nothing and could be booked today. What is missing is the booking, not the test.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vendor, and a named contact there.</w:t>
            </w:r>
          </w:p>
          <w:p>
            <w:pPr>
              <w:spacing w:after="40" w:before="0"/>
            </w:pPr>
            <w:r>
              <w:rPr>
                <w:b w:val="0"/>
                <w:i/>
                <w:color w:val="5A5A5A"/>
                <w:sz w:val="17"/>
              </w:rPr>
              <w:t>Format: company name, contact name, email and phone.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Confirmation the scope of work names the four areas.</w:t>
            </w:r>
          </w:p>
          <w:p>
            <w:pPr>
              <w:spacing w:after="40" w:before="0"/>
            </w:pPr>
            <w:r>
              <w:rPr>
                <w:b w:val="0"/>
                <w:i/>
                <w:color w:val="5A5A5A"/>
                <w:sz w:val="17"/>
              </w:rPr>
              <w:t>Format: yes or no for each of authentication, authorization, payments and document handling, and confirm it explicitly includes the escrow payment path and the KYC document store.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the engagement is black, grey or white box.</w:t>
            </w:r>
          </w:p>
          <w:p>
            <w:pPr>
              <w:spacing w:after="40" w:before="0"/>
            </w:pPr>
            <w:r>
              <w:rPr>
                <w:b w:val="0"/>
                <w:i/>
                <w:color w:val="5A5A5A"/>
                <w:sz w:val="17"/>
              </w:rPr>
              <w:t>Format: one of the three. If grey or white, say what access the testers are given.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environment to be tested.</w:t>
            </w:r>
          </w:p>
          <w:p>
            <w:pPr>
              <w:spacing w:after="40" w:before="0"/>
            </w:pPr>
            <w:r>
              <w:rPr>
                <w:b w:val="0"/>
                <w:i/>
                <w:color w:val="5A5A5A"/>
                <w:sz w:val="17"/>
              </w:rPr>
              <w:t>Format: name the environment. It must not be production with live customer data.</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test window.</w:t>
            </w:r>
          </w:p>
          <w:p>
            <w:pPr>
              <w:spacing w:after="40" w:before="0"/>
            </w:pPr>
            <w:r>
              <w:rPr>
                <w:b w:val="0"/>
                <w:i/>
                <w:color w:val="5A5A5A"/>
                <w:sz w:val="17"/>
              </w:rPr>
              <w:t>Format: start date and end date.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Rules of engagement.</w:t>
            </w:r>
          </w:p>
          <w:p>
            <w:pPr>
              <w:spacing w:after="40" w:before="0"/>
            </w:pPr>
            <w:r>
              <w:rPr>
                <w:b w:val="0"/>
                <w:i/>
                <w:color w:val="5A5A5A"/>
                <w:sz w:val="17"/>
              </w:rPr>
              <w:t>Format: attached, or summarised here. Must cover the seeded test data set, any out-of-hours constraint, and who to call when something breaks during the test.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date the report is due.</w:t>
            </w:r>
          </w:p>
          <w:p>
            <w:pPr>
              <w:spacing w:after="40" w:before="0"/>
            </w:pPr>
            <w:r>
              <w:rPr>
                <w:b w:val="0"/>
                <w:i/>
                <w:color w:val="5A5A5A"/>
                <w:sz w:val="17"/>
              </w:rPr>
              <w:t>Format: a date. The report must carry findings, severity ratings and reproduction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date the re-test letter is due.</w:t>
            </w:r>
          </w:p>
          <w:p>
            <w:pPr>
              <w:spacing w:after="40" w:before="0"/>
            </w:pPr>
            <w:r>
              <w:rPr>
                <w:b w:val="0"/>
                <w:i/>
                <w:color w:val="5A5A5A"/>
                <w:sz w:val="17"/>
              </w:rPr>
              <w:t>Format: a date. The re-test after remediation has to be a separate artifact. Gate G5 reads no high findings outstanding, and only an independent party can attest to that.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vendor is [company], contact [name, email, phone]. The window is [start] to [end],</w:t>
            </w:r>
          </w:p>
        </w:tc>
      </w:tr>
      <w:tr>
        <w:tc>
          <w:tcPr>
            <w:tcW w:type="dxa" w:w="9298"/>
            <w:shd w:val="clear" w:fill="F7F7F7"/>
          </w:tcPr>
          <w:p>
            <w:pPr>
              <w:spacing w:after="40" w:before="40"/>
            </w:pPr>
            <w:r/>
            <w:r>
              <w:rPr>
                <w:b w:val="0"/>
                <w:i/>
                <w:color w:val="1A1A1A"/>
                <w:sz w:val="19"/>
              </w:rPr>
              <w:t>against the [environment] environment, [black/grey/white] box. Scope covers</w:t>
            </w:r>
          </w:p>
        </w:tc>
      </w:tr>
      <w:tr>
        <w:tc>
          <w:tcPr>
            <w:tcW w:type="dxa" w:w="9298"/>
            <w:shd w:val="clear" w:fill="F7F7F7"/>
          </w:tcPr>
          <w:p>
            <w:pPr>
              <w:spacing w:after="40" w:before="40"/>
            </w:pPr>
            <w:r/>
            <w:r>
              <w:rPr>
                <w:b w:val="0"/>
                <w:i/>
                <w:color w:val="1A1A1A"/>
                <w:sz w:val="19"/>
              </w:rPr>
              <w:t>authentication, authorization, payments and document handling, including the escrow</w:t>
            </w:r>
          </w:p>
        </w:tc>
      </w:tr>
      <w:tr>
        <w:tc>
          <w:tcPr>
            <w:tcW w:type="dxa" w:w="9298"/>
            <w:shd w:val="clear" w:fill="F7F7F7"/>
          </w:tcPr>
          <w:p>
            <w:pPr>
              <w:spacing w:after="40" w:before="40"/>
            </w:pPr>
            <w:r/>
            <w:r>
              <w:rPr>
                <w:b w:val="0"/>
                <w:i/>
                <w:color w:val="1A1A1A"/>
                <w:sz w:val="19"/>
              </w:rPr>
              <w:t>payment path and the KYC document store. Rules of engagement are attached. The report</w:t>
            </w:r>
          </w:p>
        </w:tc>
      </w:tr>
      <w:tr>
        <w:tc>
          <w:tcPr>
            <w:tcW w:type="dxa" w:w="9298"/>
            <w:shd w:val="clear" w:fill="F7F7F7"/>
          </w:tcPr>
          <w:p>
            <w:pPr>
              <w:spacing w:after="40" w:before="40"/>
            </w:pPr>
            <w:r/>
            <w:r>
              <w:rPr>
                <w:b w:val="0"/>
                <w:i/>
                <w:color w:val="1A1A1A"/>
                <w:sz w:val="19"/>
              </w:rPr>
              <w:t>is due [date] and the re-test letter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EXT-6 row, the E8-S3 entry and the gate G5 note in the outstanding backlog. The delivery board and the build checklist. The report and the re-test letter are filed with the documentation when they arrive.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EXT-6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Already sent on 6 August. Please do not answer these here.</w:t>
      </w:r>
    </w:p>
    <w:p>
      <w:pPr>
        <w:spacing w:before="0" w:after="120"/>
      </w:pPr>
      <w:r>
        <w:rPr>
          <w:b w:val="0"/>
          <w:i w:val="0"/>
          <w:color w:val="1A1A1A"/>
          <w:sz w:val="21"/>
        </w:rPr>
        <w:t>EXT-8 to EXT-12 went out inside ENG-DR-2026-08-06-01 and are awaiting answers. They are listed so this schedule is a complete picture of what is outstanding. They carry no answer column on purpose. An answer given in two places is an answer that can differ in two places, and the record has to check an answer against the question exactly as it was asked.</w:t>
      </w:r>
    </w:p>
    <w:tbl>
      <w:tblPr>
        <w:tblStyle w:val="TableGrid"/>
        <w:tblW w:type="auto" w:w="0"/>
        <w:jc w:val="left"/>
        <w:tblLook w:firstColumn="1" w:firstRow="1" w:lastColumn="0" w:lastRow="0" w:noHBand="0" w:noVBand="1" w:val="04A0"/>
      </w:tblPr>
      <w:tblGrid>
        <w:gridCol w:w="3099"/>
        <w:gridCol w:w="3099"/>
        <w:gridCol w:w="3099"/>
      </w:tblGrid>
      <w:tr>
        <w:tc>
          <w:tcPr>
            <w:tcW w:type="dxa" w:w="1134"/>
            <w:shd w:val="clear" w:fill="EDEDED"/>
          </w:tcPr>
          <w:p>
            <w:pPr>
              <w:spacing w:after="40" w:before="40"/>
            </w:pPr>
            <w:r/>
            <w:r>
              <w:rPr>
                <w:b/>
                <w:i w:val="0"/>
                <w:color w:val="1A1A1A"/>
                <w:sz w:val="19"/>
              </w:rPr>
              <w:t>Item</w:t>
            </w:r>
          </w:p>
        </w:tc>
        <w:tc>
          <w:tcPr>
            <w:tcW w:type="dxa" w:w="5216"/>
            <w:shd w:val="clear" w:fill="EDEDED"/>
          </w:tcPr>
          <w:p>
            <w:pPr>
              <w:spacing w:after="40" w:before="40"/>
            </w:pPr>
            <w:r/>
            <w:r>
              <w:rPr>
                <w:b/>
                <w:i w:val="0"/>
                <w:color w:val="1A1A1A"/>
                <w:sz w:val="19"/>
              </w:rPr>
              <w:t>The question, in short</w:t>
            </w:r>
          </w:p>
        </w:tc>
        <w:tc>
          <w:tcPr>
            <w:tcW w:type="dxa" w:w="2948"/>
            <w:shd w:val="clear" w:fill="EDEDED"/>
          </w:tcPr>
          <w:p>
            <w:pPr>
              <w:spacing w:after="40" w:before="40"/>
            </w:pPr>
            <w:r/>
            <w:r>
              <w:rPr>
                <w:b/>
                <w:i w:val="0"/>
                <w:color w:val="1A1A1A"/>
                <w:sz w:val="19"/>
              </w:rPr>
              <w:t>What it holds up</w:t>
            </w:r>
          </w:p>
        </w:tc>
      </w:tr>
      <w:tr>
        <w:tc>
          <w:tcPr>
            <w:tcW w:type="dxa" w:w="1134"/>
          </w:tcPr>
          <w:p>
            <w:pPr>
              <w:spacing w:after="40" w:before="40"/>
            </w:pPr>
            <w:r/>
            <w:r>
              <w:rPr>
                <w:b w:val="0"/>
                <w:i w:val="0"/>
                <w:color w:val="1A1A1A"/>
                <w:sz w:val="19"/>
              </w:rPr>
              <w:t>EXT-8</w:t>
            </w:r>
          </w:p>
        </w:tc>
        <w:tc>
          <w:tcPr>
            <w:tcW w:type="dxa" w:w="5216"/>
          </w:tcPr>
          <w:p>
            <w:pPr>
              <w:spacing w:after="40" w:before="40"/>
            </w:pPr>
            <w:r/>
            <w:r>
              <w:rPr>
                <w:b w:val="0"/>
                <w:i w:val="0"/>
                <w:color w:val="1A1A1A"/>
                <w:sz w:val="19"/>
              </w:rPr>
              <w:t>Five conflicts between the ID Standard and the finance specification</w:t>
            </w:r>
          </w:p>
        </w:tc>
        <w:tc>
          <w:tcPr>
            <w:tcW w:type="dxa" w:w="2948"/>
          </w:tcPr>
          <w:p>
            <w:pPr>
              <w:spacing w:after="40" w:before="40"/>
            </w:pPr>
            <w:r/>
            <w:r>
              <w:rPr>
                <w:b w:val="0"/>
                <w:i w:val="0"/>
                <w:color w:val="1A1A1A"/>
                <w:sz w:val="19"/>
              </w:rPr>
              <w:t>E9-S2</w:t>
            </w:r>
          </w:p>
        </w:tc>
      </w:tr>
      <w:tr>
        <w:tc>
          <w:tcPr>
            <w:tcW w:type="dxa" w:w="1134"/>
          </w:tcPr>
          <w:p>
            <w:pPr>
              <w:spacing w:after="40" w:before="40"/>
            </w:pPr>
            <w:r/>
            <w:r>
              <w:rPr>
                <w:b w:val="0"/>
                <w:i w:val="0"/>
                <w:color w:val="1A1A1A"/>
                <w:sz w:val="19"/>
              </w:rPr>
              <w:t>EXT-9</w:t>
            </w:r>
          </w:p>
        </w:tc>
        <w:tc>
          <w:tcPr>
            <w:tcW w:type="dxa" w:w="5216"/>
          </w:tcPr>
          <w:p>
            <w:pPr>
              <w:spacing w:after="40" w:before="40"/>
            </w:pPr>
            <w:r/>
            <w:r>
              <w:rPr>
                <w:b w:val="0"/>
                <w:i w:val="0"/>
                <w:color w:val="1A1A1A"/>
                <w:sz w:val="19"/>
              </w:rPr>
              <w:t>The commission basis: one-sided or two-sided, collected or withheld, floor or rate</w:t>
            </w:r>
          </w:p>
        </w:tc>
        <w:tc>
          <w:tcPr>
            <w:tcW w:type="dxa" w:w="2948"/>
          </w:tcPr>
          <w:p>
            <w:pPr>
              <w:spacing w:after="40" w:before="40"/>
            </w:pPr>
            <w:r/>
            <w:r>
              <w:rPr>
                <w:b w:val="0"/>
                <w:i w:val="0"/>
                <w:color w:val="1A1A1A"/>
                <w:sz w:val="19"/>
              </w:rPr>
              <w:t>E9-S3, and EXT-4</w:t>
            </w:r>
          </w:p>
        </w:tc>
      </w:tr>
      <w:tr>
        <w:tc>
          <w:tcPr>
            <w:tcW w:type="dxa" w:w="1134"/>
          </w:tcPr>
          <w:p>
            <w:pPr>
              <w:spacing w:after="40" w:before="40"/>
            </w:pPr>
            <w:r/>
            <w:r>
              <w:rPr>
                <w:b w:val="0"/>
                <w:i w:val="0"/>
                <w:color w:val="1A1A1A"/>
                <w:sz w:val="19"/>
              </w:rPr>
              <w:t>EXT-10</w:t>
            </w:r>
          </w:p>
        </w:tc>
        <w:tc>
          <w:tcPr>
            <w:tcW w:type="dxa" w:w="5216"/>
          </w:tcPr>
          <w:p>
            <w:pPr>
              <w:spacing w:after="40" w:before="40"/>
            </w:pPr>
            <w:r/>
            <w:r>
              <w:rPr>
                <w:b w:val="0"/>
                <w:i w:val="0"/>
                <w:color w:val="1A1A1A"/>
                <w:sz w:val="19"/>
              </w:rPr>
              <w:t>What authorises VAT withholding from seller proceeds</w:t>
            </w:r>
          </w:p>
        </w:tc>
        <w:tc>
          <w:tcPr>
            <w:tcW w:type="dxa" w:w="2948"/>
          </w:tcPr>
          <w:p>
            <w:pPr>
              <w:spacing w:after="40" w:before="40"/>
            </w:pPr>
            <w:r/>
            <w:r>
              <w:rPr>
                <w:b w:val="0"/>
                <w:i w:val="0"/>
                <w:color w:val="1A1A1A"/>
                <w:sz w:val="19"/>
              </w:rPr>
              <w:t>E9-S3, gate G4, and EXT-4</w:t>
            </w:r>
          </w:p>
        </w:tc>
      </w:tr>
      <w:tr>
        <w:tc>
          <w:tcPr>
            <w:tcW w:type="dxa" w:w="1134"/>
          </w:tcPr>
          <w:p>
            <w:pPr>
              <w:spacing w:after="40" w:before="40"/>
            </w:pPr>
            <w:r/>
            <w:r>
              <w:rPr>
                <w:b w:val="0"/>
                <w:i w:val="0"/>
                <w:color w:val="1A1A1A"/>
                <w:sz w:val="19"/>
              </w:rPr>
              <w:t>EXT-11</w:t>
            </w:r>
          </w:p>
        </w:tc>
        <w:tc>
          <w:tcPr>
            <w:tcW w:type="dxa" w:w="5216"/>
          </w:tcPr>
          <w:p>
            <w:pPr>
              <w:spacing w:after="40" w:before="40"/>
            </w:pPr>
            <w:r/>
            <w:r>
              <w:rPr>
                <w:b w:val="0"/>
                <w:i w:val="0"/>
                <w:color w:val="1A1A1A"/>
                <w:sz w:val="19"/>
              </w:rPr>
              <w:t>Which data-transfer rule governs, the internal policy's or the published policy's</w:t>
            </w:r>
          </w:p>
        </w:tc>
        <w:tc>
          <w:tcPr>
            <w:tcW w:type="dxa" w:w="2948"/>
          </w:tcPr>
          <w:p>
            <w:pPr>
              <w:spacing w:after="40" w:before="40"/>
            </w:pPr>
            <w:r/>
            <w:r>
              <w:rPr>
                <w:b w:val="0"/>
                <w:i w:val="0"/>
                <w:color w:val="1A1A1A"/>
                <w:sz w:val="19"/>
              </w:rPr>
              <w:t>D4, E3-S2, E8-S1, and the region row of EXT-2</w:t>
            </w:r>
          </w:p>
        </w:tc>
      </w:tr>
      <w:tr>
        <w:tc>
          <w:tcPr>
            <w:tcW w:type="dxa" w:w="1134"/>
          </w:tcPr>
          <w:p>
            <w:pPr>
              <w:spacing w:after="40" w:before="40"/>
            </w:pPr>
            <w:r/>
            <w:r>
              <w:rPr>
                <w:b w:val="0"/>
                <w:i w:val="0"/>
                <w:color w:val="1A1A1A"/>
                <w:sz w:val="19"/>
              </w:rPr>
              <w:t>EXT-12</w:t>
            </w:r>
          </w:p>
        </w:tc>
        <w:tc>
          <w:tcPr>
            <w:tcW w:type="dxa" w:w="5216"/>
          </w:tcPr>
          <w:p>
            <w:pPr>
              <w:spacing w:after="40" w:before="40"/>
            </w:pPr>
            <w:r/>
            <w:r>
              <w:rPr>
                <w:b w:val="0"/>
                <w:i w:val="0"/>
                <w:color w:val="1A1A1A"/>
                <w:sz w:val="19"/>
              </w:rPr>
              <w:t>Entity name, registered address, canonical domain, and whether the ID Standard is under revision</w:t>
            </w:r>
          </w:p>
        </w:tc>
        <w:tc>
          <w:tcPr>
            <w:tcW w:type="dxa" w:w="2948"/>
          </w:tcPr>
          <w:p>
            <w:pPr>
              <w:spacing w:after="40" w:before="40"/>
            </w:pPr>
            <w:r/>
            <w:r>
              <w:rPr>
                <w:b w:val="0"/>
                <w:i w:val="0"/>
                <w:color w:val="1A1A1A"/>
                <w:sz w:val="19"/>
              </w:rPr>
              <w:t>E9-S2, E8-S2, EXT-3, and all instrument generation</w:t>
            </w:r>
          </w:p>
        </w:tc>
      </w:tr>
    </w:tbl>
    <w:p>
      <w:pPr>
        <w:spacing w:after="40"/>
      </w:pPr>
    </w:p>
    <w:p>
      <w:pPr>
        <w:spacing w:before="80" w:after="120"/>
      </w:pPr>
      <w:r>
        <w:rPr>
          <w:b w:val="0"/>
          <w:i w:val="0"/>
          <w:color w:val="5A5A5A"/>
          <w:sz w:val="19"/>
        </w:rPr>
        <w:t>If you are holding ENG-DR-2026-08-06-01 and have not replied to it yet, that document is the more urgent of the two. It blocks work that is already scheduled.</w:t>
      </w: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stays open. It is row 3 of EXT-2 and it depends on EXT-11, so it is deliberately not asked again here.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EXT-6</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