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Nine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____________________   (the sender fills this in at dispatch)</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Issued once and not revised in place.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questions.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nine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to EXT-12 are outstanding too. They went out on 6 August inside ENG-DR-2026-08-06-01 and appear in Part B of this document with no answer column, because an answer given in two places is an answer that can differ in two places.</w:t>
      </w:r>
    </w:p>
    <w:p>
      <w:r>
        <w:br w:type="page"/>
      </w:r>
    </w:p>
    <w:p>
      <w:pPr>
        <w:spacing w:before="0" w:after="80"/>
      </w:pPr>
      <w:r>
        <w:rPr>
          <w:b/>
          <w:color w:val="1A1A1A"/>
          <w:sz w:val="44"/>
        </w:rPr>
        <w:t>Part A</w:t>
      </w:r>
    </w:p>
    <w:p>
      <w:pPr>
        <w:spacing w:after="280"/>
        <w:pBdr>
          <w:bottom w:val="single" w:sz="6" w:space="6" w:color="999999"/>
        </w:pBdr>
      </w:pPr>
      <w:r>
        <w:rPr>
          <w:i/>
          <w:color w:val="5A5A5A"/>
          <w:sz w:val="21"/>
        </w:rPr>
        <w:t>Six external inputs. None has had a first response.</w:t>
      </w:r>
    </w:p>
    <w:p>
      <w:pPr>
        <w:spacing w:before="0" w:after="20"/>
      </w:pPr>
      <w:r>
        <w:rPr>
          <w:b/>
          <w:color w:val="1A1A1A"/>
          <w:sz w:val="36"/>
        </w:rPr>
        <w:t>EXT-1</w:t>
      </w:r>
    </w:p>
    <w:p>
      <w:pPr>
        <w:spacing w:after="120"/>
      </w:pPr>
      <w:r>
        <w:rPr>
          <w:b/>
          <w:color w:val="1A1A1A"/>
          <w:sz w:val="23"/>
        </w:rPr>
        <w:t>Live payment credentials and a ring-fenced client-funds account</w:t>
      </w:r>
    </w:p>
    <w:p>
      <w:pPr>
        <w:spacing w:after="200"/>
        <w:pBdr>
          <w:bottom w:val="single" w:sz="6" w:space="6" w:color="999999"/>
        </w:pBdr>
      </w:pPr>
      <w:r>
        <w:rPr>
          <w:i/>
          <w:color w:val="5A5A5A"/>
          <w:sz w:val="19"/>
        </w:rPr>
        <w:t>Owner: Client, Finance     |     Closes E2-S1, with E2-S3 and E2-S5 behind it. Needed by E9-S4. Moves gates G2 and G6.</w:t>
      </w:r>
    </w:p>
    <w:p>
      <w:pPr>
        <w:spacing w:before="0" w:after="120"/>
      </w:pPr>
      <w:r>
        <w:rPr>
          <w:b/>
          <w:color w:val="1A1A1A"/>
          <w:sz w:val="20"/>
        </w:rPr>
        <w:t xml:space="preserve">Why this is blocking: </w:t>
      </w:r>
      <w:r>
        <w:rPr>
          <w:b w:val="0"/>
          <w:color w:val="1A1A1A"/>
          <w:sz w:val="20"/>
        </w:rPr>
        <w:t>the platform cannot move money it has no account to move it from, and ADR-0002 settled that SafeBuyRealties holds client funds rather than passing them straight through. That makes the account a liability account held apart from operating money, not a merchant account swept into revenue.</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Paystack live secret key and live public key.</w:t>
            </w:r>
          </w:p>
          <w:p>
            <w:pPr>
              <w:spacing w:after="40" w:before="0"/>
            </w:pPr>
            <w:r>
              <w:rPr>
                <w:b w:val="0"/>
                <w:i/>
                <w:color w:val="5A5A5A"/>
                <w:sz w:val="17"/>
              </w:rPr>
              <w:t>Do not write the keys here. Write who received them, on what date, and through which channel. Example: issued to A. Olaluwe on 12 August 2026 by password manager share.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signatories on the account.</w:t>
            </w:r>
          </w:p>
          <w:p>
            <w:pPr>
              <w:spacing w:after="40" w:before="0"/>
            </w:pPr>
            <w:r>
              <w:rPr>
                <w:b w:val="0"/>
                <w:i/>
                <w:color w:val="5A5A5A"/>
                <w:sz w:val="17"/>
              </w:rPr>
              <w:t>Format: full name and role for each one. Not "Finance".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authorisation rule for releasing funds from it.</w:t>
            </w:r>
          </w:p>
          <w:p>
            <w:pPr>
              <w:spacing w:after="40" w:before="0"/>
            </w:pPr>
            <w:r>
              <w:rPr>
                <w:b w:val="0"/>
                <w:i/>
                <w:color w:val="5A5A5A"/>
                <w:sz w:val="17"/>
              </w:rPr>
              <w:t>Format: the rule in words. Example: any two of the three signatories, for any amount.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Confirmation that the balance can be reconciled daily, and how.</w:t>
            </w:r>
          </w:p>
          <w:p>
            <w:pPr>
              <w:spacing w:after="40" w:before="0"/>
            </w:pPr>
            <w:r>
              <w:rPr>
                <w:b w:val="0"/>
                <w:i/>
                <w:color w:val="5A5A5A"/>
                <w:sz w:val="17"/>
              </w:rPr>
              <w:t>Format: yes or no, who does it, and what they read it from, being a portal, a statement or an API. Section 11.1 of the finance specification obliges the platform to reconcile it and only the account's operator can do that.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section 14.2 approval to activate payments in production.</w:t>
            </w:r>
          </w:p>
          <w:p>
            <w:pPr>
              <w:spacing w:after="40" w:before="0"/>
            </w:pPr>
            <w:r>
              <w:rPr>
                <w:b w:val="0"/>
                <w:i/>
                <w:color w:val="5A5A5A"/>
                <w:sz w:val="17"/>
              </w:rPr>
              <w:t>Format: the words "I approve production activation", a full name, a role and a date. Approval to build is not approval to operate, and gate G6 closes on this signature rather than on any code.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live Paystack credentials were issued to [name] on [date] by [channel]. The</w:t>
            </w:r>
          </w:p>
        </w:tc>
      </w:tr>
      <w:tr>
        <w:tc>
          <w:tcPr>
            <w:tcW w:type="dxa" w:w="9298"/>
            <w:shd w:val="clear" w:fill="F7F7F7"/>
          </w:tcPr>
          <w:p>
            <w:pPr>
              <w:spacing w:after="40" w:before="40"/>
            </w:pPr>
            <w:r/>
            <w:r>
              <w:rPr>
                <w:b w:val="0"/>
                <w:i/>
                <w:color w:val="1A1A1A"/>
                <w:sz w:val="19"/>
              </w:rPr>
              <w:t>client-funds account is [bank], account name [name], number [10 digits], held under a</w:t>
            </w:r>
          </w:p>
        </w:tc>
      </w:tr>
      <w:tr>
        <w:tc>
          <w:tcPr>
            <w:tcW w:type="dxa" w:w="9298"/>
            <w:shd w:val="clear" w:fill="F7F7F7"/>
          </w:tcPr>
          <w:p>
            <w:pPr>
              <w:spacing w:after="40" w:before="40"/>
            </w:pPr>
            <w:r/>
            <w:r>
              <w:rPr>
                <w:b w:val="0"/>
                <w:i/>
                <w:color w:val="1A1A1A"/>
                <w:sz w:val="19"/>
              </w:rPr>
              <w:t>mandate dated [date] that ring-fences it from operating funds. Signatories are [names</w:t>
            </w:r>
          </w:p>
        </w:tc>
      </w:tr>
      <w:tr>
        <w:tc>
          <w:tcPr>
            <w:tcW w:type="dxa" w:w="9298"/>
            <w:shd w:val="clear" w:fill="F7F7F7"/>
          </w:tcPr>
          <w:p>
            <w:pPr>
              <w:spacing w:after="40" w:before="40"/>
            </w:pPr>
            <w:r/>
            <w:r>
              <w:rPr>
                <w:b w:val="0"/>
                <w:i/>
                <w:color w:val="1A1A1A"/>
                <w:sz w:val="19"/>
              </w:rPr>
              <w:t>and roles]. A release requires [rule]. The balance is reconciled [how, by whom].</w:t>
            </w:r>
          </w:p>
        </w:tc>
      </w:tr>
      <w:tr>
        <w:tc>
          <w:tcPr>
            <w:tcW w:type="dxa" w:w="9298"/>
            <w:shd w:val="clear" w:fill="F7F7F7"/>
          </w:tcPr>
          <w:p>
            <w:pPr>
              <w:spacing w:after="40" w:before="40"/>
            </w:pPr>
            <w:r/>
            <w:r>
              <w:rPr>
                <w:b w:val="0"/>
                <w:i/>
                <w:color w:val="1A1A1A"/>
                <w:sz w:val="19"/>
              </w:rPr>
              <w:t>I approve production activation under section 14.2: [name], [role], [date].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PAYMENT_CREDENTIALS.md, which records where a credential lives and never its value. The EXT-1 row, the E2-S1 entry and the gate G6 note in the outstanding backlog. ADR-0002, for the activation approval.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EXT-1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EXT-2</w:t>
      </w:r>
    </w:p>
    <w:p>
      <w:pPr>
        <w:spacing w:after="120"/>
      </w:pPr>
      <w:r>
        <w:rPr>
          <w:b/>
          <w:color w:val="1A1A1A"/>
          <w:sz w:val="23"/>
        </w:rPr>
        <w:t>Object storage bucket, credentials and region</w:t>
      </w:r>
    </w:p>
    <w:p>
      <w:pPr>
        <w:spacing w:after="200"/>
        <w:pBdr>
          <w:bottom w:val="single" w:sz="6" w:space="6" w:color="999999"/>
        </w:pBdr>
      </w:pPr>
      <w:r>
        <w:rPr>
          <w:i/>
          <w:color w:val="5A5A5A"/>
          <w:sz w:val="19"/>
        </w:rPr>
        <w:t>Owner: Client or Corne Labs     |     Closes E3-S2, with E3-S3 behind it. Moves gate G3.</w:t>
      </w:r>
    </w:p>
    <w:p>
      <w:pPr>
        <w:spacing w:before="0" w:after="120"/>
      </w:pPr>
      <w:r>
        <w:rPr>
          <w:b/>
          <w:color w:val="1A1A1A"/>
          <w:sz w:val="20"/>
        </w:rPr>
        <w:t xml:space="preserve">Why this is blocking: </w:t>
      </w:r>
      <w:r>
        <w:rPr>
          <w:b w:val="0"/>
          <w:color w:val="1A1A1A"/>
          <w:sz w:val="20"/>
        </w:rPr>
        <w:t>uploaded documents currently sit on a disk that a serverless deploy does not keep. Until there is a bucket, every KYC document and title document is one deploy away from being gone.</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bucket name.</w:t>
            </w:r>
          </w:p>
          <w:p>
            <w:pPr>
              <w:spacing w:after="40" w:before="0"/>
            </w:pPr>
            <w:r>
              <w:rPr>
                <w:b w:val="0"/>
                <w:i/>
                <w:color w:val="5A5A5A"/>
                <w:sz w:val="17"/>
              </w:rPr>
              <w:t>Format: exactly as it is created, case-sensitive.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S3-compatible endpoint.</w:t>
            </w:r>
          </w:p>
          <w:p>
            <w:pPr>
              <w:spacing w:after="40" w:before="0"/>
            </w:pPr>
            <w:r>
              <w:rPr>
                <w:b w:val="0"/>
                <w:i/>
                <w:color w:val="5A5A5A"/>
                <w:sz w:val="17"/>
              </w:rPr>
              <w:t>Format: the full URL. Example: https://s3.eu-west-1.amazonaws.com</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region.</w:t>
            </w:r>
          </w:p>
          <w:p>
            <w:pPr>
              <w:spacing w:after="40" w:before="0"/>
            </w:pPr>
            <w:r>
              <w:rPr>
                <w:b w:val="0"/>
                <w:i/>
                <w:color w:val="5A5A5A"/>
                <w:sz w:val="17"/>
              </w:rPr>
              <w:t>Format: the region code, or write "deferred pending EXT-11". EXT-11 decides whether the internal policy's closed list of three transfer conditions governs or the published policy's reasonable steps does. If the closed list wins, the region must be Nigerian or covered by one of those three conditions.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access key and secret for that bucket.</w:t>
            </w:r>
          </w:p>
          <w:p>
            <w:pPr>
              <w:spacing w:after="40" w:before="0"/>
            </w:pPr>
            <w:r>
              <w:rPr>
                <w:b w:val="0"/>
                <w:i/>
                <w:color w:val="5A5A5A"/>
                <w:sz w:val="17"/>
              </w:rPr>
              <w:t>Do not write them here. Write who received them, on what date, through which channel, and confirm they are scoped to this bucket alone and not to the whole account.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Confirmation that public reads are denied at the bucket policy.</w:t>
            </w:r>
          </w:p>
          <w:p>
            <w:pPr>
              <w:spacing w:after="40" w:before="0"/>
            </w:pPr>
            <w:r>
              <w:rPr>
                <w:b w:val="0"/>
                <w:i/>
                <w:color w:val="5A5A5A"/>
                <w:sz w:val="17"/>
              </w:rPr>
              <w:t>Format: yes or no, and the date it was checked. ADR-0004 makes this a production requirement rather than a preference.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Whether object versioning is enabled.</w:t>
            </w:r>
          </w:p>
          <w:p>
            <w:pPr>
              <w:spacing w:after="40" w:before="0"/>
            </w:pPr>
            <w:r>
              <w:rPr>
                <w:b w:val="0"/>
                <w:i/>
                <w:color w:val="5A5A5A"/>
                <w:sz w:val="17"/>
              </w:rPr>
              <w:t>Format: on or off. This is not housekeeping. E8-S1 requires erasure to crypto-shred rather than leave orphaned objects, and versioning changes what deletion means.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retention and lifecycle rules applied at the bucket.</w:t>
            </w:r>
          </w:p>
          <w:p>
            <w:pPr>
              <w:spacing w:after="40" w:before="0"/>
            </w:pPr>
            <w:r>
              <w:rPr>
                <w:b w:val="0"/>
                <w:i/>
                <w:color w:val="5A5A5A"/>
                <w:sz w:val="17"/>
              </w:rPr>
              <w:t>Format: describe each rule, or write "none". These must not silently contradict the retention periods EXT-5 supplies.</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bucket is [name] at endpoint [url], region [code, or deferred pending EXT-11].</w:t>
            </w:r>
          </w:p>
        </w:tc>
      </w:tr>
      <w:tr>
        <w:tc>
          <w:tcPr>
            <w:tcW w:type="dxa" w:w="9298"/>
            <w:shd w:val="clear" w:fill="F7F7F7"/>
          </w:tcPr>
          <w:p>
            <w:pPr>
              <w:spacing w:after="40" w:before="40"/>
            </w:pPr>
            <w:r/>
            <w:r>
              <w:rPr>
                <w:b w:val="0"/>
                <w:i/>
                <w:color w:val="1A1A1A"/>
                <w:sz w:val="19"/>
              </w:rPr>
              <w:t>Credentials were issued to [name] on [date] by [channel], scoped to this bucket only.</w:t>
            </w:r>
          </w:p>
        </w:tc>
      </w:tr>
      <w:tr>
        <w:tc>
          <w:tcPr>
            <w:tcW w:type="dxa" w:w="9298"/>
            <w:shd w:val="clear" w:fill="F7F7F7"/>
          </w:tcPr>
          <w:p>
            <w:pPr>
              <w:spacing w:after="40" w:before="40"/>
            </w:pPr>
            <w:r/>
            <w:r>
              <w:rPr>
                <w:b w:val="0"/>
                <w:i/>
                <w:color w:val="1A1A1A"/>
                <w:sz w:val="19"/>
              </w:rPr>
              <w:t>Public reads are denied at the bucket policy: [yes/no], checked [date]. Object</w:t>
            </w:r>
          </w:p>
        </w:tc>
      </w:tr>
      <w:tr>
        <w:tc>
          <w:tcPr>
            <w:tcW w:type="dxa" w:w="9298"/>
            <w:shd w:val="clear" w:fill="F7F7F7"/>
          </w:tcPr>
          <w:p>
            <w:pPr>
              <w:spacing w:after="40" w:before="40"/>
            </w:pPr>
            <w:r/>
            <w:r>
              <w:rPr>
                <w:b w:val="0"/>
                <w:i/>
                <w:color w:val="1A1A1A"/>
                <w:sz w:val="19"/>
              </w:rPr>
              <w:t>versioning is [on/off]. Lifecycle rules applied: [rules, or none].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EXT-2 row, the D4 row and the E3-S2 entry in the outstanding backlog. The region sub-decision in ADR-0004. The local development guide, if environment variables change.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EXT-2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EXT-3</w:t>
      </w:r>
    </w:p>
    <w:p>
      <w:pPr>
        <w:spacing w:after="120"/>
      </w:pPr>
      <w:r>
        <w:rPr>
          <w:b/>
          <w:color w:val="1A1A1A"/>
          <w:sz w:val="23"/>
        </w:rPr>
        <w:t>Transactional email domain and authentication</w:t>
      </w:r>
    </w:p>
    <w:p>
      <w:pPr>
        <w:spacing w:after="200"/>
        <w:pBdr>
          <w:bottom w:val="single" w:sz="6" w:space="6" w:color="999999"/>
        </w:pBdr>
      </w:pPr>
      <w:r>
        <w:rPr>
          <w:i/>
          <w:color w:val="5A5A5A"/>
          <w:sz w:val="19"/>
        </w:rPr>
        <w:t>Owner: Client     |     Closes E6-S1.</w:t>
      </w:r>
    </w:p>
    <w:p>
      <w:pPr>
        <w:spacing w:before="0" w:after="120"/>
      </w:pPr>
      <w:r>
        <w:rPr>
          <w:b/>
          <w:color w:val="1A1A1A"/>
          <w:sz w:val="20"/>
        </w:rPr>
        <w:t xml:space="preserve">Why this is blocking: </w:t>
      </w:r>
      <w:r>
        <w:rPr>
          <w:b w:val="0"/>
          <w:color w:val="1A1A1A"/>
          <w:sz w:val="20"/>
        </w:rPr>
        <w:t>the platform can compose mail but has no authenticated domain to send it from. Unauthenticated transactional mail about money and title documents goes to spam, which is worse than not sending it, because the sender believes it arrived.</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sending domain or subdomain.</w:t>
            </w:r>
          </w:p>
          <w:p>
            <w:pPr>
              <w:spacing w:after="40" w:before="0"/>
            </w:pPr>
            <w:r>
              <w:rPr>
                <w:b w:val="0"/>
                <w:i/>
                <w:color w:val="5A5A5A"/>
                <w:sz w:val="17"/>
              </w:rPr>
              <w:t>Format: the exact domain. Example: mail.example.com</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Who controls DNS for that domain.</w:t>
            </w:r>
          </w:p>
          <w:p>
            <w:pPr>
              <w:spacing w:after="40" w:before="0"/>
            </w:pPr>
            <w:r>
              <w:rPr>
                <w:b w:val="0"/>
                <w:i/>
                <w:color w:val="5A5A5A"/>
                <w:sz w:val="17"/>
              </w:rPr>
              <w:t>Format: name of the person and the organisation. The SPF, DKIM and DMARC records have to be published by that party and cannot be published by us.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SPF record as published.</w:t>
            </w:r>
          </w:p>
          <w:p>
            <w:pPr>
              <w:spacing w:after="40" w:before="0"/>
            </w:pPr>
            <w:r>
              <w:rPr>
                <w:b w:val="0"/>
                <w:i/>
                <w:color w:val="5A5A5A"/>
                <w:sz w:val="17"/>
              </w:rPr>
              <w:t>Format: the record value, and the date it was published.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DKIM selector, and confirmation the public key is published.</w:t>
            </w:r>
          </w:p>
          <w:p>
            <w:pPr>
              <w:spacing w:after="40" w:before="0"/>
            </w:pPr>
            <w:r>
              <w:rPr>
                <w:b w:val="0"/>
                <w:i/>
                <w:color w:val="5A5A5A"/>
                <w:sz w:val="17"/>
              </w:rPr>
              <w:t>Format: the selector name, and yes or no on the key being live in DNS.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DMARC policy and reporting address.</w:t>
            </w:r>
          </w:p>
          <w:p>
            <w:pPr>
              <w:spacing w:after="40" w:before="0"/>
            </w:pPr>
            <w:r>
              <w:rPr>
                <w:b w:val="0"/>
                <w:i/>
                <w:color w:val="5A5A5A"/>
                <w:sz w:val="17"/>
              </w:rPr>
              <w:t>Format: none, quarantine or reject, plus the address aggregate reports go to.</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SMTP host, port and username.</w:t>
            </w:r>
          </w:p>
          <w:p>
            <w:pPr>
              <w:spacing w:after="40" w:before="0"/>
            </w:pPr>
            <w:r>
              <w:rPr>
                <w:b w:val="0"/>
                <w:i/>
                <w:color w:val="5A5A5A"/>
                <w:sz w:val="17"/>
              </w:rPr>
              <w:t>Format: host, port number, username. Do not write the password here. State who received it, when, and through which channel.</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addresses users will see, and the bounce address.</w:t>
            </w:r>
          </w:p>
          <w:p>
            <w:pPr>
              <w:spacing w:after="40" w:before="0"/>
            </w:pPr>
            <w:r>
              <w:rPr>
                <w:b w:val="0"/>
                <w:i/>
                <w:color w:val="5A5A5A"/>
                <w:sz w:val="17"/>
              </w:rPr>
              <w:t>Format: the From address, the Reply-To address, and the bounce address.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Whether to wait for EXT-12 before publishing DNS.</w:t>
            </w:r>
          </w:p>
          <w:p>
            <w:pPr>
              <w:spacing w:after="40" w:before="0"/>
            </w:pPr>
            <w:r>
              <w:rPr>
                <w:b w:val="0"/>
                <w:i/>
                <w:color w:val="5A5A5A"/>
                <w:sz w:val="17"/>
              </w:rPr>
              <w:t>Format: proceed now, or wait. EXT-12 settles the canonical domain. A sending domain chosen before that answer may have to move, which means publishing DNS again and warming it again.</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Mail sends from [domain]. DNS for it is controlled by [name, organisation]. SPF, DKIM</w:t>
            </w:r>
          </w:p>
        </w:tc>
      </w:tr>
      <w:tr>
        <w:tc>
          <w:tcPr>
            <w:tcW w:type="dxa" w:w="9298"/>
            <w:shd w:val="clear" w:fill="F7F7F7"/>
          </w:tcPr>
          <w:p>
            <w:pPr>
              <w:spacing w:after="40" w:before="40"/>
            </w:pPr>
            <w:r/>
            <w:r>
              <w:rPr>
                <w:b w:val="0"/>
                <w:i/>
                <w:color w:val="1A1A1A"/>
                <w:sz w:val="19"/>
              </w:rPr>
              <w:t>and DMARC were published on [date], DMARC policy [none/quarantine/reject], reports to</w:t>
            </w:r>
          </w:p>
        </w:tc>
      </w:tr>
      <w:tr>
        <w:tc>
          <w:tcPr>
            <w:tcW w:type="dxa" w:w="9298"/>
            <w:shd w:val="clear" w:fill="F7F7F7"/>
          </w:tcPr>
          <w:p>
            <w:pPr>
              <w:spacing w:after="40" w:before="40"/>
            </w:pPr>
            <w:r/>
            <w:r>
              <w:rPr>
                <w:b w:val="0"/>
                <w:i/>
                <w:color w:val="1A1A1A"/>
                <w:sz w:val="19"/>
              </w:rPr>
              <w:t>[address]. SMTP credentials were issued to [name] on [date]. Users see From [address]</w:t>
            </w:r>
          </w:p>
        </w:tc>
      </w:tr>
      <w:tr>
        <w:tc>
          <w:tcPr>
            <w:tcW w:type="dxa" w:w="9298"/>
            <w:shd w:val="clear" w:fill="F7F7F7"/>
          </w:tcPr>
          <w:p>
            <w:pPr>
              <w:spacing w:after="40" w:before="40"/>
            </w:pPr>
            <w:r/>
            <w:r>
              <w:rPr>
                <w:b w:val="0"/>
                <w:i/>
                <w:color w:val="1A1A1A"/>
                <w:sz w:val="19"/>
              </w:rPr>
              <w:t>and Reply-To [address]. Bounces go to [address].</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EXT-3 row and the E6-S1 entry in the outstanding backlog. The local development guide.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EXT-4</w:t>
      </w:r>
    </w:p>
    <w:p>
      <w:pPr>
        <w:spacing w:after="120"/>
      </w:pPr>
      <w:r>
        <w:rPr>
          <w:b/>
          <w:color w:val="1A1A1A"/>
          <w:sz w:val="23"/>
        </w:rPr>
        <w:t>Counsel-approved instruments and terms</w:t>
      </w:r>
    </w:p>
    <w:p>
      <w:pPr>
        <w:spacing w:after="200"/>
        <w:pBdr>
          <w:bottom w:val="single" w:sz="6" w:space="6" w:color="999999"/>
        </w:pBdr>
      </w:pPr>
      <w:r>
        <w:rPr>
          <w:i/>
          <w:color w:val="5A5A5A"/>
          <w:sz w:val="19"/>
        </w:rPr>
        <w:t>Owner: Client, counsel     |     Closes E8-S2. Moves gate G4.</w:t>
      </w:r>
    </w:p>
    <w:p>
      <w:pPr>
        <w:spacing w:before="0" w:after="120"/>
      </w:pPr>
      <w:r>
        <w:rPr>
          <w:b/>
          <w:color w:val="1A1A1A"/>
          <w:sz w:val="20"/>
        </w:rPr>
        <w:t xml:space="preserve">Why this is blocking, and it is three documents rather than two. </w:t>
      </w:r>
      <w:r>
        <w:rPr>
          <w:b w:val="0"/>
          <w:color w:val="1A1A1A"/>
          <w:sz w:val="20"/>
        </w:rPr>
        <w:t>The terms of service in the repository stop at section 10 and end mid-topic on intellectual property. Nine clause families are absent, including every escrow term and any limitation of liability, from the contract of a platform that holds client money. The seller Power of Attorney is dated 2017 in its body, has a witness block with no attestation clause above it, and carries no stamping, registration or Governor's consent clause. The third document is the instrument the platform generates itself, and counsel has never seen it.</w:t>
      </w:r>
    </w:p>
    <w:p>
      <w:pPr>
        <w:spacing w:before="0" w:after="160"/>
      </w:pPr>
      <w:r>
        <w:rPr>
          <w:b w:val="0"/>
          <w:i w:val="0"/>
          <w:color w:val="1A1A1A"/>
          <w:sz w:val="20"/>
        </w:rPr>
        <w:t>The clause-by-clause requirement is carried in full in the outstanding backlog, because that table is the instruction to counsel. Two existing clauses also need correcting: section 10 vests site content in the Founder, an individual rather than the company, and section 5(a) promises a minimum 5% from each side, which EXT-9's answer has to be reconciled against.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Counsel's name or firm, and the date they were instructed.</w:t>
            </w:r>
          </w:p>
          <w:p>
            <w:pPr>
              <w:spacing w:after="40" w:before="0"/>
            </w:pPr>
            <w:r>
              <w:rPr>
                <w:b w:val="0"/>
                <w:i/>
                <w:color w:val="5A5A5A"/>
                <w:sz w:val="17"/>
              </w:rPr>
              <w:t>Format: name, firm, date of instruction.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date the reviewed documents are expected back.</w:t>
            </w:r>
          </w:p>
          <w:p>
            <w:pPr>
              <w:spacing w:after="40" w:before="0"/>
            </w:pPr>
            <w:r>
              <w:rPr>
                <w:b w:val="0"/>
                <w:i/>
                <w:color w:val="5A5A5A"/>
                <w:sz w:val="17"/>
              </w:rPr>
              <w:t>Format: a date. Not "in a few weeks".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Confirmation counsel has been given all three documents.</w:t>
            </w:r>
          </w:p>
          <w:p>
            <w:pPr>
              <w:spacing w:after="40" w:before="0"/>
            </w:pPr>
            <w:r>
              <w:rPr>
                <w:b w:val="0"/>
                <w:i/>
                <w:color w:val="5A5A5A"/>
                <w:sz w:val="17"/>
              </w:rPr>
              <w:t>Format: yes or no for each of: the terms of service, the seller Power of Attorney, and the instrument the platform generates. Naming all three matters, because the backlog's clause table covers only the first.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Counsel's position on electronic execution of a land instrument.</w:t>
            </w:r>
          </w:p>
          <w:p>
            <w:pPr>
              <w:spacing w:after="40" w:before="0"/>
            </w:pPr>
            <w:r>
              <w:rPr>
                <w:b w:val="0"/>
                <w:i/>
                <w:color w:val="5A5A5A"/>
                <w:sz w:val="17"/>
              </w:rPr>
              <w:t>Format: permitted, not permitted, or permitted subject to conditions, with the conditions stated. This decides whether the feature is lawful at all under the Evidence Act 2011 and the Electronic Transactions Act 2023. If land is carved out, the platform must produce a print-and-execute pack instead, which is a build change rather than a wording change.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entity name to be used throughout the documents.</w:t>
            </w:r>
          </w:p>
          <w:p>
            <w:pPr>
              <w:spacing w:after="40" w:before="0"/>
            </w:pPr>
            <w:r>
              <w:rPr>
                <w:b w:val="0"/>
                <w:i/>
                <w:color w:val="5A5A5A"/>
                <w:sz w:val="17"/>
              </w:rPr>
              <w:t>Format: the registered name exactly as it appears at the Corporate Affairs Commission. This is the same answer as EXT-12 and only needs giving once.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Whether counsel proceeds now or waits for EXT-9, EXT-10 and EXT-12.</w:t>
            </w:r>
          </w:p>
          <w:p>
            <w:pPr>
              <w:spacing w:after="40" w:before="0"/>
            </w:pPr>
            <w:r>
              <w:rPr>
                <w:b w:val="0"/>
                <w:i/>
                <w:color w:val="5A5A5A"/>
                <w:sz w:val="17"/>
              </w:rPr>
              <w:t>Format: proceed now, or wait. The commission basis, the VAT authority and the registered name all sit inside the text counsel would be approving. Sending it first means paying for a review of text that then changes.</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Counsel is [name, firm], instructed on [date], expected back [date]. They hold all three</w:t>
            </w:r>
          </w:p>
        </w:tc>
      </w:tr>
      <w:tr>
        <w:tc>
          <w:tcPr>
            <w:tcW w:type="dxa" w:w="9298"/>
            <w:shd w:val="clear" w:fill="F7F7F7"/>
          </w:tcPr>
          <w:p>
            <w:pPr>
              <w:spacing w:after="40" w:before="40"/>
            </w:pPr>
            <w:r/>
            <w:r>
              <w:rPr>
                <w:b w:val="0"/>
                <w:i/>
                <w:color w:val="1A1A1A"/>
                <w:sz w:val="19"/>
              </w:rPr>
              <w:t>documents: [yes/no]. On electronic execution of a land instrument their position is</w:t>
            </w:r>
          </w:p>
        </w:tc>
      </w:tr>
      <w:tr>
        <w:tc>
          <w:tcPr>
            <w:tcW w:type="dxa" w:w="9298"/>
            <w:shd w:val="clear" w:fill="F7F7F7"/>
          </w:tcPr>
          <w:p>
            <w:pPr>
              <w:spacing w:after="40" w:before="40"/>
            </w:pPr>
            <w:r/>
            <w:r>
              <w:rPr>
                <w:b w:val="0"/>
                <w:i/>
                <w:color w:val="1A1A1A"/>
                <w:sz w:val="19"/>
              </w:rPr>
              <w:t>[permitted / not permitted / permitted subject to ...]. The entity named throughout is</w:t>
            </w:r>
          </w:p>
        </w:tc>
      </w:tr>
      <w:tr>
        <w:tc>
          <w:tcPr>
            <w:tcW w:type="dxa" w:w="9298"/>
            <w:shd w:val="clear" w:fill="F7F7F7"/>
          </w:tcPr>
          <w:p>
            <w:pPr>
              <w:spacing w:after="40" w:before="40"/>
            </w:pPr>
            <w:r/>
            <w:r>
              <w:rPr>
                <w:b w:val="0"/>
                <w:i/>
                <w:color w:val="1A1A1A"/>
                <w:sz w:val="19"/>
              </w:rPr>
              <w:t>[registered name]. They [proceed now / wait for EXT-9, EXT-10 and EXT-12].</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The EXT-4 row, the E8-S2 entry and the gate G4 note in the outstanding backlog. The clause text and a version stamp in the Power of Attorney service.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EXT-5</w:t>
      </w:r>
    </w:p>
    <w:p>
      <w:pPr>
        <w:spacing w:after="120"/>
      </w:pPr>
      <w:r>
        <w:rPr>
          <w:b/>
          <w:color w:val="1A1A1A"/>
          <w:sz w:val="23"/>
        </w:rPr>
        <w:t>Privacy notice, retention periods and an adopted policy</w:t>
      </w:r>
    </w:p>
    <w:p>
      <w:pPr>
        <w:spacing w:after="200"/>
        <w:pBdr>
          <w:bottom w:val="single" w:sz="6" w:space="6" w:color="999999"/>
        </w:pBdr>
      </w:pPr>
      <w:r>
        <w:rPr>
          <w:i/>
          <w:color w:val="5A5A5A"/>
          <w:sz w:val="19"/>
        </w:rPr>
        <w:t>Owner: Client, board, DPO     |     Closes E8-S1.</w:t>
      </w:r>
    </w:p>
    <w:p>
      <w:pPr>
        <w:spacing w:before="0" w:after="120"/>
      </w:pPr>
      <w:r>
        <w:rPr>
          <w:b/>
          <w:color w:val="1A1A1A"/>
          <w:sz w:val="20"/>
        </w:rPr>
        <w:t xml:space="preserve">Both policies are already with us and both are structurally complete, </w:t>
      </w:r>
      <w:r>
        <w:rPr>
          <w:b w:val="0"/>
          <w:color w:val="1A1A1A"/>
          <w:sz w:val="20"/>
        </w:rPr>
        <w:t>so this is not a request for documents that do not exist. It is a request for five things they do not contain. The largest is retention: neither document states a period, in days or years, for anything. The published policy says as long as is reasonably necessary, and the internal policy requires a record of processing activities to carry retention periods that it never supplies.</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date the board adopted the internal data protection policy, and the resolution reference.</w:t>
            </w:r>
          </w:p>
          <w:p>
            <w:pPr>
              <w:spacing w:after="40" w:before="0"/>
            </w:pPr>
            <w:r>
              <w:rPr>
                <w:b w:val="0"/>
                <w:i/>
                <w:color w:val="5A5A5A"/>
                <w:sz w:val="17"/>
              </w:rPr>
              <w:t>Format: date and resolution reference. The policy is currently headed SUBJECT TO BOARD APPROVAL. Confirm that line comes off in the adopted version.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Data Protection Officer.</w:t>
            </w:r>
          </w:p>
          <w:p>
            <w:pPr>
              <w:spacing w:after="40" w:before="0"/>
            </w:pPr>
            <w:r>
              <w:rPr>
                <w:b w:val="0"/>
                <w:i/>
                <w:color w:val="5A5A5A"/>
                <w:sz w:val="17"/>
              </w:rPr>
              <w:t>Format: full name, role, and a contact address. Section 8 creates the role and appoints nobody. Section 8 also makes the DPO the person who advises on impact assessments, so that part of the build cannot be validly signed off without one.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licensed Data Protection Compliance Organisation engaged under section 9.</w:t>
            </w:r>
          </w:p>
          <w:p>
            <w:pPr>
              <w:spacing w:after="40" w:before="0"/>
            </w:pPr>
            <w:r>
              <w:rPr>
                <w:b w:val="0"/>
                <w:i/>
                <w:color w:val="5A5A5A"/>
                <w:sz w:val="17"/>
              </w:rPr>
              <w:t>Format: name, licence number, engagement date. If none is engaged yet, write the date procurement starts. This has a lead time and nothing has started.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business operations commenced.</w:t>
            </w:r>
          </w:p>
          <w:p>
            <w:pPr>
              <w:spacing w:after="40" w:before="0"/>
            </w:pPr>
            <w:r>
              <w:rPr>
                <w:b w:val="0"/>
                <w:i/>
                <w:color w:val="5A5A5A"/>
                <w:sz w:val="17"/>
              </w:rPr>
              <w:t>Format: a single date. Section 10.1 sets the initial compliance audit at fifteen months from it. Nobody here has this date and the clock may already be running.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Whether erasure means deletion or crypto-shredding where a record must be kept by law.</w:t>
            </w:r>
          </w:p>
          <w:p>
            <w:pPr>
              <w:spacing w:after="40" w:before="0"/>
            </w:pPr>
            <w:r>
              <w:rPr>
                <w:b w:val="0"/>
                <w:i/>
                <w:color w:val="5A5A5A"/>
                <w:sz w:val="17"/>
              </w:rPr>
              <w:t>Format: state which, per category if it differs. This decides what the erasure feature actually does to a record it is not allowed to destroy.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200" w:after="80"/>
      </w:pPr>
      <w:r>
        <w:rPr>
          <w:b/>
          <w:color w:val="1A1A1A"/>
          <w:sz w:val="23"/>
        </w:rPr>
        <w:t>EXT-5, retention periods. One number per category.</w:t>
      </w:r>
    </w:p>
    <w:p>
      <w:pPr>
        <w:spacing w:before="0" w:after="120"/>
      </w:pPr>
      <w:r>
        <w:rPr>
          <w:b w:val="0"/>
          <w:i w:val="0"/>
          <w:color w:val="5A5A5A"/>
          <w:sz w:val="19"/>
        </w:rPr>
        <w:t>This is the single largest gap. The build treats an unset period as a loud failure rather than a silent default, so a missing number blocks that category and only that category. Give a period and the legal or business reason behind it.</w:t>
      </w:r>
    </w:p>
    <w:tbl>
      <w:tblPr>
        <w:tblStyle w:val="TableGrid"/>
        <w:tblW w:type="auto" w:w="0"/>
        <w:tblLook w:firstColumn="1" w:firstRow="1" w:lastColumn="0" w:lastRow="0" w:noHBand="0" w:noVBand="1" w:val="04A0"/>
      </w:tblPr>
      <w:tblGrid>
        <w:gridCol w:w="3099"/>
        <w:gridCol w:w="3099"/>
        <w:gridCol w:w="3099"/>
      </w:tblGrid>
      <w:tr>
        <w:tc>
          <w:tcPr>
            <w:tcW w:type="dxa" w:w="3175"/>
            <w:shd w:val="clear" w:fill="EDEDED"/>
          </w:tcPr>
          <w:p>
            <w:pPr>
              <w:spacing w:after="40" w:before="40"/>
            </w:pPr>
            <w:r/>
            <w:r>
              <w:rPr>
                <w:b/>
                <w:i w:val="0"/>
                <w:color w:val="1A1A1A"/>
                <w:sz w:val="18"/>
              </w:rPr>
              <w:t>Category of data</w:t>
            </w:r>
          </w:p>
        </w:tc>
        <w:tc>
          <w:tcPr>
            <w:tcW w:type="dxa" w:w="2154"/>
            <w:shd w:val="clear" w:fill="EDEDED"/>
          </w:tcPr>
          <w:p>
            <w:pPr>
              <w:spacing w:after="40" w:before="40"/>
            </w:pPr>
            <w:r/>
            <w:r>
              <w:rPr>
                <w:b/>
                <w:i w:val="0"/>
                <w:color w:val="1A1A1A"/>
                <w:sz w:val="18"/>
              </w:rPr>
              <w:t>RETENTION PERIOD</w:t>
            </w:r>
          </w:p>
        </w:tc>
        <w:tc>
          <w:tcPr>
            <w:tcW w:type="dxa" w:w="3969"/>
            <w:shd w:val="clear" w:fill="EDEDED"/>
          </w:tcPr>
          <w:p>
            <w:pPr>
              <w:spacing w:after="40" w:before="40"/>
            </w:pPr>
            <w:r/>
            <w:r>
              <w:rPr>
                <w:b/>
                <w:i w:val="0"/>
                <w:color w:val="1A1A1A"/>
                <w:sz w:val="18"/>
              </w:rPr>
              <w:t>REASON, being a law, a regulator or a business need</w:t>
            </w:r>
          </w:p>
        </w:tc>
      </w:tr>
      <w:tr>
        <w:tc>
          <w:tcPr>
            <w:tcW w:type="dxa" w:w="3175"/>
          </w:tcPr>
          <w:p>
            <w:pPr>
              <w:spacing w:after="40" w:before="40"/>
            </w:pPr>
            <w:r/>
            <w:r>
              <w:rPr>
                <w:b/>
                <w:i w:val="0"/>
                <w:color w:val="1A1A1A"/>
                <w:sz w:val="18"/>
              </w:rPr>
              <w:t>KYC identity documents</w:t>
            </w:r>
          </w:p>
          <w:p>
            <w:pPr>
              <w:spacing w:after="40" w:before="0"/>
            </w:pPr>
            <w:r>
              <w:rPr>
                <w:b w:val="0"/>
                <w:i/>
                <w:color w:val="5A5A5A"/>
                <w:sz w:val="16"/>
              </w:rPr>
              <w:t>passport, driver's licence, national ID, utility bill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KYC selfie and liveness images</w:t>
            </w:r>
          </w:p>
          <w:p>
            <w:pPr>
              <w:spacing w:after="40" w:before="0"/>
            </w:pPr>
            <w:r>
              <w:rPr>
                <w:b w:val="0"/>
                <w:i/>
                <w:color w:val="5A5A5A"/>
                <w:sz w:val="16"/>
              </w:rPr>
              <w:t>biometric, and treated as sensitive</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Professional credentials</w:t>
            </w:r>
          </w:p>
          <w:p>
            <w:pPr>
              <w:spacing w:after="40" w:before="0"/>
            </w:pPr>
            <w:r>
              <w:rPr>
                <w:b w:val="0"/>
                <w:i/>
                <w:color w:val="5A5A5A"/>
                <w:sz w:val="16"/>
              </w:rPr>
              <w:t>agent and developer licences and certificates</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Transaction and payment records</w:t>
            </w:r>
          </w:p>
          <w:p>
            <w:pPr>
              <w:spacing w:after="40" w:before="0"/>
            </w:pPr>
            <w:r>
              <w:rPr>
                <w:b w:val="0"/>
                <w:i/>
                <w:color w:val="5A5A5A"/>
                <w:sz w:val="16"/>
              </w:rPr>
              <w:t>note any tax or company-law minimum</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Audit and access logs</w:t>
            </w:r>
          </w:p>
          <w:p>
            <w:pPr>
              <w:spacing w:after="40" w:before="0"/>
            </w:pPr>
            <w:r>
              <w:rPr>
                <w:b w:val="0"/>
                <w:i/>
                <w:color w:val="5A5A5A"/>
                <w:sz w:val="16"/>
              </w:rPr>
              <w:t>who read which document, and when</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Marketing consent records</w:t>
            </w:r>
          </w:p>
          <w:p>
            <w:pPr>
              <w:spacing w:after="40" w:before="0"/>
            </w:pPr>
            <w:r>
              <w:rPr>
                <w:b w:val="0"/>
                <w:i/>
                <w:color w:val="5A5A5A"/>
                <w:sz w:val="16"/>
              </w:rPr>
              <w:t>including proof of the consent itself</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Cookie and analytics data</w:t>
            </w:r>
          </w:p>
          <w:p>
            <w:pPr>
              <w:spacing w:after="40" w:before="0"/>
            </w:pPr>
            <w:r>
              <w:rPr>
                <w:b w:val="0"/>
                <w:i/>
                <w:color w:val="5A5A5A"/>
                <w:sz w:val="16"/>
              </w:rPr>
              <w:t>including anything held by a third-party analytics tool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Account data after closure</w:t>
            </w:r>
          </w:p>
          <w:p>
            <w:pPr>
              <w:spacing w:after="40" w:before="0"/>
            </w:pPr>
            <w:r>
              <w:rPr>
                <w:b w:val="0"/>
                <w:i/>
                <w:color w:val="5A5A5A"/>
                <w:sz w:val="16"/>
              </w:rPr>
              <w:t>what survives an account being closed, and for how long</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bl>
    <w:p>
      <w:pPr>
        <w:spacing w:after="40"/>
      </w:pPr>
    </w:p>
    <w:p>
      <w:pPr>
        <w:spacing w:before="0" w:after="160"/>
      </w:pPr>
      <w:r>
        <w:rPr>
          <w:b w:val="0"/>
          <w:i w:val="0"/>
          <w:color w:val="5A5A5A"/>
          <w:sz w:val="17"/>
        </w:rPr>
        <w:t>Write a period as a number and a unit: 7 years, 90 days, 24 months. "As long as necessary" cannot be encoded, which is why the policies as they stand cannot be implemented. If a category genuinely has no fixed period, write the event that ends it, for example "until the account is closed, then 90 days".</w:t>
      </w:r>
    </w:p>
    <w:p>
      <w:pPr>
        <w:spacing w:before="0" w:after="160"/>
      </w:pPr>
      <w:r>
        <w:rPr>
          <w:b w:val="0"/>
          <w:i w:val="0"/>
          <w:color w:val="5A5A5A"/>
          <w:sz w:val="18"/>
        </w:rPr>
        <w:t>The cross-border half of EXT-5 waits on EXT-11 and is deliberately not asked again here.</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board adopted the data protection policy on [date], resolution [reference]. The DPO</w:t>
            </w:r>
          </w:p>
        </w:tc>
      </w:tr>
      <w:tr>
        <w:tc>
          <w:tcPr>
            <w:tcW w:type="dxa" w:w="9298"/>
            <w:shd w:val="clear" w:fill="F7F7F7"/>
          </w:tcPr>
          <w:p>
            <w:pPr>
              <w:spacing w:after="40" w:before="40"/>
            </w:pPr>
            <w:r/>
            <w:r>
              <w:rPr>
                <w:b w:val="0"/>
                <w:i/>
                <w:color w:val="1A1A1A"/>
                <w:sz w:val="19"/>
              </w:rPr>
              <w:t>is [name, role, contact]. The DPCO engaged is [name], licence [number], engaged [date].</w:t>
            </w:r>
          </w:p>
        </w:tc>
      </w:tr>
      <w:tr>
        <w:tc>
          <w:tcPr>
            <w:tcW w:type="dxa" w:w="9298"/>
            <w:shd w:val="clear" w:fill="F7F7F7"/>
          </w:tcPr>
          <w:p>
            <w:pPr>
              <w:spacing w:after="40" w:before="40"/>
            </w:pPr>
            <w:r/>
            <w:r>
              <w:rPr>
                <w:b w:val="0"/>
                <w:i/>
                <w:color w:val="1A1A1A"/>
                <w:sz w:val="19"/>
              </w:rPr>
              <w:t>Business operations commenced on [date]. Retention periods are in the table above.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The EXT-5 row and the E8-S1 entry in the outstanding backlog. A record of processing activities and a data protection impact assessment added to the documentation.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EXT-5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EXT-6</w:t>
      </w:r>
    </w:p>
    <w:p>
      <w:pPr>
        <w:spacing w:after="120"/>
      </w:pPr>
      <w:r>
        <w:rPr>
          <w:b/>
          <w:color w:val="1A1A1A"/>
          <w:sz w:val="23"/>
        </w:rPr>
        <w:t>Penetration test vendor and window</w:t>
      </w:r>
    </w:p>
    <w:p>
      <w:pPr>
        <w:spacing w:after="200"/>
        <w:pBdr>
          <w:bottom w:val="single" w:sz="6" w:space="6" w:color="999999"/>
        </w:pBdr>
      </w:pPr>
      <w:r>
        <w:rPr>
          <w:i/>
          <w:color w:val="5A5A5A"/>
          <w:sz w:val="19"/>
        </w:rPr>
        <w:t>Owner: Corne Labs     |     Closes E8-S3. Moves gate G5.</w:t>
      </w:r>
    </w:p>
    <w:p>
      <w:pPr>
        <w:spacing w:before="0" w:after="120"/>
      </w:pPr>
      <w:r>
        <w:rPr>
          <w:b/>
          <w:color w:val="1A1A1A"/>
          <w:sz w:val="20"/>
        </w:rPr>
        <w:t xml:space="preserve">This is the only item on this schedule with no upstream dependency. </w:t>
      </w:r>
      <w:r>
        <w:rPr>
          <w:b w:val="0"/>
          <w:color w:val="1A1A1A"/>
          <w:sz w:val="20"/>
        </w:rPr>
        <w:t>It waits on nothing and could be booked today. What is missing is the booking, not the test.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vendor, and a named contact there.</w:t>
            </w:r>
          </w:p>
          <w:p>
            <w:pPr>
              <w:spacing w:after="40" w:before="0"/>
            </w:pPr>
            <w:r>
              <w:rPr>
                <w:b w:val="0"/>
                <w:i/>
                <w:color w:val="5A5A5A"/>
                <w:sz w:val="17"/>
              </w:rPr>
              <w:t>Format: company name, contact name, email and phone.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Confirmation the scope of work names the four areas.</w:t>
            </w:r>
          </w:p>
          <w:p>
            <w:pPr>
              <w:spacing w:after="40" w:before="0"/>
            </w:pPr>
            <w:r>
              <w:rPr>
                <w:b w:val="0"/>
                <w:i/>
                <w:color w:val="5A5A5A"/>
                <w:sz w:val="17"/>
              </w:rPr>
              <w:t>Format: yes or no for each of authentication, authorization, payments and document handling, and confirm it explicitly includes the escrow payment path and the KYC document store.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Whether the engagement is black, grey or white box.</w:t>
            </w:r>
          </w:p>
          <w:p>
            <w:pPr>
              <w:spacing w:after="40" w:before="0"/>
            </w:pPr>
            <w:r>
              <w:rPr>
                <w:b w:val="0"/>
                <w:i/>
                <w:color w:val="5A5A5A"/>
                <w:sz w:val="17"/>
              </w:rPr>
              <w:t>Format: one of the three. If grey or white, say what access the testers are given.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environment to be tested.</w:t>
            </w:r>
          </w:p>
          <w:p>
            <w:pPr>
              <w:spacing w:after="40" w:before="0"/>
            </w:pPr>
            <w:r>
              <w:rPr>
                <w:b w:val="0"/>
                <w:i/>
                <w:color w:val="5A5A5A"/>
                <w:sz w:val="17"/>
              </w:rPr>
              <w:t>Format: name the environment. It must not be production with live customer data.</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test window.</w:t>
            </w:r>
          </w:p>
          <w:p>
            <w:pPr>
              <w:spacing w:after="40" w:before="0"/>
            </w:pPr>
            <w:r>
              <w:rPr>
                <w:b w:val="0"/>
                <w:i/>
                <w:color w:val="5A5A5A"/>
                <w:sz w:val="17"/>
              </w:rPr>
              <w:t>Format: start date and end date.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Rules of engagement.</w:t>
            </w:r>
          </w:p>
          <w:p>
            <w:pPr>
              <w:spacing w:after="40" w:before="0"/>
            </w:pPr>
            <w:r>
              <w:rPr>
                <w:b w:val="0"/>
                <w:i/>
                <w:color w:val="5A5A5A"/>
                <w:sz w:val="17"/>
              </w:rPr>
              <w:t>Format: attached, or summarised here. Must cover the seeded test data set, any out-of-hours constraint, and who to call when something breaks during the test.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date the report is due.</w:t>
            </w:r>
          </w:p>
          <w:p>
            <w:pPr>
              <w:spacing w:after="40" w:before="0"/>
            </w:pPr>
            <w:r>
              <w:rPr>
                <w:b w:val="0"/>
                <w:i/>
                <w:color w:val="5A5A5A"/>
                <w:sz w:val="17"/>
              </w:rPr>
              <w:t>Format: a date. The report must carry findings, severity ratings and reproduction steps.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The date the re-test letter is due.</w:t>
            </w:r>
          </w:p>
          <w:p>
            <w:pPr>
              <w:spacing w:after="40" w:before="0"/>
            </w:pPr>
            <w:r>
              <w:rPr>
                <w:b w:val="0"/>
                <w:i/>
                <w:color w:val="5A5A5A"/>
                <w:sz w:val="17"/>
              </w:rPr>
              <w:t>Format: a date. The re-test after remediation has to be a separate artifact. Gate G5 reads no high findings outstanding, and only an independent party can attest to that.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vendor is [company], contact [name, email, phone]. The window is [start] to [end],</w:t>
            </w:r>
          </w:p>
        </w:tc>
      </w:tr>
      <w:tr>
        <w:tc>
          <w:tcPr>
            <w:tcW w:type="dxa" w:w="9298"/>
            <w:shd w:val="clear" w:fill="F7F7F7"/>
          </w:tcPr>
          <w:p>
            <w:pPr>
              <w:spacing w:after="40" w:before="40"/>
            </w:pPr>
            <w:r/>
            <w:r>
              <w:rPr>
                <w:b w:val="0"/>
                <w:i/>
                <w:color w:val="1A1A1A"/>
                <w:sz w:val="19"/>
              </w:rPr>
              <w:t>against the [environment] environment, [black/grey/white] box. Scope covers</w:t>
            </w:r>
          </w:p>
        </w:tc>
      </w:tr>
      <w:tr>
        <w:tc>
          <w:tcPr>
            <w:tcW w:type="dxa" w:w="9298"/>
            <w:shd w:val="clear" w:fill="F7F7F7"/>
          </w:tcPr>
          <w:p>
            <w:pPr>
              <w:spacing w:after="40" w:before="40"/>
            </w:pPr>
            <w:r/>
            <w:r>
              <w:rPr>
                <w:b w:val="0"/>
                <w:i/>
                <w:color w:val="1A1A1A"/>
                <w:sz w:val="19"/>
              </w:rPr>
              <w:t>authentication, authorization, payments and document handling, including the escrow</w:t>
            </w:r>
          </w:p>
        </w:tc>
      </w:tr>
      <w:tr>
        <w:tc>
          <w:tcPr>
            <w:tcW w:type="dxa" w:w="9298"/>
            <w:shd w:val="clear" w:fill="F7F7F7"/>
          </w:tcPr>
          <w:p>
            <w:pPr>
              <w:spacing w:after="40" w:before="40"/>
            </w:pPr>
            <w:r/>
            <w:r>
              <w:rPr>
                <w:b w:val="0"/>
                <w:i/>
                <w:color w:val="1A1A1A"/>
                <w:sz w:val="19"/>
              </w:rPr>
              <w:t>payment path and the KYC document store. Rules of engagement are attached. The report</w:t>
            </w:r>
          </w:p>
        </w:tc>
      </w:tr>
      <w:tr>
        <w:tc>
          <w:tcPr>
            <w:tcW w:type="dxa" w:w="9298"/>
            <w:shd w:val="clear" w:fill="F7F7F7"/>
          </w:tcPr>
          <w:p>
            <w:pPr>
              <w:spacing w:after="40" w:before="40"/>
            </w:pPr>
            <w:r/>
            <w:r>
              <w:rPr>
                <w:b w:val="0"/>
                <w:i/>
                <w:color w:val="1A1A1A"/>
                <w:sz w:val="19"/>
              </w:rPr>
              <w:t>is due [date] and the re-test letter [date].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EXT-6 row, the E8-S3 entry and the gate G5 note in the outstanding backlog. The delivery board and the build checklist. The report and the re-test letter are filed with the documentation when they arrive.</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EXT-6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Part B</w:t>
      </w:r>
    </w:p>
    <w:p>
      <w:pPr>
        <w:spacing w:after="280"/>
        <w:pBdr>
          <w:bottom w:val="single" w:sz="6" w:space="6" w:color="999999"/>
        </w:pBdr>
      </w:pPr>
      <w:r>
        <w:rPr>
          <w:i/>
          <w:color w:val="5A5A5A"/>
          <w:sz w:val="21"/>
        </w:rPr>
        <w:t>Already sent on 6 August. Please do not answer these here.</w:t>
      </w:r>
    </w:p>
    <w:p>
      <w:pPr>
        <w:spacing w:before="0" w:after="120"/>
      </w:pPr>
      <w:r>
        <w:rPr>
          <w:b w:val="0"/>
          <w:i w:val="0"/>
          <w:color w:val="1A1A1A"/>
          <w:sz w:val="21"/>
        </w:rPr>
        <w:t>EXT-8 to EXT-12 went out inside ENG-DR-2026-08-06-01 and are awaiting answers. They are listed so this schedule is a complete picture of what is outstanding. They carry no answer column on purpose. An answer given in two places is an answer that can differ in two places, and the record has to check an answer against the question exactly as it was asked.</w:t>
      </w:r>
    </w:p>
    <w:tbl>
      <w:tblPr>
        <w:tblStyle w:val="TableGrid"/>
        <w:tblW w:type="auto" w:w="0"/>
        <w:jc w:val="left"/>
        <w:tblLook w:firstColumn="1" w:firstRow="1" w:lastColumn="0" w:lastRow="0" w:noHBand="0" w:noVBand="1" w:val="04A0"/>
      </w:tblPr>
      <w:tblGrid>
        <w:gridCol w:w="3099"/>
        <w:gridCol w:w="3099"/>
        <w:gridCol w:w="3099"/>
      </w:tblGrid>
      <w:tr>
        <w:tc>
          <w:tcPr>
            <w:tcW w:type="dxa" w:w="1134"/>
            <w:shd w:val="clear" w:fill="EDEDED"/>
          </w:tcPr>
          <w:p>
            <w:pPr>
              <w:spacing w:after="40" w:before="40"/>
            </w:pPr>
            <w:r/>
            <w:r>
              <w:rPr>
                <w:b/>
                <w:i w:val="0"/>
                <w:color w:val="1A1A1A"/>
                <w:sz w:val="19"/>
              </w:rPr>
              <w:t>Item</w:t>
            </w:r>
          </w:p>
        </w:tc>
        <w:tc>
          <w:tcPr>
            <w:tcW w:type="dxa" w:w="5216"/>
            <w:shd w:val="clear" w:fill="EDEDED"/>
          </w:tcPr>
          <w:p>
            <w:pPr>
              <w:spacing w:after="40" w:before="40"/>
            </w:pPr>
            <w:r/>
            <w:r>
              <w:rPr>
                <w:b/>
                <w:i w:val="0"/>
                <w:color w:val="1A1A1A"/>
                <w:sz w:val="19"/>
              </w:rPr>
              <w:t>The question, in short</w:t>
            </w:r>
          </w:p>
        </w:tc>
        <w:tc>
          <w:tcPr>
            <w:tcW w:type="dxa" w:w="2948"/>
            <w:shd w:val="clear" w:fill="EDEDED"/>
          </w:tcPr>
          <w:p>
            <w:pPr>
              <w:spacing w:after="40" w:before="40"/>
            </w:pPr>
            <w:r/>
            <w:r>
              <w:rPr>
                <w:b/>
                <w:i w:val="0"/>
                <w:color w:val="1A1A1A"/>
                <w:sz w:val="19"/>
              </w:rPr>
              <w:t>What it holds up</w:t>
            </w:r>
          </w:p>
        </w:tc>
      </w:tr>
      <w:tr>
        <w:tc>
          <w:tcPr>
            <w:tcW w:type="dxa" w:w="1134"/>
          </w:tcPr>
          <w:p>
            <w:pPr>
              <w:spacing w:after="40" w:before="40"/>
            </w:pPr>
            <w:r/>
            <w:r>
              <w:rPr>
                <w:b w:val="0"/>
                <w:i w:val="0"/>
                <w:color w:val="1A1A1A"/>
                <w:sz w:val="19"/>
              </w:rPr>
              <w:t>EXT-8</w:t>
            </w:r>
          </w:p>
        </w:tc>
        <w:tc>
          <w:tcPr>
            <w:tcW w:type="dxa" w:w="5216"/>
          </w:tcPr>
          <w:p>
            <w:pPr>
              <w:spacing w:after="40" w:before="40"/>
            </w:pPr>
            <w:r/>
            <w:r>
              <w:rPr>
                <w:b w:val="0"/>
                <w:i w:val="0"/>
                <w:color w:val="1A1A1A"/>
                <w:sz w:val="19"/>
              </w:rPr>
              <w:t>Five conflicts between the ID Standard and the finance specification</w:t>
            </w:r>
          </w:p>
        </w:tc>
        <w:tc>
          <w:tcPr>
            <w:tcW w:type="dxa" w:w="2948"/>
          </w:tcPr>
          <w:p>
            <w:pPr>
              <w:spacing w:after="40" w:before="40"/>
            </w:pPr>
            <w:r/>
            <w:r>
              <w:rPr>
                <w:b w:val="0"/>
                <w:i w:val="0"/>
                <w:color w:val="1A1A1A"/>
                <w:sz w:val="19"/>
              </w:rPr>
              <w:t>E9-S2</w:t>
            </w:r>
          </w:p>
        </w:tc>
      </w:tr>
      <w:tr>
        <w:tc>
          <w:tcPr>
            <w:tcW w:type="dxa" w:w="1134"/>
          </w:tcPr>
          <w:p>
            <w:pPr>
              <w:spacing w:after="40" w:before="40"/>
            </w:pPr>
            <w:r/>
            <w:r>
              <w:rPr>
                <w:b w:val="0"/>
                <w:i w:val="0"/>
                <w:color w:val="1A1A1A"/>
                <w:sz w:val="19"/>
              </w:rPr>
              <w:t>EXT-9</w:t>
            </w:r>
          </w:p>
        </w:tc>
        <w:tc>
          <w:tcPr>
            <w:tcW w:type="dxa" w:w="5216"/>
          </w:tcPr>
          <w:p>
            <w:pPr>
              <w:spacing w:after="40" w:before="40"/>
            </w:pPr>
            <w:r/>
            <w:r>
              <w:rPr>
                <w:b w:val="0"/>
                <w:i w:val="0"/>
                <w:color w:val="1A1A1A"/>
                <w:sz w:val="19"/>
              </w:rPr>
              <w:t>The commission basis: one-sided or two-sided, collected or withheld, floor or rate</w:t>
            </w:r>
          </w:p>
        </w:tc>
        <w:tc>
          <w:tcPr>
            <w:tcW w:type="dxa" w:w="2948"/>
          </w:tcPr>
          <w:p>
            <w:pPr>
              <w:spacing w:after="40" w:before="40"/>
            </w:pPr>
            <w:r/>
            <w:r>
              <w:rPr>
                <w:b w:val="0"/>
                <w:i w:val="0"/>
                <w:color w:val="1A1A1A"/>
                <w:sz w:val="19"/>
              </w:rPr>
              <w:t>E9-S3, and EXT-4</w:t>
            </w:r>
          </w:p>
        </w:tc>
      </w:tr>
      <w:tr>
        <w:tc>
          <w:tcPr>
            <w:tcW w:type="dxa" w:w="1134"/>
          </w:tcPr>
          <w:p>
            <w:pPr>
              <w:spacing w:after="40" w:before="40"/>
            </w:pPr>
            <w:r/>
            <w:r>
              <w:rPr>
                <w:b w:val="0"/>
                <w:i w:val="0"/>
                <w:color w:val="1A1A1A"/>
                <w:sz w:val="19"/>
              </w:rPr>
              <w:t>EXT-10</w:t>
            </w:r>
          </w:p>
        </w:tc>
        <w:tc>
          <w:tcPr>
            <w:tcW w:type="dxa" w:w="5216"/>
          </w:tcPr>
          <w:p>
            <w:pPr>
              <w:spacing w:after="40" w:before="40"/>
            </w:pPr>
            <w:r/>
            <w:r>
              <w:rPr>
                <w:b w:val="0"/>
                <w:i w:val="0"/>
                <w:color w:val="1A1A1A"/>
                <w:sz w:val="19"/>
              </w:rPr>
              <w:t>What authorises VAT withholding from seller proceeds</w:t>
            </w:r>
          </w:p>
        </w:tc>
        <w:tc>
          <w:tcPr>
            <w:tcW w:type="dxa" w:w="2948"/>
          </w:tcPr>
          <w:p>
            <w:pPr>
              <w:spacing w:after="40" w:before="40"/>
            </w:pPr>
            <w:r/>
            <w:r>
              <w:rPr>
                <w:b w:val="0"/>
                <w:i w:val="0"/>
                <w:color w:val="1A1A1A"/>
                <w:sz w:val="19"/>
              </w:rPr>
              <w:t>E9-S3, gate G4, and EXT-4</w:t>
            </w:r>
          </w:p>
        </w:tc>
      </w:tr>
      <w:tr>
        <w:tc>
          <w:tcPr>
            <w:tcW w:type="dxa" w:w="1134"/>
          </w:tcPr>
          <w:p>
            <w:pPr>
              <w:spacing w:after="40" w:before="40"/>
            </w:pPr>
            <w:r/>
            <w:r>
              <w:rPr>
                <w:b w:val="0"/>
                <w:i w:val="0"/>
                <w:color w:val="1A1A1A"/>
                <w:sz w:val="19"/>
              </w:rPr>
              <w:t>EXT-11</w:t>
            </w:r>
          </w:p>
        </w:tc>
        <w:tc>
          <w:tcPr>
            <w:tcW w:type="dxa" w:w="5216"/>
          </w:tcPr>
          <w:p>
            <w:pPr>
              <w:spacing w:after="40" w:before="40"/>
            </w:pPr>
            <w:r/>
            <w:r>
              <w:rPr>
                <w:b w:val="0"/>
                <w:i w:val="0"/>
                <w:color w:val="1A1A1A"/>
                <w:sz w:val="19"/>
              </w:rPr>
              <w:t>Which data-transfer rule governs, the internal policy's or the published policy's</w:t>
            </w:r>
          </w:p>
        </w:tc>
        <w:tc>
          <w:tcPr>
            <w:tcW w:type="dxa" w:w="2948"/>
          </w:tcPr>
          <w:p>
            <w:pPr>
              <w:spacing w:after="40" w:before="40"/>
            </w:pPr>
            <w:r/>
            <w:r>
              <w:rPr>
                <w:b w:val="0"/>
                <w:i w:val="0"/>
                <w:color w:val="1A1A1A"/>
                <w:sz w:val="19"/>
              </w:rPr>
              <w:t>D4, E3-S2, E8-S1, and the region row of EXT-2</w:t>
            </w:r>
          </w:p>
        </w:tc>
      </w:tr>
      <w:tr>
        <w:tc>
          <w:tcPr>
            <w:tcW w:type="dxa" w:w="1134"/>
          </w:tcPr>
          <w:p>
            <w:pPr>
              <w:spacing w:after="40" w:before="40"/>
            </w:pPr>
            <w:r/>
            <w:r>
              <w:rPr>
                <w:b w:val="0"/>
                <w:i w:val="0"/>
                <w:color w:val="1A1A1A"/>
                <w:sz w:val="19"/>
              </w:rPr>
              <w:t>EXT-12</w:t>
            </w:r>
          </w:p>
        </w:tc>
        <w:tc>
          <w:tcPr>
            <w:tcW w:type="dxa" w:w="5216"/>
          </w:tcPr>
          <w:p>
            <w:pPr>
              <w:spacing w:after="40" w:before="40"/>
            </w:pPr>
            <w:r/>
            <w:r>
              <w:rPr>
                <w:b w:val="0"/>
                <w:i w:val="0"/>
                <w:color w:val="1A1A1A"/>
                <w:sz w:val="19"/>
              </w:rPr>
              <w:t>Entity name, registered address, canonical domain, and whether the ID Standard is under revision</w:t>
            </w:r>
          </w:p>
        </w:tc>
        <w:tc>
          <w:tcPr>
            <w:tcW w:type="dxa" w:w="2948"/>
          </w:tcPr>
          <w:p>
            <w:pPr>
              <w:spacing w:after="40" w:before="40"/>
            </w:pPr>
            <w:r/>
            <w:r>
              <w:rPr>
                <w:b w:val="0"/>
                <w:i w:val="0"/>
                <w:color w:val="1A1A1A"/>
                <w:sz w:val="19"/>
              </w:rPr>
              <w:t>E9-S2, E8-S2, EXT-3, and all instrument generation</w:t>
            </w:r>
          </w:p>
        </w:tc>
      </w:tr>
    </w:tbl>
    <w:p>
      <w:pPr>
        <w:spacing w:after="40"/>
      </w:pPr>
    </w:p>
    <w:p>
      <w:pPr>
        <w:spacing w:before="80" w:after="120"/>
      </w:pPr>
      <w:r>
        <w:rPr>
          <w:b w:val="0"/>
          <w:i w:val="0"/>
          <w:color w:val="5A5A5A"/>
          <w:sz w:val="19"/>
        </w:rPr>
        <w:t>If you are holding ENG-DR-2026-08-06-01 and have not replied to it yet, that document is the more urgent of the two. It blocks work that is already scheduled.</w:t>
      </w:r>
    </w:p>
    <w:p>
      <w:r>
        <w:br w:type="page"/>
      </w:r>
    </w:p>
    <w:p>
      <w:pPr>
        <w:spacing w:before="0" w:after="80"/>
      </w:pPr>
      <w:r>
        <w:rPr>
          <w:b/>
          <w:color w:val="1A1A1A"/>
          <w:sz w:val="44"/>
        </w:rPr>
        <w:t>Part C</w:t>
      </w:r>
    </w:p>
    <w:p>
      <w:pPr>
        <w:spacing w:after="280"/>
        <w:pBdr>
          <w:bottom w:val="single" w:sz="6" w:space="6" w:color="999999"/>
        </w:pBdr>
      </w:pPr>
      <w:r>
        <w:rPr>
          <w:i/>
          <w:color w:val="5A5A5A"/>
          <w:sz w:val="21"/>
        </w:rPr>
        <w:t>Decision records. Two of these ratify behaviour that is already live in production.</w:t>
      </w:r>
    </w:p>
    <w:p>
      <w:pPr>
        <w:spacing w:before="0" w:after="80"/>
      </w:pPr>
      <w:r>
        <w:rPr>
          <w:b/>
          <w:color w:val="1A1A1A"/>
          <w:sz w:val="23"/>
        </w:rPr>
        <w:t>ADR-0001, MVP scope envelope, decision D1</w:t>
      </w:r>
    </w:p>
    <w:p>
      <w:pPr>
        <w:spacing w:before="0" w:after="120"/>
      </w:pPr>
      <w:r>
        <w:rPr>
          <w:b/>
          <w:color w:val="1A1A1A"/>
          <w:sz w:val="21"/>
        </w:rPr>
        <w:t xml:space="preserve">Accepted 2 August 2026. Nothing is required from you. </w:t>
      </w:r>
      <w:r>
        <w:rPr>
          <w:b w:val="0"/>
          <w:color w:val="1A1A1A"/>
          <w:sz w:val="21"/>
        </w:rPr>
        <w:t>On-platform property purchase is in the MVP, and wave 4 is what that answer released. It is listed so this schedule is a complete list rather than a list of problems.</w:t>
      </w:r>
    </w:p>
    <w:p>
      <w:pPr>
        <w:spacing w:before="240" w:after="80"/>
      </w:pPr>
      <w:r>
        <w:rPr>
          <w:b/>
          <w:color w:val="1A1A1A"/>
          <w:sz w:val="23"/>
        </w:rPr>
        <w:t>ADR-0002, escrow fund holding model, decision D2</w:t>
      </w:r>
    </w:p>
    <w:p>
      <w:pPr>
        <w:spacing w:before="0" w:after="120"/>
      </w:pPr>
      <w:r>
        <w:rPr>
          <w:b/>
          <w:color w:val="1A1A1A"/>
          <w:sz w:val="21"/>
        </w:rPr>
        <w:t xml:space="preserve">Accepted 5 August 2026. The decision itself needs nothing further. </w:t>
      </w:r>
      <w:r>
        <w:rPr>
          <w:b w:val="0"/>
          <w:color w:val="1A1A1A"/>
          <w:sz w:val="21"/>
        </w:rPr>
        <w:t>One thing attached to it is still outstanding: the section 14.2 approval to activate payments in production, which is a separate permission from the approval to build. It is asked for once, in row 7 of EXT-1, rather than twice.</w:t>
      </w:r>
    </w:p>
    <w:p>
      <w:r>
        <w:br w:type="page"/>
      </w:r>
    </w:p>
    <w:p>
      <w:pPr>
        <w:spacing w:before="0" w:after="20"/>
      </w:pPr>
      <w:r>
        <w:rPr>
          <w:b/>
          <w:color w:val="1A1A1A"/>
          <w:sz w:val="36"/>
        </w:rPr>
        <w:t>ADR-0003</w:t>
      </w:r>
    </w:p>
    <w:p>
      <w:pPr>
        <w:spacing w:after="120"/>
      </w:pPr>
      <w:r>
        <w:rPr>
          <w:b/>
          <w:color w:val="1A1A1A"/>
          <w:sz w:val="23"/>
        </w:rPr>
        <w:t>Fail startup rather than silently mock payments in production</w:t>
      </w:r>
    </w:p>
    <w:p>
      <w:pPr>
        <w:spacing w:after="200"/>
        <w:pBdr>
          <w:bottom w:val="single" w:sz="6" w:space="6" w:color="999999"/>
        </w:pBdr>
      </w:pPr>
      <w:r>
        <w:rPr>
          <w:i/>
          <w:color w:val="5A5A5A"/>
          <w:sz w:val="19"/>
        </w:rPr>
        <w:t>Owner: Product, client     |     Relates to E2-S4. Status in the repository: Proposed.</w:t>
      </w:r>
    </w:p>
    <w:p>
      <w:pPr>
        <w:spacing w:before="0" w:after="120"/>
      </w:pPr>
      <w:r>
        <w:rPr>
          <w:b/>
          <w:color w:val="1A1A1A"/>
          <w:sz w:val="20"/>
        </w:rPr>
        <w:t xml:space="preserve">This is a ratification, not a decision. </w:t>
      </w:r>
      <w:r>
        <w:rPr>
          <w:b w:val="0"/>
          <w:color w:val="1A1A1A"/>
          <w:sz w:val="20"/>
        </w:rPr>
        <w:t>E2-S4 shipped some time ago and the behaviour described in this record is live: a production deploy with no payment credential refuses to start, rather than recording every seller as paid against a mock transfer reference. The decision record still says Proposed.</w:t>
      </w:r>
    </w:p>
    <w:p>
      <w:pPr>
        <w:spacing w:before="0" w:after="120"/>
      </w:pPr>
      <w:r>
        <w:rPr>
          <w:b/>
          <w:color w:val="1A1A1A"/>
          <w:sz w:val="20"/>
        </w:rPr>
        <w:t xml:space="preserve">What it costs to leave it as it is: </w:t>
      </w:r>
      <w:r>
        <w:rPr>
          <w:b w:val="0"/>
          <w:color w:val="1A1A1A"/>
          <w:sz w:val="20"/>
        </w:rPr>
        <w:t>the repository's own register says Proposed about behaviour running in production, so a reader cannot tell what was decided from what was merely suggested, and a future change has no recorded baseline to depart from.</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ADR-0003 as written?</w:t>
            </w:r>
          </w:p>
          <w:p>
            <w:pPr>
              <w:spacing w:after="40" w:before="0"/>
            </w:pPr>
            <w:r>
              <w:rPr>
                <w:b w:val="0"/>
                <w:i/>
                <w:color w:val="5A5A5A"/>
                <w:sz w:val="17"/>
              </w:rPr>
              <w:t>Format: accepted, or not accepted. If not accepted, use row 2.</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If not accepted, what should happen instead?</w:t>
            </w:r>
          </w:p>
          <w:p>
            <w:pPr>
              <w:spacing w:after="40" w:before="0"/>
            </w:pPr>
            <w:r>
              <w:rPr>
                <w:b w:val="0"/>
                <w:i/>
                <w:color w:val="5A5A5A"/>
                <w:sz w:val="17"/>
              </w:rPr>
              <w:t>Format: describe the behaviour you want when a production deploy has no payment credential. Write "not applicable" if you accepted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Confirm you understand the trade-off the record names.</w:t>
            </w:r>
          </w:p>
          <w:p>
            <w:pPr>
              <w:spacing w:after="40" w:before="0"/>
            </w:pPr>
            <w:r>
              <w:rPr>
                <w:b w:val="0"/>
                <w:i/>
                <w:color w:val="5A5A5A"/>
                <w:sz w:val="17"/>
              </w:rPr>
              <w:t>Format: yes or no. The trade-off is that a missing or rotated-away payment environment variable takes the API down. That is deliberate and correct for a money path, and it is the sort of thing to agree to in advance rather than discover during an incident.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E2-S4 shipped, if you prefer the record to match reality.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160" w:after="200"/>
      </w:pPr>
      <w:r>
        <w:rPr>
          <w:b/>
          <w:color w:val="5A5A5A"/>
          <w:sz w:val="18"/>
        </w:rPr>
        <w:t xml:space="preserve">Records we update when this lands, so you can see where your answer goes: </w:t>
      </w:r>
      <w:r>
        <w:rPr>
          <w:color w:val="5A5A5A"/>
          <w:sz w:val="18"/>
        </w:rPr>
        <w:t>The status line of ADR-0003, from Proposed to Accepted, with your name and date.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ADR-0004</w:t>
      </w:r>
    </w:p>
    <w:p>
      <w:pPr>
        <w:spacing w:after="120"/>
      </w:pPr>
      <w:r>
        <w:rPr>
          <w:b/>
          <w:color w:val="1A1A1A"/>
          <w:sz w:val="23"/>
        </w:rPr>
        <w:t>Private documents move behind authorization, decision D4</w:t>
      </w:r>
    </w:p>
    <w:p>
      <w:pPr>
        <w:spacing w:after="200"/>
        <w:pBdr>
          <w:bottom w:val="single" w:sz="6" w:space="6" w:color="999999"/>
        </w:pBdr>
      </w:pPr>
      <w:r>
        <w:rPr>
          <w:i/>
          <w:color w:val="5A5A5A"/>
          <w:sz w:val="19"/>
        </w:rPr>
        <w:t>Owner: Product, client, security     |     Relates to E3-S1, E3-S2, E3-S3 and gate G3. Status in the repository: Proposed.</w:t>
      </w:r>
    </w:p>
    <w:p>
      <w:pPr>
        <w:spacing w:before="0" w:after="120"/>
      </w:pPr>
      <w:r>
        <w:rPr>
          <w:b/>
          <w:color w:val="1A1A1A"/>
          <w:sz w:val="20"/>
        </w:rPr>
        <w:t xml:space="preserve">Also a ratification. </w:t>
      </w:r>
      <w:r>
        <w:rPr>
          <w:b w:val="0"/>
          <w:color w:val="1A1A1A"/>
          <w:sz w:val="20"/>
        </w:rPr>
        <w:t>E3-S1 shipped across several pull requests. The unauthenticated static mount is gone, private files are served only through an authorization-checked path, and a probe suite tests it. The decision record still says Proposed.</w:t>
      </w:r>
    </w:p>
    <w:p>
      <w:pPr>
        <w:spacing w:before="0" w:after="80"/>
      </w:pPr>
      <w:r>
        <w:rPr>
          <w:b w:val="0"/>
          <w:i w:val="0"/>
          <w:color w:val="1A1A1A"/>
          <w:sz w:val="20"/>
        </w:rPr>
        <w:t>Two consequences in it are still forward-looking rather than done, and those are the parts worth confirming knowingly.</w:t>
      </w:r>
    </w:p>
    <w:p>
      <w:pPr>
        <w:pStyle w:val="ListBullet"/>
        <w:spacing w:after="80"/>
        <w:ind w:left="397" w:hanging="198"/>
      </w:pPr>
      <w:r>
        <w:rPr>
          <w:b/>
          <w:color w:val="1A1A1A"/>
          <w:sz w:val="20"/>
        </w:rPr>
        <w:t xml:space="preserve">Production requires S3-compatible storage with public reads denied at the bucket policy, and the application refuses to start on a serverless platform with the local driver. </w:t>
      </w:r>
      <w:r>
        <w:rPr>
          <w:b w:val="0"/>
          <w:color w:val="1A1A1A"/>
          <w:sz w:val="20"/>
        </w:rPr>
        <w:t>That is another deliberate fail-closed posture, and it is what makes EXT-2 a blocker rather than a nice-to-have.</w:t>
      </w:r>
    </w:p>
    <w:p>
      <w:pPr>
        <w:pStyle w:val="ListBullet"/>
        <w:spacing w:after="80"/>
        <w:ind w:left="397" w:hanging="198"/>
      </w:pPr>
      <w:r>
        <w:rPr>
          <w:b/>
          <w:color w:val="1A1A1A"/>
          <w:sz w:val="20"/>
        </w:rPr>
        <w:t xml:space="preserve">A migration pass must copy recoverable objects and report the keys it cannot find, rather than failing silently. </w:t>
      </w:r>
      <w:r>
        <w:rPr>
          <w:b w:val="0"/>
          <w:color w:val="1A1A1A"/>
          <w:sz w:val="20"/>
        </w:rPr>
        <w:t>If files were uploaded to a temporary directory on a serverless deploy, some are already unrecoverable. Somebody outside engineering should decide what happens to the ones that cannot be found.</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ADR-0004 as written?</w:t>
            </w:r>
          </w:p>
          <w:p>
            <w:pPr>
              <w:spacing w:after="40" w:before="0"/>
            </w:pPr>
            <w:r>
              <w:rPr>
                <w:b w:val="0"/>
                <w:i/>
                <w:color w:val="5A5A5A"/>
                <w:sz w:val="17"/>
              </w:rPr>
              <w:t>Format: accepted, or not accepted. If not accepted, say what instead.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Confirm you understand the production requirement.</w:t>
            </w:r>
          </w:p>
          <w:p>
            <w:pPr>
              <w:spacing w:after="40" w:before="0"/>
            </w:pPr>
            <w:r>
              <w:rPr>
                <w:b w:val="0"/>
                <w:i/>
                <w:color w:val="5A5A5A"/>
                <w:sz w:val="17"/>
              </w:rPr>
              <w:t>Format: yes or no. Production will refuse to start without S3-compatible storage with public reads denied.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What should happen to objects the migration pass cannot find?</w:t>
            </w:r>
          </w:p>
          <w:p>
            <w:pPr>
              <w:spacing w:after="40" w:before="0"/>
            </w:pPr>
            <w:r>
              <w:rPr>
                <w:b w:val="0"/>
                <w:i/>
                <w:color w:val="5A5A5A"/>
                <w:sz w:val="17"/>
              </w:rPr>
              <w:t>Format: choose one and name who does it. For example: notify the uploading user and ask them to re-upload; write them off with a recorded list; hold the migration until a backup is checked.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E3-S1 shipped.</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120"/>
      </w:pPr>
      <w:r>
        <w:rPr>
          <w:b w:val="0"/>
          <w:i w:val="0"/>
          <w:color w:val="5A5A5A"/>
          <w:sz w:val="18"/>
        </w:rPr>
        <w:t>The region sub-decision inside ADR-0004 stays open. It is row 3 of EXT-2 and it depends on EXT-11, so it is deliberately not asked again here.</w:t>
      </w:r>
    </w:p>
    <w:p>
      <w:pPr>
        <w:spacing w:before="160" w:after="200"/>
      </w:pPr>
      <w:r>
        <w:rPr>
          <w:b/>
          <w:color w:val="5A5A5A"/>
          <w:sz w:val="18"/>
        </w:rPr>
        <w:t xml:space="preserve">Records we update when this lands, so you can see where your answer goes: </w:t>
      </w:r>
      <w:r>
        <w:rPr>
          <w:color w:val="5A5A5A"/>
          <w:sz w:val="18"/>
        </w:rPr>
        <w:t>The status line of ADR-0004, from Proposed to Accepted, with your name and date. The D4 row in the outstanding backlog.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pPr>
        <w:spacing w:before="280" w:after="80"/>
      </w:pPr>
      <w:r>
        <w:rPr>
          <w:b/>
          <w:color w:val="1A1A1A"/>
          <w:sz w:val="23"/>
        </w:rPr>
        <w:t>ADR-0005, quality ratchet, decision D5</w:t>
      </w:r>
    </w:p>
    <w:p>
      <w:pPr>
        <w:spacing w:before="0" w:after="120"/>
      </w:pPr>
      <w:r>
        <w:rPr>
          <w:b/>
          <w:color w:val="1A1A1A"/>
          <w:sz w:val="21"/>
        </w:rPr>
        <w:t xml:space="preserve">Deliberately excluded from this schedule at the requester's instruction, 6 August 2026. </w:t>
      </w:r>
      <w:r>
        <w:rPr>
          <w:b w:val="0"/>
          <w:color w:val="1A1A1A"/>
          <w:sz w:val="21"/>
        </w:rPr>
        <w:t>It is recorded here so its absence reads as a decision rather than an oversight. It remains Proposed and D5 remains open. Nothing is asked of you on it.</w:t>
      </w:r>
    </w:p>
    <w:p>
      <w:r>
        <w:br w:type="page"/>
      </w:r>
    </w:p>
    <w:p>
      <w:pPr>
        <w:spacing w:before="0" w:after="80"/>
      </w:pPr>
      <w:r>
        <w:rPr>
          <w:b/>
          <w:color w:val="1A1A1A"/>
          <w:sz w:val="44"/>
        </w:rPr>
        <w:t>Part D</w:t>
      </w:r>
    </w:p>
    <w:p>
      <w:pPr>
        <w:spacing w:after="280"/>
        <w:pBdr>
          <w:bottom w:val="single" w:sz="6" w:space="6" w:color="999999"/>
        </w:pBdr>
      </w:pPr>
      <w:r>
        <w:rPr>
          <w:i/>
          <w:color w:val="5A5A5A"/>
          <w:sz w:val="21"/>
        </w:rPr>
        <w:t>One open decision with no record behind it. It is not blocking anything.</w:t>
      </w:r>
    </w:p>
    <w:p>
      <w:pPr>
        <w:spacing w:before="0" w:after="20"/>
      </w:pPr>
      <w:r>
        <w:rPr>
          <w:b/>
          <w:color w:val="1A1A1A"/>
          <w:sz w:val="36"/>
        </w:rPr>
        <w:t>D3</w:t>
      </w:r>
    </w:p>
    <w:p>
      <w:pPr>
        <w:spacing w:after="120"/>
      </w:pPr>
      <w:r>
        <w:rPr>
          <w:b/>
          <w:color w:val="1A1A1A"/>
          <w:sz w:val="23"/>
        </w:rPr>
        <w:t>KYC: manual review, or a provider</w:t>
      </w:r>
    </w:p>
    <w:p>
      <w:pPr>
        <w:spacing w:after="200"/>
        <w:pBdr>
          <w:bottom w:val="single" w:sz="6" w:space="6" w:color="999999"/>
        </w:pBdr>
      </w:pPr>
      <w:r>
        <w:rPr>
          <w:i/>
          <w:color w:val="5A5A5A"/>
          <w:sz w:val="19"/>
        </w:rPr>
        <w:t>Owner: Client, product     |     Relates to E4-S2.</w:t>
      </w:r>
    </w:p>
    <w:p>
      <w:pPr>
        <w:spacing w:before="0" w:after="120"/>
      </w:pPr>
      <w:r>
        <w:rPr>
          <w:b w:val="0"/>
          <w:color w:val="1A1A1A"/>
          <w:sz w:val="20"/>
        </w:rPr>
        <w:t xml:space="preserve">Included because it is the only open item in the decision register with no architecture decision record behind it, </w:t>
      </w:r>
      <w:r>
        <w:rPr>
          <w:b w:val="0"/>
          <w:color w:val="1A1A1A"/>
          <w:sz w:val="20"/>
        </w:rPr>
        <w:t>and a schedule that claims to cover the register would otherwise have a hole in it.</w:t>
      </w:r>
    </w:p>
    <w:p>
      <w:pPr>
        <w:spacing w:before="0" w:after="120"/>
      </w:pPr>
      <w:r>
        <w:rPr>
          <w:b/>
          <w:color w:val="1A1A1A"/>
          <w:sz w:val="20"/>
        </w:rPr>
        <w:t xml:space="preserve">It is not blocking anything. </w:t>
      </w:r>
      <w:r>
        <w:rPr>
          <w:b w:val="0"/>
          <w:color w:val="1A1A1A"/>
          <w:sz w:val="20"/>
        </w:rPr>
        <w:t>E4-S2 shipped on manual review, and the gate reads one field through one registry, so a provider would change who writes the KYC status rather than who reads it. Answering "manual for now" costs nothing and closes the row.</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Manual review, or a provider, for the MVP?</w:t>
            </w:r>
          </w:p>
          <w:p>
            <w:pPr>
              <w:spacing w:after="40" w:before="0"/>
            </w:pPr>
            <w:r>
              <w:rPr>
                <w:b w:val="0"/>
                <w:i/>
                <w:color w:val="5A5A5A"/>
                <w:sz w:val="17"/>
              </w:rPr>
              <w:t>Format: manual, or provider.</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If a provider, which one?</w:t>
            </w:r>
          </w:p>
          <w:p>
            <w:pPr>
              <w:spacing w:after="40" w:before="0"/>
            </w:pPr>
            <w:r>
              <w:rPr>
                <w:b w:val="0"/>
                <w:i/>
                <w:color w:val="5A5A5A"/>
                <w:sz w:val="17"/>
              </w:rPr>
              <w:t>Format: name the provider, or write "not applicable".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Who decided, and on what date?</w:t>
            </w:r>
          </w:p>
          <w:p>
            <w:pPr>
              <w:spacing w:after="40" w:before="0"/>
            </w:pPr>
            <w:r>
              <w:rPr>
                <w:b w:val="0"/>
                <w:i/>
                <w:color w:val="5A5A5A"/>
                <w:sz w:val="17"/>
              </w:rPr>
              <w:t>Format: full name, role, date.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160" w:after="200"/>
      </w:pPr>
      <w:r>
        <w:rPr>
          <w:b/>
          <w:color w:val="5A5A5A"/>
          <w:sz w:val="18"/>
        </w:rPr>
        <w:t xml:space="preserve">Records we update when this lands, so you can see where your answer goes: </w:t>
      </w:r>
      <w:r>
        <w:rPr>
          <w:color w:val="5A5A5A"/>
          <w:sz w:val="18"/>
        </w:rPr>
        <w:t>The D3 row and the E4-S2 entry in the outstanding backlog. A new decision record, if a provider is chosen.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D3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EXT-1</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EXT-2</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EXT-5</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EXT-6</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ADR-0003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ADR-0004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D3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120" w:after="120"/>
      </w:pPr>
      <w:r>
        <w:rPr>
          <w:b w:val="0"/>
          <w:i w:val="0"/>
          <w:color w:val="5A5A5A"/>
          <w:sz w:val="19"/>
        </w:rPr>
        <w:t>Nothing here is a request for a decision to be rushed. 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