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 Revised a third time the same afternoon, still before dispatch: three of the four smaller gaps listed under EXT-8 were answered, and the fourth follows from one of the three, so item EXT-8 asks for three sentences and one instruction rather than for those and five more things. The count of items is unchanged at eleven and EXT-8 is still open, on exactly the three contradictions it was open on that morning. The answers are recorded inside the item rather than deleted from it.</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Chief operating officer. One of the eleven items on this schedule, and nothing else is being asked of you.</w:t>
      </w:r>
    </w:p>
    <w:p>
      <w:pPr>
        <w:spacing w:before="40" w:after="120"/>
      </w:pPr>
      <w:r>
        <w:rPr>
          <w:b w:val="0"/>
          <w:i w:val="0"/>
          <w:color w:val="5A5A5A"/>
          <w:sz w:val="18"/>
        </w:rPr>
        <w:t>Reference ENG-CS-2026-08-06-01, chief operating officer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the chief operating officer,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EXT-8</w:t>
            </w:r>
          </w:p>
        </w:tc>
        <w:tc>
          <w:tcPr>
            <w:tcW w:type="dxa" w:w="3175"/>
          </w:tcPr>
          <w:p>
            <w:pPr>
              <w:spacing w:after="40" w:before="40"/>
            </w:pPr>
            <w:r>
              <w:t>Three contradictions inside the identifier answer</w:t>
            </w:r>
          </w:p>
        </w:tc>
        <w:tc>
          <w:tcPr>
            <w:tcW w:type="dxa" w:w="4025"/>
          </w:tcPr>
          <w:p>
            <w:pPr>
              <w:spacing w:after="40" w:before="40"/>
            </w:pPr>
            <w:r>
              <w:t>Digital Records, answering together with you.</w:t>
            </w:r>
          </w:p>
        </w:tc>
        <w:tc>
          <w:tcPr>
            <w:tcW w:type="dxa" w:w="1020"/>
          </w:tcPr>
          <w:p>
            <w:pPr>
              <w:spacing w:after="40" w:before="40"/>
            </w:pPr>
            <w:r>
              <w:t>Part B</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pPr>
        <w:spacing w:before="40" w:after="120"/>
      </w:pPr>
      <w:r>
        <w:rPr>
          <w:b w:val="0"/>
          <w:i w:val="0"/>
          <w:color w:val="5A5A5A"/>
          <w:sz w:val="18"/>
        </w:rPr>
        <w:t>Your items sit in Part B, which is the part that was already answered on 6 August. Nothing you answered is being asked again. What is asked for is the handful of points those answers left contradicting themselves, and it is short enough to reply to in an email.</w:t>
      </w: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and what the answers left open. Two items here do need an answer.</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p>
      <w:pPr>
        <w:spacing w:before="0" w:after="120"/>
      </w:pPr>
      <w:r>
        <w:rPr>
          <w:b/>
          <w:color w:val="1A1A1A"/>
          <w:sz w:val="21"/>
        </w:rPr>
        <w:t xml:space="preserve">This part used to say "already sent, do not answer here". </w:t>
      </w:r>
      <w:r>
        <w:rPr>
          <w:b w:val="0"/>
          <w:color w:val="1A1A1A"/>
          <w:sz w:val="21"/>
        </w:rPr>
        <w:t>It carried no answer column, on the reasoning that an answer given in two places can differ in two places. That reasoning was right for a question still in flight and is wrong for one that has come back. What is asked for below is not any of the five questions asked again. It is the specific points the answers themselves left unsettled, and the person holding this schedule is now the only one who can settle them.</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Four smaller gaps stood beside them and were answered on 6 August, so this ask is shorter than it was that morning.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20"/>
      </w:pPr>
      <w:r>
        <w:rPr>
          <w:b/>
          <w:color w:val="1A1A1A"/>
          <w:sz w:val="36"/>
        </w:rPr>
        <w:t>EXT-8</w:t>
      </w:r>
    </w:p>
    <w:p>
      <w:pPr>
        <w:spacing w:after="120"/>
      </w:pPr>
      <w:r>
        <w:rPr>
          <w:b/>
          <w:color w:val="1A1A1A"/>
          <w:sz w:val="23"/>
        </w:rPr>
        <w:t>Three contradictions inside an answer that mostly worked</w:t>
      </w:r>
    </w:p>
    <w:p>
      <w:pPr>
        <w:spacing w:after="200"/>
        <w:pBdr>
          <w:bottom w:val="single" w:sz="6" w:space="6" w:color="999999"/>
        </w:pBdr>
      </w:pPr>
      <w:r>
        <w:rPr>
          <w:i/>
          <w:color w:val="5A5A5A"/>
          <w:sz w:val="19"/>
        </w:rPr>
        <w:t>Owner: Digital Records, COO     |     Closes the identifier half of E9-S2. Answered 6 August 2026 by Adebiyi Emmanuel Babatope, Chief Operating Officer, with Digital Records.</w:t>
      </w:r>
    </w:p>
    <w:p>
      <w:pPr>
        <w:spacing w:before="0" w:after="120"/>
      </w:pPr>
      <w:r>
        <w:rPr>
          <w:b/>
          <w:color w:val="1A1A1A"/>
          <w:sz w:val="20"/>
        </w:rPr>
        <w:t xml:space="preserve">This is a short note, not a document. Three sentences would close most of it. </w:t>
      </w:r>
      <w:r>
        <w:rPr>
          <w:b w:val="0"/>
          <w:color w:val="1A1A1A"/>
          <w:sz w:val="20"/>
        </w:rPr>
        <w:t>Four of the five EXT-8 questions came back settled: the fourteen professional categories with Estate Agent in scope, both case identifier formats, the move from SBR-SRV-BUY to SBR-SRV-TYPE, and the register split by identifier family. Four smaller gaps stood on this page on the morning of 6 August and were answered that afternoon; they are recorded under "Answered 6 August, not asked again" below so that nobody answers them twice. None of that is reopened here and none of it is asked again. What follows is the part that cannot be built as written, because the document says two different things in two places and engineering cannot pick one.</w:t>
      </w:r>
    </w:p>
    <w:p>
      <w:pPr>
        <w:spacing w:before="160" w:after="80"/>
      </w:pPr>
      <w:r>
        <w:rPr>
          <w:b/>
          <w:color w:val="1A1A1A"/>
          <w:sz w:val="23"/>
        </w:rPr>
        <w:t>The three that block</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SUR or SVR, for Surveyor as a record-type segment.</w:t>
            </w:r>
          </w:p>
          <w:p>
            <w:pPr>
              <w:spacing w:after="40" w:before="0"/>
            </w:pPr>
            <w:r>
              <w:rPr>
                <w:b w:val="0"/>
                <w:i/>
                <w:color w:val="5A5A5A"/>
                <w:sz w:val="17"/>
              </w:rPr>
              <w:t>Format: one sentence naming the segment value for Surveyor, and confirmation that Surulere keeps SUR in the location position. Question 5's answer says "Use SVR". Three other places in the same document say SUR is retained: question 5's own second sentence, the EXT-12 answer, and the collation sheet's EXT-8.5 row. One says change it, three say keep it.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Whether UUID really replaces NNN in the approved formats.</w:t>
            </w:r>
          </w:p>
          <w:p>
            <w:pPr>
              <w:spacing w:after="40" w:before="0"/>
            </w:pPr>
            <w:r>
              <w:rPr>
                <w:b w:val="0"/>
                <w:i/>
                <w:color w:val="5A5A5A"/>
                <w:sz w:val="17"/>
              </w:rPr>
              <w:t>Format: one sentence. Either UUID replaces NNN in all of them, in which case those formats need reprinting, or the printed formats stand and UUID applies to something narrower that has to be named. The scoping box and the EXT-12 answer both say UUID replaces the NNN at the end of the identifiers. Four identifier formats approved on the same pages all end in -NNN, and the approval of SBR-CASE-DD on the afternoon of 6 August makes it five. Neither corresponding collation row mentions UUID. This is not a detail: the stated reason is to ensure there is no collision, and NNN is not a random number. It is a per-prefix, per-day counter held in the database, so it cannot collide. If the concern was collision it is already handled. If the concern is something else, we should be told what, because the two answers lead to different builds.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SBR-ALD-LOCYYXX-NNN format.</w:t>
            </w:r>
          </w:p>
          <w:p>
            <w:pPr>
              <w:spacing w:after="40" w:before="0"/>
            </w:pPr>
            <w:r>
              <w:rPr>
                <w:b w:val="0"/>
                <w:i/>
                <w:color w:val="5A5A5A"/>
                <w:sz w:val="17"/>
              </w:rPr>
              <w:t>Format: the format written the way the other four are written, with separators, and one line saying what XX stands for. Allied Service Provider is introduced as the fourteenth category and its identifier is printed without separators, and XX is never defined anywhere in the document.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160" w:after="80"/>
      </w:pPr>
      <w:r>
        <w:rPr>
          <w:b/>
          <w:color w:val="1A1A1A"/>
          <w:sz w:val="23"/>
        </w:rPr>
        <w:t>And one instruction rather than a question</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Who runs the production-impact query, and when.</w:t>
            </w:r>
          </w:p>
          <w:p>
            <w:pPr>
              <w:spacing w:after="40" w:before="0"/>
            </w:pPr>
            <w:r>
              <w:rPr>
                <w:b w:val="0"/>
                <w:i/>
                <w:color w:val="5A5A5A"/>
                <w:sz w:val="17"/>
              </w:rPr>
              <w:t>Format: a name and a date, or grant the access. "Run the production-impact query before remediation" came back addressed to us. Nobody on this side has production database access, which is stated in the escalation the instruction is answering. The query itself is written and ready.</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200" w:after="80"/>
      </w:pPr>
      <w:r>
        <w:rPr>
          <w:b/>
          <w:color w:val="1A1A1A"/>
          <w:sz w:val="23"/>
        </w:rPr>
        <w:t>Answered 6 August, not asked again</w:t>
      </w:r>
    </w:p>
    <w:p>
      <w:pPr>
        <w:spacing w:before="0" w:after="120"/>
      </w:pPr>
      <w:r>
        <w:rPr>
          <w:b/>
          <w:color w:val="1A1A1A"/>
          <w:sz w:val="20"/>
        </w:rPr>
        <w:t xml:space="preserve">Do not answer any of these four. </w:t>
      </w:r>
      <w:r>
        <w:rPr>
          <w:b w:val="0"/>
          <w:color w:val="1A1A1A"/>
          <w:sz w:val="20"/>
        </w:rPr>
        <w:t>They stood on this page in the morning. Three were answered directly that afternoon and the fourth follows from one of the three, so none of them is a question any more. They are kept here because a schedule that quietly drops an item cannot show that it was ever settled.</w:t>
      </w:r>
    </w:p>
    <w:p>
      <w:pPr>
        <w:pStyle w:val="ListBullet"/>
        <w:spacing w:after="80"/>
        <w:ind w:left="397" w:hanging="198"/>
      </w:pPr>
      <w:r>
        <w:rPr>
          <w:b/>
          <w:color w:val="1A1A1A"/>
          <w:sz w:val="19"/>
        </w:rPr>
        <w:t>A building material seller is coded ALD</w:t>
      </w:r>
      <w:r>
        <w:rPr>
          <w:b w:val="0"/>
          <w:color w:val="1A1A1A"/>
          <w:sz w:val="19"/>
        </w:rPr>
        <w:t>, not SUP. That was the one real collision in the fourteen-category list. SUP Material Supplier stays in the list and now wants a description that does not read as the same business, which is a wording point for ID Standard Version 2 rather than a question for this note.</w:t>
      </w:r>
    </w:p>
    <w:p>
      <w:pPr>
        <w:pStyle w:val="ListBullet"/>
        <w:spacing w:after="80"/>
        <w:ind w:left="397" w:hanging="198"/>
      </w:pPr>
      <w:r>
        <w:rPr>
          <w:b/>
          <w:color w:val="1A1A1A"/>
          <w:sz w:val="19"/>
        </w:rPr>
        <w:t>The TYPE list is BUY, SEL, DD, PRO and PRT, and no others for now</w:t>
      </w:r>
      <w:r>
        <w:rPr>
          <w:b w:val="0"/>
          <w:color w:val="1A1A1A"/>
          <w:sz w:val="19"/>
        </w:rPr>
        <w:t>. A validator can reject a sixth value, which is exactly what it could not do while the list was introduced with the word "including". The words "for now" are taken at face value: the five live somewhere they can be extended without a schema change.</w:t>
      </w:r>
    </w:p>
    <w:p>
      <w:pPr>
        <w:pStyle w:val="ListBullet"/>
        <w:spacing w:after="80"/>
        <w:ind w:left="397" w:hanging="198"/>
      </w:pPr>
      <w:r>
        <w:rPr>
          <w:b/>
          <w:color w:val="1A1A1A"/>
          <w:sz w:val="19"/>
        </w:rPr>
        <w:t>SBR-CASE-DD is approved as a third case type</w:t>
      </w:r>
      <w:r>
        <w:rPr>
          <w:b w:val="0"/>
          <w:color w:val="1A1A1A"/>
          <w:sz w:val="19"/>
        </w:rPr>
        <w:t>. The identifiers this platform has already issued under it are valid rather than awaiting a disposition, and no remediation follows from it. It is the one answer of the three with a retrospective effect, and the effect is that nothing has to be undone. It also makes row 2 above slightly larger rather than smaller, because a third approved case format ends in -NNN.</w:t>
      </w:r>
    </w:p>
    <w:p>
      <w:pPr>
        <w:pStyle w:val="ListBullet"/>
        <w:spacing w:after="80"/>
        <w:ind w:left="397" w:hanging="198"/>
      </w:pPr>
      <w:r>
        <w:rPr>
          <w:b/>
          <w:color w:val="1A1A1A"/>
          <w:sz w:val="19"/>
        </w:rPr>
        <w:t>The fourth gap goes with the first</w:t>
      </w:r>
      <w:r>
        <w:rPr>
          <w:b w:val="0"/>
          <w:color w:val="1A1A1A"/>
          <w:sz w:val="19"/>
        </w:rPr>
        <w:t>. The source row is headed "the three uncoded trades" and names four, and the fourth is the building material seller. It is in scope, because it has just been given a code.</w:t>
      </w:r>
    </w:p>
    <w:p>
      <w:pPr>
        <w:spacing w:before="120" w:after="120"/>
      </w:pPr>
      <w:r>
        <w:rPr>
          <w:b/>
          <w:color w:val="1A1A1A"/>
          <w:sz w:val="20"/>
        </w:rPr>
        <w:t xml:space="preserve">These three answers carry no name and no role, </w:t>
      </w:r>
      <w:r>
        <w:rPr>
          <w:b w:val="0"/>
          <w:color w:val="1A1A1A"/>
          <w:sz w:val="20"/>
        </w:rPr>
        <w:t>which every other answer recorded against EXT-8 does. That is not a fourth question and it does not hold anything up, but a decision without a person on it is not a decision this record can cite later. One line closes it.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A name and a role against the three answers of 6 August.</w:t>
            </w:r>
          </w:p>
          <w:p>
            <w:pPr>
              <w:spacing w:after="40" w:before="0"/>
            </w:pPr>
            <w:r>
              <w:rPr>
                <w:b w:val="0"/>
                <w:i/>
                <w:color w:val="5A5A5A"/>
                <w:sz w:val="17"/>
              </w:rPr>
              <w:t>Format: one name and one role covering all three. They were relayed rather than returned in a document, so there is no file to cite and nobody named on them. This record has already objected once, at EXT-11, to an answer attributed to a department rather than to a person, on the ground that a department cannot approve anything, and the same standard applies to answers this project is pleased to receive.</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Surveyor as a record-type segment is [SUR / SVR] and Surulere keeps SUR in the location</w:t>
            </w:r>
          </w:p>
        </w:tc>
      </w:tr>
      <w:tr>
        <w:tc>
          <w:tcPr>
            <w:tcW w:type="dxa" w:w="9298"/>
            <w:shd w:val="clear" w:fill="F7F7F7"/>
          </w:tcPr>
          <w:p>
            <w:pPr>
              <w:spacing w:after="40" w:before="40"/>
            </w:pPr>
            <w:r/>
            <w:r>
              <w:rPr>
                <w:b w:val="0"/>
                <w:i/>
                <w:color w:val="1A1A1A"/>
                <w:sz w:val="19"/>
              </w:rPr>
              <w:t>segment: [yes/no]. UUID replaces NNN in all the approved formats / applies only to</w:t>
            </w:r>
          </w:p>
        </w:tc>
      </w:tr>
      <w:tr>
        <w:tc>
          <w:tcPr>
            <w:tcW w:type="dxa" w:w="9298"/>
            <w:shd w:val="clear" w:fill="F7F7F7"/>
          </w:tcPr>
          <w:p>
            <w:pPr>
              <w:spacing w:after="40" w:before="40"/>
            </w:pPr>
            <w:r/>
            <w:r>
              <w:rPr>
                <w:b w:val="0"/>
                <w:i/>
                <w:color w:val="1A1A1A"/>
                <w:sz w:val="19"/>
              </w:rPr>
              <w:t>[scope]. The ALD identifier format is [format], where XX means [meaning]. The</w:t>
            </w:r>
          </w:p>
        </w:tc>
      </w:tr>
      <w:tr>
        <w:tc>
          <w:tcPr>
            <w:tcW w:type="dxa" w:w="9298"/>
            <w:shd w:val="clear" w:fill="F7F7F7"/>
          </w:tcPr>
          <w:p>
            <w:pPr>
              <w:spacing w:after="40" w:before="40"/>
            </w:pPr>
            <w:r/>
            <w:r>
              <w:rPr>
                <w:b w:val="0"/>
                <w:i/>
                <w:color w:val="1A1A1A"/>
                <w:sz w:val="19"/>
              </w:rPr>
              <w:t>production-impact query will be run by [name] on [date]. The building material seller,</w:t>
            </w:r>
          </w:p>
        </w:tc>
      </w:tr>
      <w:tr>
        <w:tc>
          <w:tcPr>
            <w:tcW w:type="dxa" w:w="9298"/>
            <w:shd w:val="clear" w:fill="F7F7F7"/>
          </w:tcPr>
          <w:p>
            <w:pPr>
              <w:spacing w:after="40" w:before="40"/>
            </w:pPr>
            <w:r/>
            <w:r>
              <w:rPr>
                <w:b w:val="0"/>
                <w:i/>
                <w:color w:val="1A1A1A"/>
                <w:sz w:val="19"/>
              </w:rPr>
              <w:t>TYPE list and SBR-CASE-DD answers of 6 August were given by [name], role [role].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EXT-8 entry and the E9-S2 criteria in the outstanding backlog. The answer section in the escalation record. The delivery board and the build checklist. Nothing is encoded before ID Standard Version 2 is issued, which the EXT-12 answer sets for 13 August 2026.</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EXT-8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280" w:after="80"/>
      </w:pPr>
      <w:r>
        <w:rPr>
          <w:b/>
          <w:color w:val="1A1A1A"/>
          <w:sz w:val="23"/>
        </w:rPr>
        <w:t>One more thing about the returned copy, which is not a question</w:t>
      </w:r>
    </w:p>
    <w:p>
      <w:pPr>
        <w:spacing w:before="0" w:after="120"/>
      </w:pPr>
      <w:r>
        <w:rPr>
          <w:b w:val="0"/>
          <w:i w:val="0"/>
          <w:color w:val="1A1A1A"/>
          <w:sz w:val="20"/>
        </w:rPr>
        <w:t>The completed copy of ENG-DR-2026-08-06-01 differs from the copy that was dispatched in six places, and four of those changes rewrote the question text rather than the answer boxes. All four changed a quotation of Power of Attorney clause 5 from 10 per cent to 5 per cent. The signed instrument says 10 per cent.</w:t>
      </w:r>
    </w:p>
    <w:p>
      <w:pPr>
        <w:spacing w:before="0" w:after="120"/>
      </w:pPr>
      <w:r>
        <w:rPr>
          <w:b/>
          <w:color w:val="1A1A1A"/>
          <w:sz w:val="20"/>
        </w:rPr>
        <w:t xml:space="preserve">This is recorded rather than asked about, because it needs no decision. The copy we sent was accurate. </w:t>
      </w:r>
      <w:r>
        <w:rPr>
          <w:b w:val="0"/>
          <w:color w:val="1A1A1A"/>
          <w:sz w:val="20"/>
        </w:rPr>
        <w:t>One consequence does matter for the rate question above: the edited preamble now reads that 5 plus 5 is the Power of Attorney's 5% at source, which does not add up in either direction and cannot be used to settle anything. The dispatched wording is the one to read.</w:t>
      </w:r>
    </w:p>
    <w:p>
      <w:pPr>
        <w:spacing w:before="0" w:after="120"/>
      </w:pPr>
      <w:r>
        <w:rPr>
          <w:b w:val="0"/>
          <w:i w:val="0"/>
          <w:color w:val="1A1A1A"/>
          <w:sz w:val="20"/>
        </w:rPr>
        <w:t>The dispatched cover invited exactly this: "If you disagree with a fact stated here, say so in the box." Saying it in the box leaves both readings on the record. Editing the question leaves only one, and it is the one the instrument does not support.</w:t>
      </w: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EXT-8</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chief operating officer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