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Corne Labs. Two of the eleven items on this schedule, and nothing else is being asked of you.</w:t>
      </w:r>
    </w:p>
    <w:p>
      <w:pPr>
        <w:spacing w:before="40" w:after="120"/>
      </w:pPr>
      <w:r>
        <w:rPr>
          <w:b w:val="0"/>
          <w:i w:val="0"/>
          <w:color w:val="5A5A5A"/>
          <w:sz w:val="18"/>
        </w:rPr>
        <w:t>Reference ENG-CS-2026-08-06-01, Corne Labs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Corne Labs,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EXT-2</w:t>
            </w:r>
          </w:p>
        </w:tc>
        <w:tc>
          <w:tcPr>
            <w:tcW w:type="dxa" w:w="3175"/>
          </w:tcPr>
          <w:p>
            <w:pPr>
              <w:spacing w:after="40" w:before="40"/>
            </w:pPr>
            <w:r>
              <w:t>Object storage bucket, credentials and region</w:t>
            </w:r>
          </w:p>
        </w:tc>
        <w:tc>
          <w:tcPr>
            <w:tcW w:type="dxa" w:w="4025"/>
          </w:tcPr>
          <w:p>
            <w:pPr>
              <w:spacing w:after="40" w:before="40"/>
            </w:pPr>
            <w:r>
              <w:t>The client, or you. Only one of you answers it, not both.</w:t>
            </w:r>
          </w:p>
        </w:tc>
        <w:tc>
          <w:tcPr>
            <w:tcW w:type="dxa" w:w="1020"/>
          </w:tcPr>
          <w:p>
            <w:pPr>
              <w:spacing w:after="40" w:before="40"/>
            </w:pPr>
            <w:r>
              <w:t>Part A</w:t>
            </w:r>
          </w:p>
        </w:tc>
      </w:tr>
      <w:tr>
        <w:tc>
          <w:tcPr>
            <w:tcW w:type="dxa" w:w="1077"/>
          </w:tcPr>
          <w:p>
            <w:pPr>
              <w:spacing w:after="40" w:before="40"/>
            </w:pPr>
            <w:r>
              <w:t>EXT-6</w:t>
            </w:r>
          </w:p>
        </w:tc>
        <w:tc>
          <w:tcPr>
            <w:tcW w:type="dxa" w:w="3175"/>
          </w:tcPr>
          <w:p>
            <w:pPr>
              <w:spacing w:after="40" w:before="40"/>
            </w:pPr>
            <w:r>
              <w:t>Penetration test vendor and window</w:t>
            </w:r>
          </w:p>
        </w:tc>
        <w:tc>
          <w:tcPr>
            <w:tcW w:type="dxa" w:w="4025"/>
          </w:tcPr>
          <w:p>
            <w:pPr>
              <w:spacing w:after="40" w:before="40"/>
            </w:pPr>
            <w:r>
              <w:t>Nobody else. This one is yours alone.</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EXT-2 is the one item written as an either. It belongs to whichever of the client and Corne Labs holds the storage account. One of you answers it and the other does not need to.</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EXT-11 answered this on 6 August and the deferral is withdrawn. The internal policy governs and the closed list wins, so this is now a choice rather than a wait: a Nigerian region, which needs no instrument, or a non-Nigerian region, which cannot carry production data until an NDPC-approved Cross-Border Data Transfer Instrument or standard contractual clauses are executed. The ruling's own words: "Until executed and documented, no new production transfer should rely on general consent or 'reasonable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If the region is non-Nigerian, the executed transfer instrument.</w:t>
            </w:r>
          </w:p>
          <w:p>
            <w:pPr>
              <w:spacing w:after="40" w:before="0"/>
            </w:pPr>
            <w:r>
              <w:rPr>
                <w:b w:val="0"/>
                <w:i/>
                <w:color w:val="5A5A5A"/>
                <w:sz w:val="17"/>
              </w:rPr>
              <w:t>Format: the instrument's date, its parties, and which subprocessors it covers, or the date it is expected. No such executed instrument exists today, which means a non-Nigerian region answered without this row is an answer that cannot be acted 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That region is [Nigerian / not</w:t>
            </w:r>
          </w:p>
        </w:tc>
      </w:tr>
      <w:tr>
        <w:tc>
          <w:tcPr>
            <w:tcW w:type="dxa" w:w="9298"/>
            <w:shd w:val="clear" w:fill="F7F7F7"/>
          </w:tcPr>
          <w:p>
            <w:pPr>
              <w:spacing w:after="40" w:before="40"/>
            </w:pPr>
            <w:r/>
            <w:r>
              <w:rPr>
                <w:b w:val="0"/>
                <w:i/>
                <w:color w:val="1A1A1A"/>
                <w:sz w:val="19"/>
              </w:rPr>
              <w:t>Nigerian]. If not Nigerian, the cross-border transfer instrument is dated [date] between</w:t>
            </w:r>
          </w:p>
        </w:tc>
      </w:tr>
      <w:tr>
        <w:tc>
          <w:tcPr>
            <w:tcW w:type="dxa" w:w="9298"/>
            <w:shd w:val="clear" w:fill="F7F7F7"/>
          </w:tcPr>
          <w:p>
            <w:pPr>
              <w:spacing w:after="40" w:before="40"/>
            </w:pPr>
            <w:r/>
            <w:r>
              <w:rPr>
                <w:b w:val="0"/>
                <w:i/>
                <w:color w:val="1A1A1A"/>
                <w:sz w:val="19"/>
              </w:rPr>
              <w:t>[parties] and covers [subprocessors], or is expected [date]. Credentials were issued to</w:t>
            </w:r>
          </w:p>
        </w:tc>
      </w:tr>
      <w:tr>
        <w:tc>
          <w:tcPr>
            <w:tcW w:type="dxa" w:w="9298"/>
            <w:shd w:val="clear" w:fill="F7F7F7"/>
          </w:tcPr>
          <w:p>
            <w:pPr>
              <w:spacing w:after="40" w:before="40"/>
            </w:pPr>
            <w:r/>
            <w:r>
              <w:rPr>
                <w:b w:val="0"/>
                <w:i/>
                <w:color w:val="1A1A1A"/>
                <w:sz w:val="19"/>
              </w:rPr>
              <w:t>[name] on [date] by [channel], scoped to this bucket only. Public reads are denied at the</w:t>
            </w:r>
          </w:p>
        </w:tc>
      </w:tr>
      <w:tr>
        <w:tc>
          <w:tcPr>
            <w:tcW w:type="dxa" w:w="9298"/>
            <w:shd w:val="clear" w:fill="F7F7F7"/>
          </w:tcPr>
          <w:p>
            <w:pPr>
              <w:spacing w:after="40" w:before="40"/>
            </w:pPr>
            <w:r/>
            <w:r>
              <w:rPr>
                <w:b w:val="0"/>
                <w:i/>
                <w:color w:val="1A1A1A"/>
                <w:sz w:val="19"/>
              </w:rPr>
              <w:t>bucket policy: [yes/no], checked [date]. Object versioning is [on/off]. Lifecycle rules</w:t>
            </w:r>
          </w:p>
        </w:tc>
      </w:tr>
      <w:tr>
        <w:tc>
          <w:tcPr>
            <w:tcW w:type="dxa" w:w="9298"/>
            <w:shd w:val="clear" w:fill="F7F7F7"/>
          </w:tcPr>
          <w:p>
            <w:pPr>
              <w:spacing w:after="40" w:before="40"/>
            </w:pPr>
            <w:r/>
            <w:r>
              <w:rPr>
                <w:b w:val="0"/>
                <w:i/>
                <w:color w:val="1A1A1A"/>
                <w:sz w:val="19"/>
              </w:rPr>
              <w:t>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EXT-6</w:t>
      </w:r>
    </w:p>
    <w:p>
      <w:pPr>
        <w:spacing w:after="120"/>
      </w:pPr>
      <w:r>
        <w:rPr>
          <w:b/>
          <w:color w:val="1A1A1A"/>
          <w:sz w:val="23"/>
        </w:rPr>
        <w:t>Penetration test vendor and window</w:t>
      </w:r>
    </w:p>
    <w:p>
      <w:pPr>
        <w:spacing w:after="200"/>
        <w:pBdr>
          <w:bottom w:val="single" w:sz="6" w:space="6" w:color="999999"/>
        </w:pBdr>
      </w:pPr>
      <w:r>
        <w:rPr>
          <w:i/>
          <w:color w:val="5A5A5A"/>
          <w:sz w:val="19"/>
        </w:rPr>
        <w:t>Owner: Corne Labs     |     Closes E8-S3. Moves gate G5.</w:t>
      </w:r>
    </w:p>
    <w:p>
      <w:pPr>
        <w:spacing w:before="0" w:after="120"/>
      </w:pPr>
      <w:r>
        <w:rPr>
          <w:b/>
          <w:color w:val="1A1A1A"/>
          <w:sz w:val="20"/>
        </w:rPr>
        <w:t xml:space="preserve">This is the only item on this schedule with no upstream dependency. </w:t>
      </w:r>
      <w:r>
        <w:rPr>
          <w:b w:val="0"/>
          <w:color w:val="1A1A1A"/>
          <w:sz w:val="20"/>
        </w:rPr>
        <w:t>It waits on nothing and could be booked today. What is missing is the booking, not the test.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vendor, and a named contact there.</w:t>
            </w:r>
          </w:p>
          <w:p>
            <w:pPr>
              <w:spacing w:after="40" w:before="0"/>
            </w:pPr>
            <w:r>
              <w:rPr>
                <w:b w:val="0"/>
                <w:i/>
                <w:color w:val="5A5A5A"/>
                <w:sz w:val="17"/>
              </w:rPr>
              <w:t>Format: company name, contact name, email and phone.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Confirmation the scope of work names the four areas.</w:t>
            </w:r>
          </w:p>
          <w:p>
            <w:pPr>
              <w:spacing w:after="40" w:before="0"/>
            </w:pPr>
            <w:r>
              <w:rPr>
                <w:b w:val="0"/>
                <w:i/>
                <w:color w:val="5A5A5A"/>
                <w:sz w:val="17"/>
              </w:rPr>
              <w:t>Format: yes or no for each of authentication, authorization, payments and document handling, and confirm it explicitly includes the escrow payment path and the KYC document store.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Whether the engagement is black, grey or white box.</w:t>
            </w:r>
          </w:p>
          <w:p>
            <w:pPr>
              <w:spacing w:after="40" w:before="0"/>
            </w:pPr>
            <w:r>
              <w:rPr>
                <w:b w:val="0"/>
                <w:i/>
                <w:color w:val="5A5A5A"/>
                <w:sz w:val="17"/>
              </w:rPr>
              <w:t>Format: one of the three. If grey or white, say what access the testers are given.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environment to be tested.</w:t>
            </w:r>
          </w:p>
          <w:p>
            <w:pPr>
              <w:spacing w:after="40" w:before="0"/>
            </w:pPr>
            <w:r>
              <w:rPr>
                <w:b w:val="0"/>
                <w:i/>
                <w:color w:val="5A5A5A"/>
                <w:sz w:val="17"/>
              </w:rPr>
              <w:t>Format: name the environment. It must not be production with live customer data.</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test window.</w:t>
            </w:r>
          </w:p>
          <w:p>
            <w:pPr>
              <w:spacing w:after="40" w:before="0"/>
            </w:pPr>
            <w:r>
              <w:rPr>
                <w:b w:val="0"/>
                <w:i/>
                <w:color w:val="5A5A5A"/>
                <w:sz w:val="17"/>
              </w:rPr>
              <w:t>Format: start date and end date.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Rules of engagement.</w:t>
            </w:r>
          </w:p>
          <w:p>
            <w:pPr>
              <w:spacing w:after="40" w:before="0"/>
            </w:pPr>
            <w:r>
              <w:rPr>
                <w:b w:val="0"/>
                <w:i/>
                <w:color w:val="5A5A5A"/>
                <w:sz w:val="17"/>
              </w:rPr>
              <w:t>Format: attached, or summarised here. Must cover the seeded test data set, any out-of-hours constraint, and who to call when something breaks during the test.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date the report is due.</w:t>
            </w:r>
          </w:p>
          <w:p>
            <w:pPr>
              <w:spacing w:after="40" w:before="0"/>
            </w:pPr>
            <w:r>
              <w:rPr>
                <w:b w:val="0"/>
                <w:i/>
                <w:color w:val="5A5A5A"/>
                <w:sz w:val="17"/>
              </w:rPr>
              <w:t>Format: a date. The report must carry findings, severity ratings and reproduction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date the re-test letter is due.</w:t>
            </w:r>
          </w:p>
          <w:p>
            <w:pPr>
              <w:spacing w:after="40" w:before="0"/>
            </w:pPr>
            <w:r>
              <w:rPr>
                <w:b w:val="0"/>
                <w:i/>
                <w:color w:val="5A5A5A"/>
                <w:sz w:val="17"/>
              </w:rPr>
              <w:t>Format: a date. The re-test after remediation has to be a separate artifact. Gate G5 reads no high findings outstanding, and only an independent party can attest to that.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vendor is [company], contact [name, email, phone]. The window is [start] to [end],</w:t>
            </w:r>
          </w:p>
        </w:tc>
      </w:tr>
      <w:tr>
        <w:tc>
          <w:tcPr>
            <w:tcW w:type="dxa" w:w="9298"/>
            <w:shd w:val="clear" w:fill="F7F7F7"/>
          </w:tcPr>
          <w:p>
            <w:pPr>
              <w:spacing w:after="40" w:before="40"/>
            </w:pPr>
            <w:r/>
            <w:r>
              <w:rPr>
                <w:b w:val="0"/>
                <w:i/>
                <w:color w:val="1A1A1A"/>
                <w:sz w:val="19"/>
              </w:rPr>
              <w:t>against the [environment] environment, [black/grey/white] box. Scope covers</w:t>
            </w:r>
          </w:p>
        </w:tc>
      </w:tr>
      <w:tr>
        <w:tc>
          <w:tcPr>
            <w:tcW w:type="dxa" w:w="9298"/>
            <w:shd w:val="clear" w:fill="F7F7F7"/>
          </w:tcPr>
          <w:p>
            <w:pPr>
              <w:spacing w:after="40" w:before="40"/>
            </w:pPr>
            <w:r/>
            <w:r>
              <w:rPr>
                <w:b w:val="0"/>
                <w:i/>
                <w:color w:val="1A1A1A"/>
                <w:sz w:val="19"/>
              </w:rPr>
              <w:t>authentication, authorization, payments and document handling, including the escrow</w:t>
            </w:r>
          </w:p>
        </w:tc>
      </w:tr>
      <w:tr>
        <w:tc>
          <w:tcPr>
            <w:tcW w:type="dxa" w:w="9298"/>
            <w:shd w:val="clear" w:fill="F7F7F7"/>
          </w:tcPr>
          <w:p>
            <w:pPr>
              <w:spacing w:after="40" w:before="40"/>
            </w:pPr>
            <w:r/>
            <w:r>
              <w:rPr>
                <w:b w:val="0"/>
                <w:i/>
                <w:color w:val="1A1A1A"/>
                <w:sz w:val="19"/>
              </w:rPr>
              <w:t>payment path and the KYC document store. Rules of engagement are attached. The report</w:t>
            </w:r>
          </w:p>
        </w:tc>
      </w:tr>
      <w:tr>
        <w:tc>
          <w:tcPr>
            <w:tcW w:type="dxa" w:w="9298"/>
            <w:shd w:val="clear" w:fill="F7F7F7"/>
          </w:tcPr>
          <w:p>
            <w:pPr>
              <w:spacing w:after="40" w:before="40"/>
            </w:pPr>
            <w:r/>
            <w:r>
              <w:rPr>
                <w:b w:val="0"/>
                <w:i/>
                <w:color w:val="1A1A1A"/>
                <w:sz w:val="19"/>
              </w:rPr>
              <w:t>is due [date] and the re-test letter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EXT-6 row, the E8-S3 entry and the gate G5 note in the outstanding backlog. The delivery board and the build checklist. The report and the re-test letter are filed with the documentation when they arrive.</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EXT-6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EXT-6</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Corne Labs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