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 Revised a third time the same afternoon, still before dispatch: three of the four smaller gaps listed under EXT-8 were answered, and the fourth follows from one of the three, so item EXT-8 asks for three sentences and one instruction rather than for those and five more things. The count of items is unchanged at eleven and EXT-8 is still open, on exactly the three contradictions it was open on that morning. The answers are recorded inside the item rather than deleted from it.</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Data protection officer. One of the eleven items on this schedule, and nothing else is being asked of you.</w:t>
      </w:r>
    </w:p>
    <w:p>
      <w:pPr>
        <w:spacing w:before="40" w:after="120"/>
      </w:pPr>
      <w:r>
        <w:rPr>
          <w:b w:val="0"/>
          <w:i w:val="0"/>
          <w:color w:val="5A5A5A"/>
          <w:sz w:val="18"/>
        </w:rPr>
        <w:t>Reference ENG-CS-2026-08-06-01, data protection officer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the data protection officer,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EXT-5</w:t>
            </w:r>
          </w:p>
        </w:tc>
        <w:tc>
          <w:tcPr>
            <w:tcW w:type="dxa" w:w="3175"/>
          </w:tcPr>
          <w:p>
            <w:pPr>
              <w:spacing w:after="40" w:before="40"/>
            </w:pPr>
            <w:r>
              <w:t>Privacy notice, retention periods and an adopted policy</w:t>
            </w:r>
          </w:p>
        </w:tc>
        <w:tc>
          <w:tcPr>
            <w:tcW w:type="dxa" w:w="4025"/>
          </w:tcPr>
          <w:p>
            <w:pPr>
              <w:spacing w:after="40" w:before="40"/>
            </w:pPr>
            <w:r>
              <w:t>The client and the board, answering together with you.</w:t>
            </w:r>
          </w:p>
        </w:tc>
        <w:tc>
          <w:tcPr>
            <w:tcW w:type="dxa" w:w="1020"/>
          </w:tcPr>
          <w:p>
            <w:pPr>
              <w:spacing w:after="40" w:before="40"/>
            </w:pPr>
            <w:r>
              <w:t>Part A</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EXT-5</w:t>
      </w:r>
    </w:p>
    <w:p>
      <w:pPr>
        <w:spacing w:after="120"/>
      </w:pPr>
      <w:r>
        <w:rPr>
          <w:b/>
          <w:color w:val="1A1A1A"/>
          <w:sz w:val="23"/>
        </w:rPr>
        <w:t>Privacy notice, retention periods and an adopted policy</w:t>
      </w:r>
    </w:p>
    <w:p>
      <w:pPr>
        <w:spacing w:after="200"/>
        <w:pBdr>
          <w:bottom w:val="single" w:sz="6" w:space="6" w:color="999999"/>
        </w:pBdr>
      </w:pPr>
      <w:r>
        <w:rPr>
          <w:i/>
          <w:color w:val="5A5A5A"/>
          <w:sz w:val="19"/>
        </w:rPr>
        <w:t>Owner: Client, board, DPO     |     Closes E8-S1.</w:t>
      </w:r>
    </w:p>
    <w:p>
      <w:pPr>
        <w:spacing w:before="0" w:after="120"/>
      </w:pPr>
      <w:r>
        <w:rPr>
          <w:b/>
          <w:color w:val="1A1A1A"/>
          <w:sz w:val="20"/>
        </w:rPr>
        <w:t xml:space="preserve">Both policies are already with us and both are structurally complete, </w:t>
      </w:r>
      <w:r>
        <w:rPr>
          <w:b w:val="0"/>
          <w:color w:val="1A1A1A"/>
          <w:sz w:val="20"/>
        </w:rPr>
        <w:t>so this is not a request for documents that do not exist. It is a request for five things they do not contain. The largest is retention: neither document states a period, in days or years, for anything. The published policy says as long as is reasonably necessary, and the internal policy requires a record of processing activities to carry retention periods that it never supplies.</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date the board adopted the internal data protection policy, and the resolution reference.</w:t>
            </w:r>
          </w:p>
          <w:p>
            <w:pPr>
              <w:spacing w:after="40" w:before="0"/>
            </w:pPr>
            <w:r>
              <w:rPr>
                <w:b w:val="0"/>
                <w:i/>
                <w:color w:val="5A5A5A"/>
                <w:sz w:val="17"/>
              </w:rPr>
              <w:t>Format: date and resolution reference. The policy is currently headed SUBJECT TO BOARD APPROVAL. Confirm that line comes off in the adopted version.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Data Protection Officer.</w:t>
            </w:r>
          </w:p>
          <w:p>
            <w:pPr>
              <w:spacing w:after="40" w:before="0"/>
            </w:pPr>
            <w:r>
              <w:rPr>
                <w:b w:val="0"/>
                <w:i/>
                <w:color w:val="5A5A5A"/>
                <w:sz w:val="17"/>
              </w:rPr>
              <w:t>Format: full name, role, and a contact address. Section 8 creates the role and appoints nobody. Section 8 also makes the DPO the person who advises on impact assessments, so that part of the build cannot be validly signed off without one.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licensed Data Protection Compliance Organisation engaged under section 9.</w:t>
            </w:r>
          </w:p>
          <w:p>
            <w:pPr>
              <w:spacing w:after="40" w:before="0"/>
            </w:pPr>
            <w:r>
              <w:rPr>
                <w:b w:val="0"/>
                <w:i/>
                <w:color w:val="5A5A5A"/>
                <w:sz w:val="17"/>
              </w:rPr>
              <w:t>Format: name, licence number, engagement date. If none is engaged yet, write the date procurement starts. This has a lead time and nothing has started.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business operations commenced.</w:t>
            </w:r>
          </w:p>
          <w:p>
            <w:pPr>
              <w:spacing w:after="40" w:before="0"/>
            </w:pPr>
            <w:r>
              <w:rPr>
                <w:b w:val="0"/>
                <w:i/>
                <w:color w:val="5A5A5A"/>
                <w:sz w:val="17"/>
              </w:rPr>
              <w:t>Format: a single date. Section 10.1 sets the initial compliance audit at fifteen months from it. Nobody here has this date and the clock may already be running.</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Whether erasure means deletion or crypto-shredding where a record must be kept by law.</w:t>
            </w:r>
          </w:p>
          <w:p>
            <w:pPr>
              <w:spacing w:after="40" w:before="0"/>
            </w:pPr>
            <w:r>
              <w:rPr>
                <w:b w:val="0"/>
                <w:i/>
                <w:color w:val="5A5A5A"/>
                <w:sz w:val="17"/>
              </w:rPr>
              <w:t>Format: state which, per category if it differs. This decides what the erasure feature actually does to a record it is not allowed to destroy.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200" w:after="80"/>
      </w:pPr>
      <w:r>
        <w:rPr>
          <w:b/>
          <w:color w:val="1A1A1A"/>
          <w:sz w:val="23"/>
        </w:rPr>
        <w:t>6.   Retention periods. One number per category.</w:t>
      </w:r>
    </w:p>
    <w:p>
      <w:pPr>
        <w:spacing w:before="0" w:after="120"/>
      </w:pPr>
      <w:r>
        <w:rPr>
          <w:b w:val="0"/>
          <w:i w:val="0"/>
          <w:color w:val="5A5A5A"/>
          <w:sz w:val="19"/>
        </w:rPr>
        <w:t>This is the single largest gap. The build treats an unset period as a loud failure rather than a silent default, so a missing number blocks that category and only that category. Give a period and the legal or business reason behind it.</w:t>
      </w:r>
    </w:p>
    <w:tbl>
      <w:tblPr>
        <w:tblStyle w:val="TableGrid"/>
        <w:tblW w:type="auto" w:w="0"/>
        <w:tblLook w:firstColumn="1" w:firstRow="1" w:lastColumn="0" w:lastRow="0" w:noHBand="0" w:noVBand="1" w:val="04A0"/>
      </w:tblPr>
      <w:tblGrid>
        <w:gridCol w:w="3099"/>
        <w:gridCol w:w="3099"/>
        <w:gridCol w:w="3099"/>
      </w:tblGrid>
      <w:tr>
        <w:tc>
          <w:tcPr>
            <w:tcW w:type="dxa" w:w="3175"/>
            <w:shd w:val="clear" w:fill="EDEDED"/>
          </w:tcPr>
          <w:p>
            <w:pPr>
              <w:spacing w:after="40" w:before="40"/>
            </w:pPr>
            <w:r/>
            <w:r>
              <w:rPr>
                <w:b/>
                <w:i w:val="0"/>
                <w:color w:val="1A1A1A"/>
                <w:sz w:val="18"/>
              </w:rPr>
              <w:t>Category of data</w:t>
            </w:r>
          </w:p>
        </w:tc>
        <w:tc>
          <w:tcPr>
            <w:tcW w:type="dxa" w:w="2154"/>
            <w:shd w:val="clear" w:fill="EDEDED"/>
          </w:tcPr>
          <w:p>
            <w:pPr>
              <w:spacing w:after="40" w:before="40"/>
            </w:pPr>
            <w:r/>
            <w:r>
              <w:rPr>
                <w:b/>
                <w:i w:val="0"/>
                <w:color w:val="1A1A1A"/>
                <w:sz w:val="18"/>
              </w:rPr>
              <w:t>RETENTION PERIOD</w:t>
            </w:r>
          </w:p>
        </w:tc>
        <w:tc>
          <w:tcPr>
            <w:tcW w:type="dxa" w:w="3969"/>
            <w:shd w:val="clear" w:fill="EDEDED"/>
          </w:tcPr>
          <w:p>
            <w:pPr>
              <w:spacing w:after="40" w:before="40"/>
            </w:pPr>
            <w:r/>
            <w:r>
              <w:rPr>
                <w:b/>
                <w:i w:val="0"/>
                <w:color w:val="1A1A1A"/>
                <w:sz w:val="18"/>
              </w:rPr>
              <w:t>REASON, being a law, a regulator or a business need</w:t>
            </w:r>
          </w:p>
        </w:tc>
      </w:tr>
      <w:tr>
        <w:tc>
          <w:tcPr>
            <w:tcW w:type="dxa" w:w="3175"/>
          </w:tcPr>
          <w:p>
            <w:pPr>
              <w:spacing w:after="40" w:before="40"/>
            </w:pPr>
            <w:r/>
            <w:r>
              <w:rPr>
                <w:b/>
                <w:i w:val="0"/>
                <w:color w:val="1A1A1A"/>
                <w:sz w:val="18"/>
              </w:rPr>
              <w:t>KYC identity documents</w:t>
            </w:r>
          </w:p>
          <w:p>
            <w:pPr>
              <w:spacing w:after="40" w:before="0"/>
            </w:pPr>
            <w:r>
              <w:rPr>
                <w:b w:val="0"/>
                <w:i/>
                <w:color w:val="5A5A5A"/>
                <w:sz w:val="16"/>
              </w:rPr>
              <w:t>passport, driver's licence, national ID, utility bill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KYC selfie and liveness images</w:t>
            </w:r>
          </w:p>
          <w:p>
            <w:pPr>
              <w:spacing w:after="40" w:before="0"/>
            </w:pPr>
            <w:r>
              <w:rPr>
                <w:b w:val="0"/>
                <w:i/>
                <w:color w:val="5A5A5A"/>
                <w:sz w:val="16"/>
              </w:rPr>
              <w:t>biometric, and treated as sensitive</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Professional credentials</w:t>
            </w:r>
          </w:p>
          <w:p>
            <w:pPr>
              <w:spacing w:after="40" w:before="0"/>
            </w:pPr>
            <w:r>
              <w:rPr>
                <w:b w:val="0"/>
                <w:i/>
                <w:color w:val="5A5A5A"/>
                <w:sz w:val="16"/>
              </w:rPr>
              <w:t>agent and developer licences and certificates</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Transaction and payment records</w:t>
            </w:r>
          </w:p>
          <w:p>
            <w:pPr>
              <w:spacing w:after="40" w:before="0"/>
            </w:pPr>
            <w:r>
              <w:rPr>
                <w:b w:val="0"/>
                <w:i/>
                <w:color w:val="5A5A5A"/>
                <w:sz w:val="16"/>
              </w:rPr>
              <w:t>note any tax or company-law minimum</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Audit and access logs</w:t>
            </w:r>
          </w:p>
          <w:p>
            <w:pPr>
              <w:spacing w:after="40" w:before="0"/>
            </w:pPr>
            <w:r>
              <w:rPr>
                <w:b w:val="0"/>
                <w:i/>
                <w:color w:val="5A5A5A"/>
                <w:sz w:val="16"/>
              </w:rPr>
              <w:t>who read which document, and when</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Marketing consent records</w:t>
            </w:r>
          </w:p>
          <w:p>
            <w:pPr>
              <w:spacing w:after="40" w:before="0"/>
            </w:pPr>
            <w:r>
              <w:rPr>
                <w:b w:val="0"/>
                <w:i/>
                <w:color w:val="5A5A5A"/>
                <w:sz w:val="16"/>
              </w:rPr>
              <w:t>including proof of the consent itself</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Cookie and analytics data</w:t>
            </w:r>
          </w:p>
          <w:p>
            <w:pPr>
              <w:spacing w:after="40" w:before="0"/>
            </w:pPr>
            <w:r>
              <w:rPr>
                <w:b w:val="0"/>
                <w:i/>
                <w:color w:val="5A5A5A"/>
                <w:sz w:val="16"/>
              </w:rPr>
              <w:t>including anything held by a third-party analytics tool</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r>
        <w:tc>
          <w:tcPr>
            <w:tcW w:type="dxa" w:w="3175"/>
          </w:tcPr>
          <w:p>
            <w:pPr>
              <w:spacing w:after="40" w:before="40"/>
            </w:pPr>
            <w:r/>
            <w:r>
              <w:rPr>
                <w:b/>
                <w:i w:val="0"/>
                <w:color w:val="1A1A1A"/>
                <w:sz w:val="18"/>
              </w:rPr>
              <w:t>Account data after closure</w:t>
            </w:r>
          </w:p>
          <w:p>
            <w:pPr>
              <w:spacing w:after="40" w:before="0"/>
            </w:pPr>
            <w:r>
              <w:rPr>
                <w:b w:val="0"/>
                <w:i/>
                <w:color w:val="5A5A5A"/>
                <w:sz w:val="16"/>
              </w:rPr>
              <w:t>what survives an account being closed, and for how long</w:t>
            </w:r>
          </w:p>
        </w:tc>
        <w:tc>
          <w:tcPr>
            <w:tcW w:type="dxa" w:w="2154"/>
            <w:shd w:val="clear" w:fill="FFFDF2"/>
          </w:tcPr>
          <w:p>
            <w:pPr>
              <w:spacing w:after="40" w:before="40"/>
            </w:pPr>
            <w:r/>
            <w:r>
              <w:rPr>
                <w:b w:val="0"/>
                <w:i w:val="0"/>
                <w:color w:val="1A1A1A"/>
                <w:sz w:val="18"/>
              </w:rPr>
            </w:r>
          </w:p>
          <w:p>
            <w:pPr>
              <w:spacing w:after="40"/>
            </w:pPr>
          </w:p>
        </w:tc>
        <w:tc>
          <w:tcPr>
            <w:tcW w:type="dxa" w:w="3969"/>
            <w:shd w:val="clear" w:fill="FFFDF2"/>
          </w:tcPr>
          <w:p>
            <w:pPr>
              <w:spacing w:after="40" w:before="40"/>
            </w:pPr>
            <w:r/>
            <w:r>
              <w:rPr>
                <w:b w:val="0"/>
                <w:i w:val="0"/>
                <w:color w:val="1A1A1A"/>
                <w:sz w:val="18"/>
              </w:rPr>
            </w:r>
          </w:p>
          <w:p>
            <w:pPr>
              <w:spacing w:after="40"/>
            </w:pPr>
          </w:p>
        </w:tc>
      </w:tr>
    </w:tbl>
    <w:p>
      <w:pPr>
        <w:spacing w:after="40"/>
      </w:pPr>
    </w:p>
    <w:p>
      <w:pPr>
        <w:spacing w:before="0" w:after="160"/>
      </w:pPr>
      <w:r>
        <w:rPr>
          <w:b w:val="0"/>
          <w:i w:val="0"/>
          <w:color w:val="5A5A5A"/>
          <w:sz w:val="17"/>
        </w:rPr>
        <w:t>Write a period as a number and a unit: 7 years, 90 days, 24 months. "As long as necessary" cannot be encoded, which is why the policies as they stand cannot be implemented. If a category genuinely has no fixed period, write the event that ends it, for example "until the account is closed, then 90 days".</w:t>
      </w:r>
    </w:p>
    <w:p>
      <w:pPr>
        <w:spacing w:before="200" w:after="80"/>
      </w:pPr>
      <w:r>
        <w:rPr>
          <w:b/>
          <w:color w:val="1A1A1A"/>
          <w:sz w:val="23"/>
        </w:rPr>
        <w:t>Three more, added on 6 August after EXT-11 and EXT-8 came back</w:t>
      </w:r>
    </w:p>
    <w:p>
      <w:pPr>
        <w:spacing w:before="0" w:after="120"/>
      </w:pPr>
      <w:r>
        <w:rPr>
          <w:b w:val="0"/>
          <w:i w:val="0"/>
          <w:color w:val="5A5A5A"/>
          <w:sz w:val="19"/>
        </w:rPr>
        <w:t>They are numbered on from the six above, so a row number still means one thing across the whole of EXT-5.</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amended published Privacy Policy.</w:t>
            </w:r>
          </w:p>
          <w:p>
            <w:pPr>
              <w:spacing w:after="40" w:before="0"/>
            </w:pPr>
            <w:r>
              <w:rPr>
                <w:b w:val="0"/>
                <w:i/>
                <w:color w:val="5A5A5A"/>
                <w:sz w:val="17"/>
              </w:rPr>
              <w:t>Format: the amended file, or the date it is expected and who is drafting it. EXT-11's ruling: "Where the published Privacy Policy conflicts, it must be amended to match the stricter internal policy and governing law." Today the published policy says "reasonable steps" for cross-border transfer and the internal policy gives a closed list. That is the conflict, and the published document is the one that changes.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A copy of the General Application and Implementation Directive, 2025.</w:t>
            </w:r>
          </w:p>
          <w:p>
            <w:pPr>
              <w:spacing w:after="40" w:before="0"/>
            </w:pPr>
            <w:r>
              <w:rPr>
                <w:b w:val="0"/>
                <w:i/>
                <w:color w:val="5A5A5A"/>
                <w:sz w:val="17"/>
              </w:rPr>
              <w:t>Format: the file, a link, or the date it will be supplied. EXT-11 names GAID as governing alongside the NDPA and the internal policy. Nobody on this project has opened it, and it already reaches into scope: the internal policy requires a Standard Notice to Address Grievance as a GAID obligation, and nothing in the codebase implements one. E8-S1 is currently scoped against a directive we have not read.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9</w:t>
            </w:r>
          </w:p>
        </w:tc>
        <w:tc>
          <w:tcPr>
            <w:tcW w:type="dxa" w:w="5272"/>
          </w:tcPr>
          <w:p>
            <w:pPr>
              <w:spacing w:after="40" w:before="40"/>
            </w:pPr>
            <w:r/>
            <w:r>
              <w:rPr>
                <w:b w:val="0"/>
                <w:i w:val="0"/>
                <w:color w:val="1A1A1A"/>
                <w:sz w:val="19"/>
              </w:rPr>
              <w:t>Estate Agent and Allied Service Provider added to the category lists in both published documents.</w:t>
            </w:r>
          </w:p>
          <w:p>
            <w:pPr>
              <w:spacing w:after="40" w:before="0"/>
            </w:pPr>
            <w:r>
              <w:rPr>
                <w:b w:val="0"/>
                <w:i/>
                <w:color w:val="5A5A5A"/>
                <w:sz w:val="17"/>
              </w:rPr>
              <w:t>Format: the amended wording, or confirmation that counsel is making the change under EXT-4. EXT-8's answer puts Estate Agent in scope for the platform, the terms of service and the privacy policy, and makes Allied Service Provider a controlled fourteenth category covering plumbers, electricians, interior designers and building material sellers. The terms and the privacy policy each name nine professions in prose and neither names Estate Agent.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80"/>
      </w:pPr>
      <w:r>
        <w:rPr>
          <w:b w:val="0"/>
          <w:i w:val="0"/>
          <w:color w:val="5A5A5A"/>
          <w:sz w:val="18"/>
        </w:rPr>
        <w:t>The policy effective date is now on record and is not asked for. EXT-11 gives it as the official platform go-live date, which means nothing in either policy is in force today and all of it is in force the moment the platform is.</w:t>
      </w:r>
    </w:p>
    <w:p>
      <w:pPr>
        <w:spacing w:before="0" w:after="160"/>
      </w:pPr>
      <w:r>
        <w:rPr>
          <w:b w:val="0"/>
          <w:i w:val="0"/>
          <w:color w:val="5A5A5A"/>
          <w:sz w:val="18"/>
        </w:rPr>
        <w:t>The cross-border mechanism itself is settled and is not asked for again here. It is an NDPC-approved Cross-Border Data Transfer Instrument or standard contractual clauses, and the executed instrument is chased at EXT-2 row 4, where the region choice that needs it lives.</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board adopted the data protection policy on [date], resolution [reference]. The DPO</w:t>
            </w:r>
          </w:p>
        </w:tc>
      </w:tr>
      <w:tr>
        <w:tc>
          <w:tcPr>
            <w:tcW w:type="dxa" w:w="9298"/>
            <w:shd w:val="clear" w:fill="F7F7F7"/>
          </w:tcPr>
          <w:p>
            <w:pPr>
              <w:spacing w:after="40" w:before="40"/>
            </w:pPr>
            <w:r/>
            <w:r>
              <w:rPr>
                <w:b w:val="0"/>
                <w:i/>
                <w:color w:val="1A1A1A"/>
                <w:sz w:val="19"/>
              </w:rPr>
              <w:t>is [name, role, contact]. The DPCO engaged is [name], licence [number], engaged [date].</w:t>
            </w:r>
          </w:p>
        </w:tc>
      </w:tr>
      <w:tr>
        <w:tc>
          <w:tcPr>
            <w:tcW w:type="dxa" w:w="9298"/>
            <w:shd w:val="clear" w:fill="F7F7F7"/>
          </w:tcPr>
          <w:p>
            <w:pPr>
              <w:spacing w:after="40" w:before="40"/>
            </w:pPr>
            <w:r/>
            <w:r>
              <w:rPr>
                <w:b w:val="0"/>
                <w:i/>
                <w:color w:val="1A1A1A"/>
                <w:sz w:val="19"/>
              </w:rPr>
              <w:t>Business operations commenced on [date]. Erasure means [deletion / crypto-shredding]</w:t>
            </w:r>
          </w:p>
        </w:tc>
      </w:tr>
      <w:tr>
        <w:tc>
          <w:tcPr>
            <w:tcW w:type="dxa" w:w="9298"/>
            <w:shd w:val="clear" w:fill="F7F7F7"/>
          </w:tcPr>
          <w:p>
            <w:pPr>
              <w:spacing w:after="40" w:before="40"/>
            </w:pPr>
            <w:r/>
            <w:r>
              <w:rPr>
                <w:b w:val="0"/>
                <w:i/>
                <w:color w:val="1A1A1A"/>
                <w:sz w:val="19"/>
              </w:rPr>
              <w:t>where a record must be retained by law. Retention periods are in the table above. The</w:t>
            </w:r>
          </w:p>
        </w:tc>
      </w:tr>
      <w:tr>
        <w:tc>
          <w:tcPr>
            <w:tcW w:type="dxa" w:w="9298"/>
            <w:shd w:val="clear" w:fill="F7F7F7"/>
          </w:tcPr>
          <w:p>
            <w:pPr>
              <w:spacing w:after="40" w:before="40"/>
            </w:pPr>
            <w:r/>
            <w:r>
              <w:rPr>
                <w:b w:val="0"/>
                <w:i/>
                <w:color w:val="1A1A1A"/>
                <w:sz w:val="19"/>
              </w:rPr>
              <w:t>published Privacy Policy is being amended by [name], expected [date]. GAID 2025 is</w:t>
            </w:r>
          </w:p>
        </w:tc>
      </w:tr>
      <w:tr>
        <w:tc>
          <w:tcPr>
            <w:tcW w:type="dxa" w:w="9298"/>
            <w:shd w:val="clear" w:fill="F7F7F7"/>
          </w:tcPr>
          <w:p>
            <w:pPr>
              <w:spacing w:after="40" w:before="40"/>
            </w:pPr>
            <w:r/>
            <w:r>
              <w:rPr>
                <w:b w:val="0"/>
                <w:i/>
                <w:color w:val="1A1A1A"/>
                <w:sz w:val="19"/>
              </w:rPr>
              <w:t>attached / will be supplied on [date]. Estate Agent and Allied Service Provider are added</w:t>
            </w:r>
          </w:p>
        </w:tc>
      </w:tr>
      <w:tr>
        <w:tc>
          <w:tcPr>
            <w:tcW w:type="dxa" w:w="9298"/>
            <w:shd w:val="clear" w:fill="F7F7F7"/>
          </w:tcPr>
          <w:p>
            <w:pPr>
              <w:spacing w:after="40" w:before="40"/>
            </w:pPr>
            <w:r/>
            <w:r>
              <w:rPr>
                <w:b w:val="0"/>
                <w:i/>
                <w:color w:val="1A1A1A"/>
                <w:sz w:val="19"/>
              </w:rPr>
              <w:t>to the category lists by [name].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Replacement files in the inputs directory, including an amended privacy policy. The EXT-5 row and the E8-S1 entry in the outstanding backlog. A record of processing activities and a data protection impact assessment added to the documentation. The delivery board and the build checklist. GAID 2025 is filed with the inputs when it arrives.</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EXT-5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Four smaller gaps stood beside them and were answered on 6 August, so this ask is shorter than it was that morning.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EXT-5</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data protection officer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