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Finance. Two of the eleven items on this schedule, and nothing else is being asked of you.</w:t>
      </w:r>
    </w:p>
    <w:p>
      <w:pPr>
        <w:spacing w:before="40" w:after="120"/>
      </w:pPr>
      <w:r>
        <w:rPr>
          <w:b w:val="0"/>
          <w:i w:val="0"/>
          <w:color w:val="5A5A5A"/>
          <w:sz w:val="18"/>
        </w:rPr>
        <w:t>Reference ENG-CS-2026-08-06-01, finance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Finance,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EXT-1</w:t>
            </w:r>
          </w:p>
        </w:tc>
        <w:tc>
          <w:tcPr>
            <w:tcW w:type="dxa" w:w="3175"/>
          </w:tcPr>
          <w:p>
            <w:pPr>
              <w:spacing w:after="40" w:before="40"/>
            </w:pPr>
            <w:r>
              <w:t>Live payment credentials and a client-funds account</w:t>
            </w:r>
          </w:p>
        </w:tc>
        <w:tc>
          <w:tcPr>
            <w:tcW w:type="dxa" w:w="4025"/>
          </w:tcPr>
          <w:p>
            <w:pPr>
              <w:spacing w:after="40" w:before="40"/>
            </w:pPr>
            <w:r>
              <w:t>The client, answering together with you.</w:t>
            </w:r>
          </w:p>
        </w:tc>
        <w:tc>
          <w:tcPr>
            <w:tcW w:type="dxa" w:w="1020"/>
          </w:tcPr>
          <w:p>
            <w:pPr>
              <w:spacing w:after="40" w:before="40"/>
            </w:pPr>
            <w:r>
              <w:t>Part A</w:t>
            </w:r>
          </w:p>
        </w:tc>
      </w:tr>
      <w:tr>
        <w:tc>
          <w:tcPr>
            <w:tcW w:type="dxa" w:w="1077"/>
          </w:tcPr>
          <w:p>
            <w:pPr>
              <w:spacing w:after="40" w:before="40"/>
            </w:pPr>
            <w:r>
              <w:t>EXT-9</w:t>
            </w:r>
          </w:p>
        </w:tc>
        <w:tc>
          <w:tcPr>
            <w:tcW w:type="dxa" w:w="3175"/>
          </w:tcPr>
          <w:p>
            <w:pPr>
              <w:spacing w:after="40" w:before="40"/>
            </w:pPr>
            <w:r>
              <w:t>The commission rate. The structure is settled, the number is not</w:t>
            </w:r>
          </w:p>
        </w:tc>
        <w:tc>
          <w:tcPr>
            <w:tcW w:type="dxa" w:w="4025"/>
          </w:tcPr>
          <w:p>
            <w:pPr>
              <w:spacing w:after="40" w:before="40"/>
            </w:pPr>
            <w:r>
              <w:t>Nobody else. This one is yours alone.</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EXT-9</w:t>
      </w:r>
    </w:p>
    <w:p>
      <w:pPr>
        <w:spacing w:after="120"/>
      </w:pPr>
      <w:r>
        <w:rPr>
          <w:b/>
          <w:color w:val="1A1A1A"/>
          <w:sz w:val="23"/>
        </w:rPr>
        <w:t>The structure is settled and the number is not</w:t>
      </w:r>
    </w:p>
    <w:p>
      <w:pPr>
        <w:spacing w:after="200"/>
        <w:pBdr>
          <w:bottom w:val="single" w:sz="6" w:space="6" w:color="999999"/>
        </w:pBdr>
      </w:pPr>
      <w:r>
        <w:rPr>
          <w:i/>
          <w:color w:val="5A5A5A"/>
          <w:sz w:val="19"/>
        </w:rPr>
        <w:t>Owner: Finance     |     Closes the commission half of E9-S3, and rows 8 and 9 of EXT-4. Answered 6 August 2026 by Finance.</w:t>
      </w:r>
    </w:p>
    <w:p>
      <w:pPr>
        <w:spacing w:before="0" w:after="120"/>
      </w:pPr>
      <w:r>
        <w:rPr>
          <w:b/>
          <w:color w:val="1A1A1A"/>
          <w:sz w:val="20"/>
        </w:rPr>
        <w:t xml:space="preserve">Two of the three questions closed and are not reopened. </w:t>
      </w:r>
      <w:r>
        <w:rPr>
          <w:b w:val="0"/>
          <w:color w:val="1A1A1A"/>
          <w:sz w:val="20"/>
        </w:rPr>
        <w:t>Commission is two-sided, charged to both parties. The buyer's share is collected from the buyer and must not be withheld from the seller's proceeds. Both are clear and both are implementable.</w:t>
      </w:r>
    </w:p>
    <w:p>
      <w:pPr>
        <w:spacing w:before="0" w:after="120"/>
      </w:pPr>
      <w:r>
        <w:rPr>
          <w:b/>
          <w:color w:val="1A1A1A"/>
          <w:sz w:val="20"/>
        </w:rPr>
        <w:t xml:space="preserve">The rate is given twice in the same document, at two different numbers. </w:t>
      </w:r>
      <w:r>
        <w:rPr>
          <w:b w:val="0"/>
          <w:color w:val="1A1A1A"/>
          <w:sz w:val="20"/>
        </w:rPr>
        <w:t>On a NGN 50,000,000 sale that is NGN 2,500,000 per side against NGN 5,000,000 per side. It is not a rounding difference and it is not something engineering can pick.</w:t>
      </w:r>
    </w:p>
    <w:tbl>
      <w:tblPr>
        <w:tblStyle w:val="TableGrid"/>
        <w:tblW w:type="auto" w:w="0"/>
        <w:jc w:val="left"/>
        <w:tblLook w:firstColumn="1" w:firstRow="1" w:lastColumn="0" w:lastRow="0" w:noHBand="0" w:noVBand="1" w:val="04A0"/>
      </w:tblPr>
      <w:tblGrid>
        <w:gridCol w:w="3099"/>
        <w:gridCol w:w="3099"/>
        <w:gridCol w:w="3099"/>
      </w:tblGrid>
      <w:tr>
        <w:tc>
          <w:tcPr>
            <w:tcW w:type="dxa" w:w="2948"/>
            <w:shd w:val="clear" w:fill="EDEDED"/>
          </w:tcPr>
          <w:p>
            <w:pPr>
              <w:spacing w:after="40" w:before="40"/>
            </w:pPr>
            <w:r/>
            <w:r>
              <w:rPr>
                <w:b/>
                <w:i w:val="0"/>
                <w:color w:val="1A1A1A"/>
                <w:sz w:val="19"/>
              </w:rPr>
              <w:t>Where in the document</w:t>
            </w:r>
          </w:p>
        </w:tc>
        <w:tc>
          <w:tcPr>
            <w:tcW w:type="dxa" w:w="3175"/>
            <w:shd w:val="clear" w:fill="EDEDED"/>
          </w:tcPr>
          <w:p>
            <w:pPr>
              <w:spacing w:after="40" w:before="40"/>
            </w:pPr>
            <w:r/>
            <w:r>
              <w:rPr>
                <w:b/>
                <w:i w:val="0"/>
                <w:color w:val="1A1A1A"/>
                <w:sz w:val="19"/>
              </w:rPr>
              <w:t>Question 1</w:t>
            </w:r>
          </w:p>
        </w:tc>
        <w:tc>
          <w:tcPr>
            <w:tcW w:type="dxa" w:w="3175"/>
            <w:shd w:val="clear" w:fill="EDEDED"/>
          </w:tcPr>
          <w:p>
            <w:pPr>
              <w:spacing w:after="40" w:before="40"/>
            </w:pPr>
            <w:r/>
            <w:r>
              <w:rPr>
                <w:b/>
                <w:i w:val="0"/>
                <w:color w:val="1A1A1A"/>
                <w:sz w:val="19"/>
              </w:rPr>
              <w:t>Question 3</w:t>
            </w:r>
          </w:p>
        </w:tc>
      </w:tr>
      <w:tr>
        <w:tc>
          <w:tcPr>
            <w:tcW w:type="dxa" w:w="2948"/>
          </w:tcPr>
          <w:p>
            <w:pPr>
              <w:spacing w:after="40" w:before="40"/>
            </w:pPr>
            <w:r/>
            <w:r>
              <w:rPr>
                <w:b w:val="0"/>
                <w:i w:val="0"/>
                <w:color w:val="1A1A1A"/>
                <w:sz w:val="19"/>
              </w:rPr>
              <w:t>Response box</w:t>
            </w:r>
          </w:p>
        </w:tc>
        <w:tc>
          <w:tcPr>
            <w:tcW w:type="dxa" w:w="3175"/>
          </w:tcPr>
          <w:p>
            <w:pPr>
              <w:spacing w:after="40" w:before="40"/>
            </w:pPr>
            <w:r/>
            <w:r>
              <w:rPr>
                <w:b w:val="0"/>
                <w:i w:val="0"/>
                <w:color w:val="1A1A1A"/>
                <w:sz w:val="19"/>
              </w:rPr>
              <w:t>"5% to the seller and 5% to the buyer"</w:t>
            </w:r>
          </w:p>
        </w:tc>
        <w:tc>
          <w:tcPr>
            <w:tcW w:type="dxa" w:w="3175"/>
          </w:tcPr>
          <w:p>
            <w:pPr>
              <w:spacing w:after="40" w:before="40"/>
            </w:pPr>
            <w:r/>
            <w:r>
              <w:rPr>
                <w:b w:val="0"/>
                <w:i w:val="0"/>
                <w:color w:val="1A1A1A"/>
                <w:sz w:val="19"/>
              </w:rPr>
              <w:t>"5% is the standard rate for each party"</w:t>
            </w:r>
          </w:p>
        </w:tc>
      </w:tr>
      <w:tr>
        <w:tc>
          <w:tcPr>
            <w:tcW w:type="dxa" w:w="2948"/>
          </w:tcPr>
          <w:p>
            <w:pPr>
              <w:spacing w:after="40" w:before="40"/>
            </w:pPr>
            <w:r/>
            <w:r>
              <w:rPr>
                <w:b w:val="0"/>
                <w:i w:val="0"/>
                <w:color w:val="1A1A1A"/>
                <w:sz w:val="19"/>
              </w:rPr>
              <w:t>Collation sheet, same questions</w:t>
            </w:r>
          </w:p>
        </w:tc>
        <w:tc>
          <w:tcPr>
            <w:tcW w:type="dxa" w:w="3175"/>
          </w:tcPr>
          <w:p>
            <w:pPr>
              <w:spacing w:after="40" w:before="40"/>
            </w:pPr>
            <w:r/>
            <w:r>
              <w:rPr>
                <w:b w:val="0"/>
                <w:i w:val="0"/>
                <w:color w:val="1A1A1A"/>
                <w:sz w:val="19"/>
              </w:rPr>
              <w:t>"Two-sided: 10% seller and 10% buyer"</w:t>
            </w:r>
          </w:p>
        </w:tc>
        <w:tc>
          <w:tcPr>
            <w:tcW w:type="dxa" w:w="3175"/>
          </w:tcPr>
          <w:p>
            <w:pPr>
              <w:spacing w:after="40" w:before="40"/>
            </w:pPr>
            <w:r/>
            <w:r>
              <w:rPr>
                <w:b w:val="0"/>
                <w:i w:val="0"/>
                <w:color w:val="1A1A1A"/>
                <w:sz w:val="19"/>
              </w:rPr>
              <w:t>"10% standard; editable by authorised user"</w:t>
            </w:r>
          </w:p>
        </w:tc>
      </w:tr>
    </w:tbl>
    <w:p>
      <w:pPr>
        <w:spacing w:after="40"/>
      </w:pPr>
    </w:p>
    <w:p>
      <w:pPr>
        <w:spacing w:before="0" w:after="120"/>
      </w:pPr>
      <w:r>
        <w:rPr>
          <w:b/>
          <w:color w:val="1A1A1A"/>
          <w:sz w:val="20"/>
        </w:rPr>
        <w:t xml:space="preserve">What the signed instrument says, offered so this can be confirmed in one line rather than re-derived. </w:t>
      </w:r>
      <w:r>
        <w:rPr>
          <w:b w:val="0"/>
          <w:color w:val="1A1A1A"/>
          <w:sz w:val="20"/>
        </w:rPr>
        <w:t>Clause 5 of the seller Power of Attorney authorises the donee to deduct from source 10% brokerage and commission. 5 plus 5 comes to exactly that 10 per cent. 10 plus 10 comes to twice it. That is an observation about arithmetic, not us choosing the rate.</w:t>
      </w:r>
    </w:p>
    <w:p>
      <w:pPr>
        <w:spacing w:before="0" w:after="80"/>
      </w:pPr>
      <w:r>
        <w:rPr>
          <w:b w:val="0"/>
          <w:i w:val="0"/>
          <w:color w:val="1A1A1A"/>
          <w:sz w:val="20"/>
        </w:rPr>
        <w:t>Two things to note about it. The clause authorises deduction from the seller, so even at 5 plus 5 the buyer's half has no authority in that instrument and needs a buyer-facing one, which is EXT-4 row 8. And terms of service section 5(a) promises a minimum 5 per cent from each side, which the response box matches and the collation sheet does not.</w:t>
      </w:r>
    </w:p>
    <w:p>
      <w:pPr>
        <w:spacing w:before="0" w:after="160"/>
      </w:pPr>
      <w:r>
        <w:rPr>
          <w:b w:val="0"/>
          <w:i w:val="0"/>
          <w:color w:val="1A1A1A"/>
          <w:sz w:val="20"/>
        </w:rPr>
        <w:t>What the platform does today, so the size of the change is visible either way: one rate is set at 5 per cent in the escrow constants and applied once, to the seller side only. A buyer-side charge does not exist yet at any rate.</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rate per side.</w:t>
            </w:r>
          </w:p>
          <w:p>
            <w:pPr>
              <w:spacing w:after="40" w:before="0"/>
            </w:pPr>
            <w:r>
              <w:rPr>
                <w:b w:val="0"/>
                <w:i/>
                <w:color w:val="5A5A5A"/>
                <w:sz w:val="17"/>
              </w:rPr>
              <w:t>Format: one number, and confirmation it is per side rather than combined.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"authorised users" means.</w:t>
            </w:r>
          </w:p>
          <w:p>
            <w:pPr>
              <w:spacing w:after="40" w:before="0"/>
            </w:pPr>
            <w:r>
              <w:rPr>
                <w:b w:val="0"/>
                <w:i/>
                <w:color w:val="5A5A5A"/>
                <w:sz w:val="17"/>
              </w:rPr>
              <w:t>Format: the role or roles, and whether a second approval is required. Question 3 says the application must allow authorised users to edit the commission rate for an approved transaction-specific variation. A per-transaction rate override moves money, so it ships behind a flag that is off until Finance, Legal and technical sign-off, and the flag is named in the pull request that adds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a variation is capped.</w:t>
            </w:r>
          </w:p>
          <w:p>
            <w:pPr>
              <w:spacing w:after="40" w:before="0"/>
            </w:pPr>
            <w:r>
              <w:rPr>
                <w:b w:val="0"/>
                <w:i/>
                <w:color w:val="5A5A5A"/>
                <w:sz w:val="17"/>
              </w:rPr>
              <w:t>Format: a floor and a ceiling, or "no cap". Without one, an editable rate is an editable rate all the way to zero.</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Commission is [number] per cent per side, charged to both the buyer and the seller.</w:t>
            </w:r>
          </w:p>
        </w:tc>
      </w:tr>
      <w:tr>
        <w:tc>
          <w:tcPr>
            <w:tcW w:type="dxa" w:w="9298"/>
            <w:shd w:val="clear" w:fill="F7F7F7"/>
          </w:tcPr>
          <w:p>
            <w:pPr>
              <w:spacing w:after="40" w:before="40"/>
            </w:pPr>
            <w:r/>
            <w:r>
              <w:rPr>
                <w:b w:val="0"/>
                <w:i/>
                <w:color w:val="1A1A1A"/>
                <w:sz w:val="19"/>
              </w:rPr>
              <w:t>Authorised users for a transaction-specific variation are [roles], and a variation does /</w:t>
            </w:r>
          </w:p>
        </w:tc>
      </w:tr>
      <w:tr>
        <w:tc>
          <w:tcPr>
            <w:tcW w:type="dxa" w:w="9298"/>
            <w:shd w:val="clear" w:fill="F7F7F7"/>
          </w:tcPr>
          <w:p>
            <w:pPr>
              <w:spacing w:after="40" w:before="40"/>
            </w:pPr>
            <w:r/>
            <w:r>
              <w:rPr>
                <w:b w:val="0"/>
                <w:i/>
                <w:color w:val="1A1A1A"/>
                <w:sz w:val="19"/>
              </w:rPr>
              <w:t>does not require a second approval. A varied rate must stay between [floor] and [ceiling]</w:t>
            </w:r>
          </w:p>
        </w:tc>
      </w:tr>
      <w:tr>
        <w:tc>
          <w:tcPr>
            <w:tcW w:type="dxa" w:w="9298"/>
            <w:shd w:val="clear" w:fill="F7F7F7"/>
          </w:tcPr>
          <w:p>
            <w:pPr>
              <w:spacing w:after="40" w:before="40"/>
            </w:pPr>
            <w:r/>
            <w:r>
              <w:rPr>
                <w:b w:val="0"/>
                <w:i/>
                <w:color w:val="1A1A1A"/>
                <w:sz w:val="19"/>
              </w:rPr>
              <w:t>per cent, or: no cap.</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EXT-9 entry and the E9-S3 entry in the outstanding backlog. The answer section in the escalation record. Section 4 and Appendix C of the financial governance specification. The delivery board and the build checklist. The rate itself lands in the escrow constants when E9-S3 is built, not before.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EXT-9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EXT-9</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finance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