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44337E40" w:rsidR="00002FAF" w:rsidRDefault="00705AB1" w:rsidP="00002FAF">
      <w:pPr>
        <w:pStyle w:val="Title"/>
        <w:framePr w:w="0" w:hSpace="0" w:vSpace="0" w:wrap="auto" w:vAnchor="margin" w:hAnchor="text" w:xAlign="left" w:yAlign="inline"/>
      </w:pPr>
      <w:r>
        <w:t xml:space="preserve">Automated Expression Cassette </w:t>
      </w:r>
      <w:r w:rsidR="00002FAF">
        <w:t>(2021)</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9488E0C" w:rsidR="00732E46" w:rsidRDefault="00705AB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Josh Jackson</w:t>
      </w:r>
      <w:r w:rsidR="000F2C11">
        <w:rPr>
          <w:color w:val="000000"/>
          <w:sz w:val="22"/>
          <w:szCs w:val="22"/>
        </w:rPr>
        <w:t xml:space="preserve">, </w:t>
      </w:r>
      <w:r>
        <w:rPr>
          <w:i/>
          <w:color w:val="000000"/>
          <w:sz w:val="22"/>
          <w:szCs w:val="22"/>
        </w:rPr>
        <w:t>MS. Student Biomedical Engineering</w:t>
      </w:r>
      <w:r w:rsidR="000F2C11">
        <w:rPr>
          <w:i/>
          <w:color w:val="000000"/>
          <w:sz w:val="22"/>
          <w:szCs w:val="22"/>
        </w:rPr>
        <w:t>,</w:t>
      </w:r>
      <w:r>
        <w:rPr>
          <w:i/>
          <w:color w:val="000000"/>
          <w:sz w:val="22"/>
          <w:szCs w:val="22"/>
        </w:rPr>
        <w:t xml:space="preserve"> CS </w:t>
      </w:r>
      <w:r w:rsidR="00537C3F">
        <w:rPr>
          <w:i/>
          <w:color w:val="000000"/>
          <w:sz w:val="22"/>
          <w:szCs w:val="22"/>
        </w:rPr>
        <w:t>6760-001</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1D98F149" w14:textId="41530F45" w:rsidR="00537C3F" w:rsidRPr="00537C3F" w:rsidRDefault="00537C3F" w:rsidP="00537C3F">
      <w:pPr>
        <w:pBdr>
          <w:top w:val="nil"/>
          <w:left w:val="nil"/>
          <w:bottom w:val="nil"/>
          <w:right w:val="nil"/>
          <w:between w:val="nil"/>
        </w:pBdr>
        <w:spacing w:before="20"/>
        <w:ind w:firstLine="202"/>
        <w:jc w:val="both"/>
        <w:rPr>
          <w:b/>
          <w:sz w:val="18"/>
          <w:szCs w:val="18"/>
          <w:lang w:val="en"/>
        </w:rPr>
      </w:pPr>
      <w:r w:rsidRPr="00537C3F">
        <w:rPr>
          <w:b/>
          <w:sz w:val="18"/>
          <w:szCs w:val="18"/>
          <w:lang w:val="en"/>
        </w:rPr>
        <w:t xml:space="preserve">DNA assembly is the primary way in which </w:t>
      </w:r>
      <w:r w:rsidRPr="00537C3F">
        <w:rPr>
          <w:b/>
          <w:i/>
          <w:sz w:val="18"/>
          <w:szCs w:val="18"/>
          <w:lang w:val="en"/>
        </w:rPr>
        <w:t>in silico</w:t>
      </w:r>
      <w:r w:rsidRPr="00537C3F">
        <w:rPr>
          <w:b/>
          <w:sz w:val="18"/>
          <w:szCs w:val="18"/>
          <w:lang w:val="en"/>
        </w:rPr>
        <w:t xml:space="preserve"> synthetic biology is then proved </w:t>
      </w:r>
      <w:r w:rsidRPr="00537C3F">
        <w:rPr>
          <w:b/>
          <w:i/>
          <w:sz w:val="18"/>
          <w:szCs w:val="18"/>
          <w:lang w:val="en"/>
        </w:rPr>
        <w:t xml:space="preserve">in vivo.  </w:t>
      </w:r>
      <w:r w:rsidRPr="00537C3F">
        <w:rPr>
          <w:b/>
          <w:sz w:val="18"/>
          <w:szCs w:val="18"/>
          <w:lang w:val="en"/>
        </w:rPr>
        <w:t xml:space="preserve">Several applications exist for visually manipulating plasmids in order to construct expression cassettes of interest. </w:t>
      </w:r>
      <w:r w:rsidR="00C51B4B">
        <w:rPr>
          <w:b/>
          <w:sz w:val="18"/>
          <w:szCs w:val="18"/>
          <w:lang w:val="en"/>
        </w:rPr>
        <w:t xml:space="preserve">This software is intended to automate that process.  It supports the selection of regions of interest and expression vectors from </w:t>
      </w:r>
      <w:r w:rsidRPr="00537C3F">
        <w:rPr>
          <w:b/>
          <w:sz w:val="18"/>
          <w:szCs w:val="18"/>
          <w:lang w:val="en"/>
        </w:rPr>
        <w:t xml:space="preserve">While there have been attempts to automate the process, the generally accepted methods involve a human doing the design and manipulation work which are not cost effective with regards to researchers time which is usually also the most </w:t>
      </w:r>
      <w:r w:rsidRPr="00537C3F">
        <w:rPr>
          <w:b/>
          <w:sz w:val="18"/>
          <w:szCs w:val="18"/>
          <w:lang w:val="en"/>
        </w:rPr>
        <w:t>monetarily</w:t>
      </w:r>
      <w:r w:rsidRPr="00537C3F">
        <w:rPr>
          <w:b/>
          <w:sz w:val="18"/>
          <w:szCs w:val="18"/>
          <w:lang w:val="en"/>
        </w:rPr>
        <w:t xml:space="preserve"> expensive part</w:t>
      </w:r>
      <w:r>
        <w:rPr>
          <w:b/>
          <w:sz w:val="18"/>
          <w:szCs w:val="18"/>
          <w:lang w:val="en"/>
        </w:rPr>
        <w:t>.</w:t>
      </w:r>
      <w:r w:rsidRPr="00537C3F">
        <w:rPr>
          <w:rFonts w:ascii="Arial" w:eastAsia="Arial" w:hAnsi="Arial" w:cs="Arial"/>
          <w:sz w:val="22"/>
          <w:szCs w:val="22"/>
          <w:lang w:val="en"/>
        </w:rPr>
        <w:t xml:space="preserve"> </w:t>
      </w:r>
      <w:r w:rsidRPr="00537C3F">
        <w:rPr>
          <w:b/>
          <w:sz w:val="18"/>
          <w:szCs w:val="18"/>
          <w:lang w:val="en"/>
        </w:rPr>
        <w:t>While Graphical User Interfaces (GUI’s) are often useful, there are times when a simple input output approach is favored.  This project aims to create a method both simpler in design (command line) and faster to use in generating expression cassettes for testing genetic circuits.  Additionally, the calculation of ligation efficiencies and scoring of multiple step processes against single step processes we believe to be unique.</w:t>
      </w:r>
    </w:p>
    <w:p w14:paraId="1B643D01" w14:textId="77777777" w:rsidR="00732E46" w:rsidRDefault="00732E46"/>
    <w:p w14:paraId="5D351EFE" w14:textId="29794496"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w:t>
      </w:r>
      <w:r w:rsidR="00537C3F">
        <w:rPr>
          <w:b/>
          <w:color w:val="000000"/>
          <w:sz w:val="18"/>
          <w:szCs w:val="18"/>
        </w:rPr>
        <w:t xml:space="preserve"> Restriction Cloning, Automation, </w:t>
      </w:r>
      <w:proofErr w:type="spellStart"/>
      <w:r w:rsidR="00537C3F">
        <w:rPr>
          <w:b/>
        </w:rPr>
        <w:t>BioBrick</w:t>
      </w:r>
      <w:proofErr w:type="spellEnd"/>
      <w:r w:rsidR="00537C3F">
        <w:rPr>
          <w:b/>
        </w:rPr>
        <w:t>™</w:t>
      </w:r>
      <w:r w:rsidR="00537C3F">
        <w:rPr>
          <w:b/>
        </w:rPr>
        <w:t>,</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4B60E532" w:rsidR="004063A4" w:rsidRPr="004063A4" w:rsidRDefault="0079224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R</w:t>
      </w:r>
    </w:p>
    <w:p w14:paraId="77BB775E" w14:textId="0B00F4DA" w:rsidR="002C72DF" w:rsidRDefault="00792243" w:rsidP="00A853F3">
      <w:pPr>
        <w:widowControl w:val="0"/>
        <w:pBdr>
          <w:top w:val="nil"/>
          <w:left w:val="nil"/>
          <w:bottom w:val="nil"/>
          <w:right w:val="nil"/>
          <w:between w:val="nil"/>
        </w:pBdr>
        <w:spacing w:line="252" w:lineRule="auto"/>
        <w:jc w:val="both"/>
      </w:pPr>
      <w:r>
        <w:rPr>
          <w:smallCaps/>
          <w:color w:val="000000"/>
        </w:rPr>
        <w:t>ecombinant</w:t>
      </w:r>
      <w:r w:rsidR="000F2C11">
        <w:rPr>
          <w:color w:val="000000"/>
        </w:rPr>
        <w:t xml:space="preserve"> </w:t>
      </w:r>
      <w:r>
        <w:rPr>
          <w:color w:val="000000"/>
        </w:rPr>
        <w:t xml:space="preserve">DNA technology appeared in the late 1960’s, and in 1978 the Nobel Prize in </w:t>
      </w:r>
      <w:r w:rsidR="002C72DF">
        <w:rPr>
          <w:color w:val="000000"/>
        </w:rPr>
        <w:t xml:space="preserve">Physiology or Medicine was given to Werner Arber, Daniel Nathans and Hamilton O. Smith for using restriction Endonucleases to map the Simian Virus 40.  Since that time the technology has </w:t>
      </w:r>
    </w:p>
    <w:sdt>
      <w:sdtPr>
        <w:id w:val="1779139297"/>
        <w:docPartObj>
          <w:docPartGallery w:val="Bibliographies"/>
          <w:docPartUnique/>
        </w:docPartObj>
      </w:sdtPr>
      <w:sdtEndPr>
        <w:rPr>
          <w:smallCaps w:val="0"/>
          <w:kern w:val="0"/>
        </w:rPr>
      </w:sdtEndPr>
      <w:sdtContent>
        <w:p w14:paraId="6DDF474F" w14:textId="5E6A7F82" w:rsidR="002C72DF" w:rsidRDefault="002C72DF">
          <w:pPr>
            <w:pStyle w:val="Heading1"/>
          </w:pPr>
          <w:r>
            <w:t>References</w:t>
          </w:r>
        </w:p>
        <w:sdt>
          <w:sdtPr>
            <w:id w:val="-573587230"/>
            <w:bibliography/>
          </w:sdtPr>
          <w:sdtContent>
            <w:p w14:paraId="29BF8CC6" w14:textId="6F02EDD2" w:rsidR="002C72DF" w:rsidRDefault="002C72DF">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FF6E300" w14:textId="6B60B2E2" w:rsidR="00A853F3" w:rsidRDefault="002C72DF" w:rsidP="00A853F3">
      <w:pPr>
        <w:widowControl w:val="0"/>
        <w:pBdr>
          <w:top w:val="nil"/>
          <w:left w:val="nil"/>
          <w:bottom w:val="nil"/>
          <w:right w:val="nil"/>
          <w:between w:val="nil"/>
        </w:pBdr>
        <w:spacing w:line="252" w:lineRule="auto"/>
        <w:jc w:val="both"/>
      </w:pPr>
      <w:r>
        <w:rPr>
          <w:color w:val="000000"/>
        </w:rPr>
        <w:t xml:space="preserve"> </w:t>
      </w:r>
      <w:r w:rsidR="00792243">
        <w:rPr>
          <w:color w:val="000000"/>
        </w:rPr>
        <w:t xml:space="preserve">   </w:t>
      </w:r>
      <w:proofErr w:type="spellStart"/>
      <w:r w:rsidR="00792243">
        <w:rPr>
          <w:color w:val="000000"/>
        </w:rPr>
        <w:t>bsince</w:t>
      </w:r>
      <w:proofErr w:type="spellEnd"/>
      <w:r w:rsidR="00792243">
        <w:rPr>
          <w:color w:val="000000"/>
        </w:rPr>
        <w:t xml:space="preserve"> </w:t>
      </w:r>
      <w:proofErr w:type="gramStart"/>
      <w:r w:rsidR="00792243">
        <w:rPr>
          <w:color w:val="000000"/>
        </w:rPr>
        <w:t xml:space="preserve">the </w:t>
      </w:r>
      <w:r w:rsidR="000F2C11">
        <w:rPr>
          <w:color w:val="000000"/>
        </w:rPr>
        <w:t xml:space="preserve"> template</w:t>
      </w:r>
      <w:proofErr w:type="gramEnd"/>
      <w:r w:rsidR="000F2C11">
        <w:rPr>
          <w:color w:val="000000"/>
        </w:rPr>
        <w:t xml:space="preserve"> for Microsoft </w:t>
      </w:r>
      <w:r w:rsidR="000F2C11">
        <w:rPr>
          <w:i/>
          <w:color w:val="000000"/>
        </w:rPr>
        <w:t>Word</w:t>
      </w:r>
      <w:r w:rsidR="000F2C11">
        <w:rPr>
          <w:color w:val="000000"/>
        </w:rPr>
        <w:t xml:space="preserve">. If you would prefer to use LaTeX, download IEEE’s LaTeX style and sample </w:t>
      </w:r>
      <w:r w:rsidR="000F2C11" w:rsidRPr="001B0334">
        <w:t>files</w:t>
      </w:r>
      <w:r w:rsidR="001B0334" w:rsidRPr="001B0334">
        <w:t xml:space="preserve"> from</w:t>
      </w:r>
      <w:r w:rsidR="000F2C11">
        <w:rPr>
          <w:color w:val="000000"/>
        </w:rPr>
        <w:t xml:space="preserve"> </w:t>
      </w:r>
      <w:hyperlink r:id="rId10" w:history="1">
        <w:r w:rsidR="001B0334" w:rsidRPr="00771AA2">
          <w:rPr>
            <w:rStyle w:val="Hyperlink"/>
          </w:rPr>
          <w:t>https://template-selector.ieee.org/secure/templateSelector/publicationType</w:t>
        </w:r>
        <w:r w:rsidR="000F2C11" w:rsidRPr="00771AA2">
          <w:rPr>
            <w:rStyle w:val="Hyperlink"/>
          </w:rPr>
          <w:t>.</w:t>
        </w:r>
      </w:hyperlink>
      <w:r w:rsidR="000F2C11">
        <w:rPr>
          <w:color w:val="000000"/>
        </w:rPr>
        <w:t xml:space="preserve"> You can also </w:t>
      </w:r>
      <w:r w:rsidR="000F2C11">
        <w:t>use</w:t>
      </w:r>
      <w:r w:rsidR="000F2C11">
        <w:rPr>
          <w:color w:val="000000"/>
        </w:rPr>
        <w:t xml:space="preserve"> the Overleaf editor at </w:t>
      </w:r>
      <w:hyperlink r:id="rId11">
        <w:r w:rsidR="000F2C11">
          <w:rPr>
            <w:color w:val="0000FF"/>
            <w:u w:val="single"/>
          </w:rPr>
          <w:t>https://www.overleaf.com/blog/278-how-to-use-overleaf-with-ieee-collabratec-your-quick-guide-to-getting-started#.</w:t>
        </w:r>
      </w:hyperlink>
      <w:hyperlink r:id="rId12">
        <w:r w:rsidR="000F2C11">
          <w:rPr>
            <w:color w:val="0000FF"/>
            <w:u w:val="single"/>
          </w:rPr>
          <w:t>Vp6tpPkrK</w:t>
        </w:r>
      </w:hyperlink>
      <w:hyperlink r:id="rId13">
        <w:r w:rsidR="000F2C11">
          <w:rPr>
            <w:color w:val="0000FF"/>
            <w:u w:val="single"/>
          </w:rPr>
          <w:t>M9</w:t>
        </w:r>
      </w:hyperlink>
      <w:r w:rsidR="000F2C11">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Default="000F2C11" w:rsidP="00A853F3">
      <w:pPr>
        <w:widowControl w:val="0"/>
        <w:pBdr>
          <w:top w:val="nil"/>
          <w:left w:val="nil"/>
          <w:bottom w:val="nil"/>
          <w:right w:val="nil"/>
          <w:between w:val="nil"/>
        </w:pBdr>
        <w:spacing w:line="252" w:lineRule="auto"/>
        <w:ind w:firstLine="270"/>
      </w:pPr>
      <w:r>
        <w:t xml:space="preserve">The </w:t>
      </w:r>
      <w:r w:rsidRPr="0036091A">
        <w:rPr>
          <w:i/>
          <w:iCs/>
        </w:rPr>
        <w:t xml:space="preserve">IEEE Editorial Style Manual </w:t>
      </w:r>
      <w:r w:rsidR="00A853F3">
        <w:rPr>
          <w:i/>
          <w:iCs/>
        </w:rPr>
        <w:t>f</w:t>
      </w:r>
      <w:r w:rsidRPr="0036091A">
        <w:rPr>
          <w:i/>
          <w:iCs/>
        </w:rPr>
        <w:t>or Authors</w:t>
      </w:r>
      <w:r>
        <w:t xml:space="preserve"> is available at </w:t>
      </w:r>
      <w:hyperlink r:id="rId14">
        <w:r>
          <w:rPr>
            <w:color w:val="1155CC"/>
            <w:u w:val="single"/>
          </w:rPr>
          <w:t>https://journals.ieeeauthorcenter.ieee.org/create-your-ieee-journal-article/create-the-text-of-your-article/ieee-editorial-style-manual/</w:t>
        </w:r>
      </w:hyperlink>
      <w:r>
        <w:rPr>
          <w:color w:val="1155CC"/>
          <w:sz w:val="19"/>
          <w:szCs w:val="19"/>
          <w:highlight w:val="white"/>
          <w:u w:val="single"/>
        </w:rPr>
        <w:t>.</w:t>
      </w:r>
      <w:r>
        <w:t xml:space="preserve"> This contains a formal set of editorial guidelines for IEEE Transactions, Journals, and Letters, </w:t>
      </w:r>
      <w:r>
        <w:t>including:</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77777777" w:rsidR="00732E46" w:rsidRDefault="000F2C11">
      <w:pPr>
        <w:widowControl w:val="0"/>
        <w:numPr>
          <w:ilvl w:val="0"/>
          <w:numId w:val="2"/>
        </w:numPr>
        <w:spacing w:line="252" w:lineRule="auto"/>
        <w:jc w:val="both"/>
      </w:pPr>
      <w:proofErr w:type="gramStart"/>
      <w:r>
        <w:t>punctuation;</w:t>
      </w:r>
      <w:proofErr w:type="gramEnd"/>
    </w:p>
    <w:p w14:paraId="07E41A1C" w14:textId="77777777" w:rsidR="00732E46" w:rsidRDefault="000F2C11">
      <w:pPr>
        <w:widowControl w:val="0"/>
        <w:numPr>
          <w:ilvl w:val="0"/>
          <w:numId w:val="2"/>
        </w:numPr>
        <w:spacing w:line="252" w:lineRule="auto"/>
        <w:jc w:val="both"/>
      </w:pPr>
      <w:proofErr w:type="gramStart"/>
      <w:r>
        <w:t>capitalization;</w:t>
      </w:r>
      <w:proofErr w:type="gramEnd"/>
    </w:p>
    <w:p w14:paraId="54CA649C" w14:textId="77777777" w:rsidR="00732E46" w:rsidRDefault="000F2C11">
      <w:pPr>
        <w:widowControl w:val="0"/>
        <w:numPr>
          <w:ilvl w:val="0"/>
          <w:numId w:val="2"/>
        </w:numPr>
        <w:spacing w:line="252" w:lineRule="auto"/>
        <w:jc w:val="both"/>
      </w:pPr>
      <w:proofErr w:type="gramStart"/>
      <w:r>
        <w:t>abbreviations;</w:t>
      </w:r>
      <w:proofErr w:type="gramEnd"/>
    </w:p>
    <w:p w14:paraId="7382969A" w14:textId="77777777" w:rsidR="00732E46" w:rsidRDefault="000F2C11">
      <w:pPr>
        <w:widowControl w:val="0"/>
        <w:numPr>
          <w:ilvl w:val="0"/>
          <w:numId w:val="2"/>
        </w:numPr>
        <w:spacing w:line="252" w:lineRule="auto"/>
        <w:jc w:val="both"/>
      </w:pPr>
      <w:r>
        <w:t xml:space="preserve">section </w:t>
      </w:r>
      <w:proofErr w:type="gramStart"/>
      <w:r>
        <w:t>headings;</w:t>
      </w:r>
      <w:proofErr w:type="gramEnd"/>
    </w:p>
    <w:p w14:paraId="73D87B4B" w14:textId="77777777" w:rsidR="00732E46" w:rsidRDefault="000F2C11">
      <w:pPr>
        <w:widowControl w:val="0"/>
        <w:numPr>
          <w:ilvl w:val="0"/>
          <w:numId w:val="2"/>
        </w:numPr>
        <w:spacing w:line="252" w:lineRule="auto"/>
        <w:jc w:val="both"/>
      </w:pPr>
      <w:r>
        <w:t xml:space="preserve">numbers, </w:t>
      </w:r>
      <w:proofErr w:type="gramStart"/>
      <w:r>
        <w:t>equations;</w:t>
      </w:r>
      <w:proofErr w:type="gramEnd"/>
    </w:p>
    <w:p w14:paraId="52FED512" w14:textId="77777777" w:rsidR="00732E46" w:rsidRDefault="000F2C11">
      <w:pPr>
        <w:widowControl w:val="0"/>
        <w:numPr>
          <w:ilvl w:val="0"/>
          <w:numId w:val="2"/>
        </w:numPr>
        <w:spacing w:line="252" w:lineRule="auto"/>
        <w:jc w:val="both"/>
      </w:pPr>
      <w:proofErr w:type="gramStart"/>
      <w:r>
        <w:t>footnotes;</w:t>
      </w:r>
      <w:proofErr w:type="gramEnd"/>
    </w:p>
    <w:p w14:paraId="1540F1E0" w14:textId="77777777" w:rsidR="00732E46" w:rsidRDefault="000F2C11">
      <w:pPr>
        <w:widowControl w:val="0"/>
        <w:numPr>
          <w:ilvl w:val="0"/>
          <w:numId w:val="2"/>
        </w:numPr>
        <w:spacing w:line="252" w:lineRule="auto"/>
        <w:jc w:val="both"/>
      </w:pPr>
      <w:proofErr w:type="gramStart"/>
      <w:r>
        <w:t>biographies;</w:t>
      </w:r>
      <w:proofErr w:type="gramEnd"/>
    </w:p>
    <w:p w14:paraId="778BEC26" w14:textId="77777777" w:rsidR="00732E46" w:rsidRDefault="000F2C11">
      <w:pPr>
        <w:widowControl w:val="0"/>
        <w:numPr>
          <w:ilvl w:val="0"/>
          <w:numId w:val="2"/>
        </w:numPr>
        <w:spacing w:line="252" w:lineRule="auto"/>
        <w:jc w:val="both"/>
      </w:pPr>
      <w:r>
        <w:t xml:space="preserve">some common </w:t>
      </w:r>
      <w:proofErr w:type="gramStart"/>
      <w:r>
        <w:t>mistakes;</w:t>
      </w:r>
      <w:proofErr w:type="gramEnd"/>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pPr>
        <w:widowControl w:val="0"/>
        <w:spacing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5"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DB3364">
      <w:pPr>
        <w:pStyle w:val="Heading1"/>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w:t>
      </w:r>
      <w:r>
        <w:rPr>
          <w:color w:val="000000"/>
        </w:rPr>
        <w:lastRenderedPageBreak/>
        <w:t>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7">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8"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9"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w:t>
      </w:r>
      <w:r w:rsidR="000F2C11">
        <w:rPr>
          <w:color w:val="000000"/>
        </w:rPr>
        <w:t xml:space="preserve">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Heading1"/>
      </w:pPr>
      <w:r>
        <w:t xml:space="preserve">IV. </w:t>
      </w:r>
      <w:r w:rsidR="000F2C11">
        <w:t xml:space="preserve">Guidelines for Graphics Preparation </w:t>
      </w:r>
      <w:r w:rsidR="000F2C11">
        <w:br/>
        <w:t>and Submission</w:t>
      </w:r>
    </w:p>
    <w:p w14:paraId="060A7626" w14:textId="029EA85A" w:rsidR="00732E46" w:rsidRDefault="00DB3364" w:rsidP="00DB3364">
      <w:pPr>
        <w:pStyle w:val="Heading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 xml:space="preserve">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w:t>
      </w:r>
      <w:r>
        <w:lastRenderedPageBreak/>
        <w:t>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In order to preserve the figures’ integrity across multiple computer platforms, we accept files in the following formats: .EPS/.PDF/.PS. All fonts must be </w:t>
      </w:r>
      <w:proofErr w:type="gramStart"/>
      <w:r>
        <w:rPr>
          <w:rFonts w:ascii="Times" w:eastAsia="Times" w:hAnsi="Times" w:cs="Times"/>
          <w:color w:val="000000"/>
        </w:rPr>
        <w:t>embedded</w:t>
      </w:r>
      <w:proofErr w:type="gramEnd"/>
      <w:r>
        <w:rPr>
          <w:rFonts w:ascii="Times" w:eastAsia="Times" w:hAnsi="Times" w:cs="Times"/>
          <w:color w:val="000000"/>
        </w:rPr>
        <w:t xml:space="preserve">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 xml:space="preserve">A safe option when finalizing your figures is to strip out the fonts before you save the files, creating “outline” type. This </w:t>
      </w:r>
      <w:r>
        <w:t>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7054D1" w:rsidRDefault="000F2C11" w:rsidP="007054D1">
      <w:pPr>
        <w:pStyle w:val="ListParagraph"/>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5pt;height:6.75pt;mso-width-percent:0;mso-height-percent:0;mso-width-percent:0;mso-height-percent:0" o:ole="" fillcolor="window">
            <v:imagedata r:id="rId21" o:title=""/>
          </v:shape>
          <o:OLEObject Type="Embed" ProgID="Equation.3" ShapeID="_x0000_i1025" DrawAspect="Content" ObjectID="_1701047615" r:id="rId22"/>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ListParagraph"/>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ListParagrap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Heading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Heading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w:t>
      </w:r>
      <w:proofErr w:type="gramStart"/>
      <w:r>
        <w:t>figures, or</w:t>
      </w:r>
      <w:proofErr w:type="gramEnd"/>
      <w:r>
        <w:t xml:space="preserve">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Heading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w:t>
      </w:r>
      <w:r>
        <w:rPr>
          <w:rFonts w:ascii="Times" w:eastAsia="Times" w:hAnsi="Times" w:cs="Times"/>
        </w:rPr>
        <w:lastRenderedPageBreak/>
        <w:t xml:space="preserve">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Heading1"/>
      </w:pPr>
      <w:r>
        <w:t xml:space="preserve">V. </w:t>
      </w:r>
      <w:r w:rsidR="000F2C11">
        <w:t>Conclusion</w:t>
      </w:r>
    </w:p>
    <w:p w14:paraId="1E703947" w14:textId="77777777" w:rsidR="00732E46" w:rsidRDefault="000F2C11">
      <w:pPr>
        <w:pStyle w:val="Heading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Heading1"/>
        <w:ind w:left="1170"/>
        <w:jc w:val="left"/>
      </w:pPr>
      <w:bookmarkStart w:id="4" w:name="_heading=h.ji51hl1e8dp3" w:colFirst="0" w:colLast="0"/>
      <w:bookmarkEnd w:id="4"/>
      <w:r>
        <w:t>References and Footnotes</w:t>
      </w:r>
    </w:p>
    <w:p w14:paraId="6417537E" w14:textId="3B3D54D6" w:rsidR="00732E46" w:rsidRDefault="00EF6430" w:rsidP="00EF6430">
      <w:pPr>
        <w:pStyle w:val="Heading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w:t>
      </w:r>
      <w:r>
        <w:rPr>
          <w:color w:val="000000"/>
        </w:rPr>
        <w:t xml:space="preserve">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3">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Heading1"/>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4">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w:t>
      </w:r>
      <w:r>
        <w:lastRenderedPageBreak/>
        <w:t xml:space="preserve">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Heading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5">
        <w:r>
          <w:rPr>
            <w:color w:val="1155CC"/>
            <w:highlight w:val="white"/>
            <w:u w:val="single"/>
          </w:rPr>
          <w:t>https://www.ieee.org/publications/rights/index.html</w:t>
        </w:r>
      </w:hyperlink>
      <w:hyperlink r:id="rId26">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7">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Heading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lastRenderedPageBreak/>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w:t>
      </w:r>
      <w:proofErr w:type="gramStart"/>
      <w:r>
        <w:rPr>
          <w:color w:val="000000"/>
        </w:rPr>
        <w:t>similar to</w:t>
      </w:r>
      <w:proofErr w:type="gramEnd"/>
      <w:r>
        <w:rPr>
          <w:color w:val="000000"/>
        </w:rPr>
        <w:t xml:space="preserve">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ED64" w14:textId="77777777" w:rsidR="00926E15" w:rsidRDefault="00926E15">
      <w:r>
        <w:separator/>
      </w:r>
    </w:p>
  </w:endnote>
  <w:endnote w:type="continuationSeparator" w:id="0">
    <w:p w14:paraId="45B4DB18" w14:textId="77777777" w:rsidR="00926E15" w:rsidRDefault="0092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2A15A" w14:textId="77777777" w:rsidR="00926E15" w:rsidRPr="009A0AA6" w:rsidRDefault="00926E15" w:rsidP="009A0AA6">
      <w:pPr>
        <w:pStyle w:val="Footer"/>
      </w:pPr>
    </w:p>
  </w:footnote>
  <w:footnote w:type="continuationSeparator" w:id="0">
    <w:p w14:paraId="5216FB44" w14:textId="77777777" w:rsidR="00926E15" w:rsidRDefault="00926E15">
      <w:r>
        <w:continuationSeparator/>
      </w:r>
    </w:p>
  </w:footnote>
  <w:footnote w:id="1">
    <w:p w14:paraId="418EE07E" w14:textId="1E6C4532" w:rsidR="00247815" w:rsidRDefault="000F2C11" w:rsidP="00247815">
      <w:pPr>
        <w:keepLines/>
        <w:pBdr>
          <w:top w:val="nil"/>
          <w:left w:val="nil"/>
          <w:bottom w:val="nil"/>
          <w:right w:val="nil"/>
          <w:between w:val="nil"/>
        </w:pBdr>
        <w:ind w:firstLine="202"/>
        <w:jc w:val="both"/>
        <w:rPr>
          <w:i/>
          <w:sz w:val="16"/>
          <w:szCs w:val="16"/>
        </w:rPr>
      </w:pPr>
      <w:r w:rsidRPr="004063A4">
        <w:rPr>
          <w:rStyle w:val="FootnoteReference"/>
          <w:vanish/>
        </w:rPr>
        <w:footnoteRef/>
      </w:r>
      <w:r w:rsidR="00537C3F">
        <w:rPr>
          <w:color w:val="000000"/>
          <w:sz w:val="16"/>
          <w:szCs w:val="16"/>
        </w:rPr>
        <w:t>Submitted Dec 15, 202</w:t>
      </w:r>
      <w:r w:rsidR="00247815">
        <w:rPr>
          <w:color w:val="000000"/>
          <w:sz w:val="16"/>
          <w:szCs w:val="16"/>
        </w:rPr>
        <w:t>1</w:t>
      </w:r>
      <w:r>
        <w:rPr>
          <w:sz w:val="16"/>
          <w:szCs w:val="16"/>
        </w:rPr>
        <w:t>.</w:t>
      </w:r>
      <w:r w:rsidR="00247815">
        <w:rPr>
          <w:sz w:val="16"/>
          <w:szCs w:val="16"/>
        </w:rPr>
        <w:t xml:space="preserve"> No financial support was received from any institution.</w:t>
      </w:r>
      <w:r>
        <w:rPr>
          <w:i/>
          <w:sz w:val="16"/>
          <w:szCs w:val="16"/>
        </w:rPr>
        <w:t xml:space="preserve"> (Corresponding author: </w:t>
      </w:r>
      <w:r w:rsidR="00247815">
        <w:rPr>
          <w:i/>
          <w:sz w:val="16"/>
          <w:szCs w:val="16"/>
        </w:rPr>
        <w:t>J</w:t>
      </w:r>
      <w:r>
        <w:rPr>
          <w:i/>
          <w:sz w:val="16"/>
          <w:szCs w:val="16"/>
        </w:rPr>
        <w:t xml:space="preserve">. </w:t>
      </w:r>
      <w:r w:rsidR="00247815">
        <w:rPr>
          <w:i/>
          <w:sz w:val="16"/>
          <w:szCs w:val="16"/>
        </w:rPr>
        <w:t>Jackson</w:t>
      </w:r>
      <w:r>
        <w:rPr>
          <w:i/>
          <w:sz w:val="16"/>
          <w:szCs w:val="16"/>
        </w:rPr>
        <w:t>).</w:t>
      </w:r>
      <w:bookmarkStart w:id="1" w:name="_Hlk72918128"/>
    </w:p>
    <w:p w14:paraId="4E35C723" w14:textId="7A4856B6" w:rsidR="00732E46" w:rsidRPr="00247815" w:rsidRDefault="00247815" w:rsidP="00247815">
      <w:pPr>
        <w:keepLines/>
        <w:pBdr>
          <w:top w:val="nil"/>
          <w:left w:val="nil"/>
          <w:bottom w:val="nil"/>
          <w:right w:val="nil"/>
          <w:between w:val="nil"/>
        </w:pBdr>
        <w:ind w:firstLine="202"/>
        <w:jc w:val="both"/>
        <w:rPr>
          <w:iCs/>
          <w:sz w:val="16"/>
          <w:szCs w:val="16"/>
        </w:rPr>
      </w:pPr>
      <w:r>
        <w:rPr>
          <w:iCs/>
          <w:sz w:val="16"/>
          <w:szCs w:val="16"/>
        </w:rPr>
        <w:t>J. Jackson is currently enrolled as a Ms. Biomedical Engineering student at the University of Utah, Salt Lake City, UT 84102 USA (josh.jackson@hsc.utah.edu)</w:t>
      </w:r>
      <w:bookmarkEnd w:id="1"/>
      <w:r>
        <w:rPr>
          <w:iCs/>
          <w:sz w:val="16"/>
          <w:szCs w:val="16"/>
        </w:rPr>
        <w:t>.</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47815"/>
    <w:rsid w:val="00285E41"/>
    <w:rsid w:val="002C72DF"/>
    <w:rsid w:val="00357347"/>
    <w:rsid w:val="0036091A"/>
    <w:rsid w:val="004063A4"/>
    <w:rsid w:val="00474613"/>
    <w:rsid w:val="00537C3F"/>
    <w:rsid w:val="005B43C2"/>
    <w:rsid w:val="005C68BC"/>
    <w:rsid w:val="005E2D10"/>
    <w:rsid w:val="005F4497"/>
    <w:rsid w:val="006514FE"/>
    <w:rsid w:val="00660F88"/>
    <w:rsid w:val="00694E0B"/>
    <w:rsid w:val="006E42E3"/>
    <w:rsid w:val="007054D1"/>
    <w:rsid w:val="00705AB1"/>
    <w:rsid w:val="00732E46"/>
    <w:rsid w:val="00771AA2"/>
    <w:rsid w:val="00792243"/>
    <w:rsid w:val="007F4FB6"/>
    <w:rsid w:val="0080720F"/>
    <w:rsid w:val="00814709"/>
    <w:rsid w:val="00874977"/>
    <w:rsid w:val="008E4F03"/>
    <w:rsid w:val="00900E16"/>
    <w:rsid w:val="00926E15"/>
    <w:rsid w:val="00932FBA"/>
    <w:rsid w:val="0096199E"/>
    <w:rsid w:val="009A0AA6"/>
    <w:rsid w:val="00A41540"/>
    <w:rsid w:val="00A530D2"/>
    <w:rsid w:val="00A6122B"/>
    <w:rsid w:val="00A80BDA"/>
    <w:rsid w:val="00A853F3"/>
    <w:rsid w:val="00AB4C22"/>
    <w:rsid w:val="00B07BB7"/>
    <w:rsid w:val="00C51B4B"/>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51220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048803">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196410">
      <w:bodyDiv w:val="1"/>
      <w:marLeft w:val="0"/>
      <w:marRight w:val="0"/>
      <w:marTop w:val="0"/>
      <w:marBottom w:val="0"/>
      <w:divBdr>
        <w:top w:val="none" w:sz="0" w:space="0" w:color="auto"/>
        <w:left w:val="none" w:sz="0" w:space="0" w:color="auto"/>
        <w:bottom w:val="none" w:sz="0" w:space="0" w:color="auto"/>
        <w:right w:val="none" w:sz="0" w:space="0" w:color="auto"/>
      </w:divBdr>
    </w:div>
    <w:div w:id="2124767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journals.ieeeauthorcenter.ieee.org/wp-content/uploads/sites/7/Editing-Mathematics.pdf"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wmf"/><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hyperlink" Target="https://store.wiris.com/en/products/mathtype/download" TargetMode="External"/><Relationship Id="rId25" Type="http://schemas.openxmlformats.org/officeDocument/2006/relationships/hyperlink" Target="https://www.ieee.org/publications/rights/index.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yperlink" Target="http://www.ieee.org/publications_standards/publications/authors/authors_submission.html" TargetMode="Externa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structure-your-article/" TargetMode="External"/><Relationship Id="rId23" Type="http://schemas.openxmlformats.org/officeDocument/2006/relationships/hyperlink" Target="https://journals.ieeeauthorcenter.ieee.org/create-your-ieee-journal-article/create-the-text-of-your-article/ieee-editorial-style-manual/" TargetMode="External"/><Relationship Id="rId28" Type="http://schemas.openxmlformats.org/officeDocument/2006/relationships/image" Target="media/image4.png"/><Relationship Id="rId10" Type="http://schemas.openxmlformats.org/officeDocument/2006/relationships/hyperlink" Target="https://journals.ieeeauthorcenter.ieee.org/create-your-ieee-journal-article/authoring-tools-and-templates/tools-for-ieee-authors/ieee-article-templates/" TargetMode="External"/><Relationship Id="rId19" Type="http://schemas.openxmlformats.org/officeDocument/2006/relationships/hyperlink" Target="http://journals.ieeeauthorcenter.ieee.org/wp-content/uploads/sites/7/IEEE-Math-Typesetting-Guide-for-MS-Word-Users.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ieeeauthorcenter.ieee.org/create-your-ieee-journal-article/create-the-text-of-your-article/ieee-editorial-style-manual/" TargetMode="External"/><Relationship Id="rId22" Type="http://schemas.openxmlformats.org/officeDocument/2006/relationships/oleObject" Target="embeddings/oleObject1.bin"/><Relationship Id="rId27" Type="http://schemas.openxmlformats.org/officeDocument/2006/relationships/hyperlink" Target="https://journals.ieeeauthorcenter.ieee.org/become-an-ieee-journal-author/publishing-ethics/guidelines-and-polic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528FD7-CD26-4DCC-A907-E9ABA842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4479</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Josh Jackson</cp:lastModifiedBy>
  <cp:revision>3</cp:revision>
  <dcterms:created xsi:type="dcterms:W3CDTF">2021-12-15T09:28:00Z</dcterms:created>
  <dcterms:modified xsi:type="dcterms:W3CDTF">2021-12-15T11:27:00Z</dcterms:modified>
</cp:coreProperties>
</file>