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6C0033">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6C0033">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6C0033">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6C0033">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6C0033">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6C0033">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6C0033">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6C0033">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6C0033">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6C00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6C0033">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6C0033">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6C0033">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6C0033">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6C0033">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6C0033">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6C0033">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6C0033">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6C0033">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6C0033">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6C00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6C0033">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6C0033">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6C0033">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6C0033">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6C0033">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6C0033">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6C0033">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6C00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6C0033">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6C00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6C0033">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6C0033">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6C0033">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6C0033">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6C0033">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6C0033">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6C0033">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6C0033">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6C00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6C0033">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6C0033">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6C00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6C0033">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6C0033">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6C003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6C0033">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6C0033">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bookmarkStart w:id="5" w:name="_GoBack"/>
      <w:bookmarkEnd w:id="5"/>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lastRenderedPageBreak/>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w:t>
      </w:r>
      <w:r w:rsidR="00F84770">
        <w:rPr>
          <w:rFonts w:ascii="Courier New" w:hAnsi="Courier New" w:cs="Courier New"/>
          <w:b/>
          <w:bCs/>
          <w:sz w:val="18"/>
          <w:szCs w:val="18"/>
          <w:lang w:val="en-US"/>
        </w:rPr>
        <w:lastRenderedPageBreak/>
        <w:t>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if(col.nb &lt;= 10){ # if ncol is not to big, the t() should not be that long</w:t>
      </w:r>
    </w:p>
    <w:p w:rsidR="002C2798" w:rsidRPr="00C43693" w:rsidRDefault="002C2798" w:rsidP="002C2798">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Pr="00C43693">
        <w:rPr>
          <w:rFonts w:ascii="Courier New" w:hAnsi="Courier New" w:cs="Courier New"/>
          <w:bCs/>
          <w:i/>
          <w:sz w:val="18"/>
          <w:szCs w:val="18"/>
          <w:lang w:val="en-US"/>
        </w:rPr>
        <w:t xml:space="preserve"> # this work fast with only integers (because 32 bits)</w:t>
      </w:r>
    </w:p>
    <w:p w:rsidR="002C2798" w:rsidRDefault="002C2798" w:rsidP="002C2798">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73982491"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lastRenderedPageBreak/>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lastRenderedPageBreak/>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lastRenderedPageBreak/>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lastRenderedPageBreak/>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lastRenderedPageBreak/>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lastRenderedPageBreak/>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w:t>
      </w:r>
      <w:r>
        <w:rPr>
          <w:rFonts w:ascii="Courier New" w:hAnsi="Courier New" w:cs="Courier New"/>
          <w:bCs/>
          <w:i/>
          <w:sz w:val="18"/>
          <w:szCs w:val="18"/>
          <w:lang w:val="en-US"/>
        </w:rPr>
        <w:lastRenderedPageBreak/>
        <w:t xml:space="preserve">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D40C1"/>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F43FA-9218-4DCF-9624-401B8204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7688</TotalTime>
  <Pages>211</Pages>
  <Words>84570</Words>
  <Characters>482050</Characters>
  <Application>Microsoft Office Word</Application>
  <DocSecurity>0</DocSecurity>
  <Lines>4017</Lines>
  <Paragraphs>1130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1644</cp:revision>
  <cp:lastPrinted>2018-07-12T16:36:00Z</cp:lastPrinted>
  <dcterms:created xsi:type="dcterms:W3CDTF">2020-02-06T14:47:00Z</dcterms:created>
  <dcterms:modified xsi:type="dcterms:W3CDTF">2021-02-04T21:22:00Z</dcterms:modified>
</cp:coreProperties>
</file>