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164917">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164917">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164917">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164917">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164917">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164917">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164917">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164917">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164917">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164917">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164917">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164917">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164917">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164917">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164917">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164917">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164917">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164917">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164917">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164917">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164917">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164917">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164917">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164917">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164917">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164917">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164917">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164917">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164917">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164917">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164917">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164917">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164917">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164917">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164917">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164917">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164917">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164917">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164917">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164917">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164917">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16491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164917">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164917">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fun_test() (see ) Ok</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w:t>
      </w:r>
      <w:bookmarkStart w:id="4" w:name="_GoBack"/>
      <w:bookmarkEnd w:id="4"/>
      <w:r w:rsidR="00672322" w:rsidRPr="00672322">
        <w:rPr>
          <w:rFonts w:ascii="Courier New" w:hAnsi="Courier New" w:cs="Courier New"/>
          <w:b/>
          <w:bCs/>
          <w:sz w:val="18"/>
          <w:szCs w:val="18"/>
          <w:lang w:val="en-US"/>
        </w:rPr>
        <w:t>(is.na(class))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w:t>
      </w:r>
      <w:r w:rsidRPr="00CC3CC6">
        <w:rPr>
          <w:rFonts w:ascii="Courier New" w:hAnsi="Courier New" w:cs="Courier New"/>
          <w:b/>
          <w:sz w:val="18"/>
          <w:szCs w:val="18"/>
          <w:lang w:val="en-US"/>
        </w:rPr>
        <w:lastRenderedPageBreak/>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3428856"/>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lastRenderedPageBreak/>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7"/>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33428858"/>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33428859"/>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33428860"/>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33428861"/>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lastRenderedPageBreak/>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599547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lastRenderedPageBreak/>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lastRenderedPageBreak/>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xml:space="preserve">, " | NB OF ROUNDS: </w:t>
      </w:r>
      <w:r w:rsidR="00C93863" w:rsidRPr="00CE1A09">
        <w:rPr>
          <w:rFonts w:ascii="Courier New" w:hAnsi="Courier New" w:cs="Courier New"/>
          <w:b/>
          <w:bCs/>
          <w:sz w:val="18"/>
          <w:szCs w:val="18"/>
          <w:lang w:val="en-US"/>
        </w:rPr>
        <w:lastRenderedPageBreak/>
        <w:t>",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w:t>
      </w:r>
      <w:r w:rsidR="007E29AB">
        <w:rPr>
          <w:rFonts w:ascii="Courier New" w:hAnsi="Courier New" w:cs="Courier New"/>
          <w:bCs/>
          <w:i/>
          <w:sz w:val="18"/>
          <w:szCs w:val="18"/>
          <w:lang w:val="en-US"/>
        </w:rPr>
        <w:lastRenderedPageBreak/>
        <w:t xml:space="preserve">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w:t>
      </w:r>
      <w:r w:rsidR="00E42ADA"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85"/>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FAC32-20DD-4520-BD6A-4BA89B0E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210</Pages>
  <Words>88587</Words>
  <Characters>504950</Characters>
  <Application>Microsoft Office Word</Application>
  <DocSecurity>0</DocSecurity>
  <Lines>4207</Lines>
  <Paragraphs>1184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222</cp:revision>
  <cp:lastPrinted>2018-07-12T16:36:00Z</cp:lastPrinted>
  <dcterms:created xsi:type="dcterms:W3CDTF">2020-02-06T14:47:00Z</dcterms:created>
  <dcterms:modified xsi:type="dcterms:W3CDTF">2020-03-17T23:11:00Z</dcterms:modified>
</cp:coreProperties>
</file>