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 xml:space="preserve">.color, length(unique(data1[, </w:t>
      </w:r>
      <w:r w:rsidRPr="006E41CB">
        <w:rPr>
          <w:rFonts w:ascii="Courier New" w:hAnsi="Courier New" w:cs="Courier New"/>
          <w:b/>
          <w:bCs/>
          <w:sz w:val="18"/>
          <w:szCs w:val="18"/>
        </w:rPr>
        <w:lastRenderedPageBreak/>
        <w:t>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bookmarkStart w:id="0" w:name="_GoBack"/>
      <w:bookmarkEnd w:id="0"/>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6644"/>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5029A-F236-4197-8821-115538BA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5450</TotalTime>
  <Pages>68</Pages>
  <Words>28108</Words>
  <Characters>160217</Characters>
  <Application>Microsoft Office Word</Application>
  <DocSecurity>0</DocSecurity>
  <Lines>1335</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1033</cp:revision>
  <dcterms:created xsi:type="dcterms:W3CDTF">2020-04-13T12:53:00Z</dcterms:created>
  <dcterms:modified xsi:type="dcterms:W3CDTF">2022-03-21T12:56:00Z</dcterms:modified>
</cp:coreProperties>
</file>