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78032C" w:rsidRPr="00D01699" w:rsidRDefault="00D01699" w:rsidP="00910F18">
      <w:pPr>
        <w:ind w:left="567" w:hanging="567"/>
        <w:jc w:val="left"/>
        <w:rPr>
          <w:rFonts w:ascii="Courier New" w:hAnsi="Courier New" w:cs="Courier New"/>
          <w:b/>
          <w:bCs/>
          <w:color w:val="FF0000"/>
          <w:sz w:val="18"/>
          <w:szCs w:val="18"/>
          <w:lang w:val="en-GB"/>
        </w:rPr>
      </w:pPr>
      <w:r w:rsidRPr="00D01699">
        <w:rPr>
          <w:rFonts w:ascii="Courier New" w:hAnsi="Courier New" w:cs="Courier New"/>
          <w:b/>
          <w:bCs/>
          <w:color w:val="FF0000"/>
          <w:sz w:val="18"/>
          <w:szCs w:val="18"/>
          <w:lang w:val="en-GB"/>
        </w:rPr>
        <w:t># log not good: do not convert as in boxplot</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bookmarkStart w:id="0" w:name="_GoBack"/>
      <w:bookmarkEnd w:id="0"/>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w:t>
      </w:r>
      <w:r w:rsidR="00E268CF" w:rsidRPr="00E30559">
        <w:rPr>
          <w:rFonts w:ascii="Courier New" w:hAnsi="Courier New" w:cs="Courier New"/>
          <w:bCs/>
          <w:i/>
          <w:sz w:val="18"/>
          <w:szCs w:val="18"/>
        </w:rPr>
        <w:lastRenderedPageBreak/>
        <w:t xml:space="preserve">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ggplot2::scale_shape_manual(name = </w:t>
      </w:r>
      <w:r w:rsidRPr="00E30559">
        <w:rPr>
          <w:rFonts w:ascii="Courier New" w:hAnsi="Courier New" w:cs="Courier New"/>
          <w:b/>
          <w:bCs/>
          <w:sz w:val="18"/>
          <w:szCs w:val="18"/>
        </w:rPr>
        <w:lastRenderedPageBreak/>
        <w:t>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5F0F"/>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8885</TotalTime>
  <Pages>69</Pages>
  <Words>27437</Words>
  <Characters>156391</Characters>
  <Application>Microsoft Office Word</Application>
  <DocSecurity>0</DocSecurity>
  <Lines>1303</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2011</cp:revision>
  <dcterms:created xsi:type="dcterms:W3CDTF">2019-10-10T09:49:00Z</dcterms:created>
  <dcterms:modified xsi:type="dcterms:W3CDTF">2022-02-11T22:55:00Z</dcterms:modified>
</cp:coreProperties>
</file>