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8" w:space="10" w:color="FA690F"/>
        </w:pBdr>
      </w:pPr>
      <w:r>
        <w:t>Document title</w:t>
      </w:r>
    </w:p>
    <w:p>
      <w:pPr>
        <w:pStyle w:val="Subtitle"/>
      </w:pPr>
      <w:r>
        <w:t>Subtitle or decision statement. Use this area to state the document purpose clearly.</w:t>
      </w:r>
    </w:p>
    <w:p>
      <w:pPr>
        <w:spacing w:before="360" w:after="800"/>
      </w:pPr>
      <w:r>
        <w:rPr>
          <w:rFonts w:ascii="Safespring Mono" w:hAnsi="Safespring Mono"/>
          <w:color w:val="52626A"/>
          <w:sz w:val="18"/>
        </w:rPr>
        <w:t>Prepared for [audience] | Version 1.0 | YYYY-MM-DD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412"/>
            <w:vAlign w:val="center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b/>
                <w:color w:val="195F8C"/>
              </w:rPr>
              <w:t>CLOUD-BLUE BACKGROUND RULE</w:t>
            </w:r>
          </w:p>
          <w:p>
            <w:pPr>
              <w:spacing w:after="0"/>
            </w:pPr>
            <w:r>
              <w:rPr>
                <w:b w:val="0"/>
                <w:color w:val="195F8C"/>
              </w:rPr>
              <w:t>Use cloud blue as the background for text boxes, callouts, tables, and graphics. Main colors are for text, icons, lines, and emphasis.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Open with the main claim, decision, or recommendation. Keep paragraphs short and use evidence only where it helps the reader understand what to do next.</w:t>
      </w:r>
    </w:p>
    <w:p>
      <w:r>
        <w:t>Use this template as a starting point for AI-generated or manually written Safespring documents.</w:t>
      </w:r>
    </w:p>
    <w:p>
      <w:pPr>
        <w:pStyle w:val="Heading2"/>
      </w:pPr>
      <w:r>
        <w:t>Recommended structure</w:t>
      </w:r>
    </w:p>
    <w:p>
      <w:pPr>
        <w:pStyle w:val="ListBullet"/>
      </w:pPr>
      <w:r>
        <w:t>Context: what changed and why the reader should care.</w:t>
      </w:r>
    </w:p>
    <w:p>
      <w:pPr>
        <w:pStyle w:val="ListBullet"/>
      </w:pPr>
      <w:r>
        <w:t>Evidence: architecture, requirements, operational controls, or source-backed facts.</w:t>
      </w:r>
    </w:p>
    <w:p>
      <w:pPr>
        <w:pStyle w:val="ListBullet"/>
      </w:pPr>
      <w:r>
        <w:t>Action: owner, next step, timeline, and decision point.</w:t>
      </w:r>
    </w:p>
    <w:p>
      <w:pPr>
        <w:pStyle w:val="Heading2"/>
      </w:pPr>
      <w:r>
        <w:t>Example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32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95F8C"/>
              </w:rPr>
              <w:t>Area</w:t>
            </w:r>
          </w:p>
        </w:tc>
        <w:tc>
          <w:tcPr>
            <w:tcW w:type="dxa" w:w="3528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95F8C"/>
              </w:rPr>
              <w:t>Use</w:t>
            </w:r>
          </w:p>
        </w:tc>
        <w:tc>
          <w:tcPr>
            <w:tcW w:type="dxa" w:w="3528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95F8C"/>
              </w:rPr>
              <w:t>Avoid</w:t>
            </w:r>
          </w:p>
        </w:tc>
      </w:tr>
      <w:tr>
        <w:tc>
          <w:tcPr>
            <w:tcW w:type="dxa" w:w="2232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417DA5"/>
              </w:rPr>
              <w:t>Security</w:t>
            </w:r>
          </w:p>
        </w:tc>
        <w:tc>
          <w:tcPr>
            <w:tcW w:type="dxa" w:w="3528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 w:val="0"/>
                <w:color w:val="417DA5"/>
              </w:rPr>
              <w:t>Specific controls and responsibilities.</w:t>
            </w:r>
          </w:p>
        </w:tc>
        <w:tc>
          <w:tcPr>
            <w:tcW w:type="dxa" w:w="3528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 w:val="0"/>
                <w:color w:val="417DA5"/>
              </w:rPr>
              <w:t>Fear-based or generic security imagery.</w:t>
            </w:r>
          </w:p>
        </w:tc>
      </w:tr>
      <w:tr>
        <w:tc>
          <w:tcPr>
            <w:tcW w:type="dxa" w:w="2232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32CD32"/>
              </w:rPr>
              <w:t>Compliance</w:t>
            </w:r>
          </w:p>
        </w:tc>
        <w:tc>
          <w:tcPr>
            <w:tcW w:type="dxa" w:w="3528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 w:val="0"/>
                <w:color w:val="32CD32"/>
              </w:rPr>
              <w:t>Precise source-backed statements.</w:t>
            </w:r>
          </w:p>
        </w:tc>
        <w:tc>
          <w:tcPr>
            <w:tcW w:type="dxa" w:w="3528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 w:val="0"/>
                <w:color w:val="32CD32"/>
              </w:rPr>
              <w:t>Invented certifications or claims.</w:t>
            </w:r>
          </w:p>
        </w:tc>
      </w:tr>
      <w:tr>
        <w:tc>
          <w:tcPr>
            <w:tcW w:type="dxa" w:w="2232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A690F"/>
              </w:rPr>
              <w:t>Cloud</w:t>
            </w:r>
          </w:p>
        </w:tc>
        <w:tc>
          <w:tcPr>
            <w:tcW w:type="dxa" w:w="3528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 w:val="0"/>
                <w:color w:val="FA690F"/>
              </w:rPr>
              <w:t>Concrete architecture and boundaries.</w:t>
            </w:r>
          </w:p>
        </w:tc>
        <w:tc>
          <w:tcPr>
            <w:tcW w:type="dxa" w:w="3528"/>
            <w:shd w:fill="E7EFF3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 w:val="0"/>
                <w:color w:val="FA690F"/>
              </w:rPr>
              <w:t>Abstract neon cloud metaphors.</w:t>
            </w:r>
          </w:p>
        </w:tc>
      </w:tr>
    </w:tbl>
    <w:p/>
    <w:p>
      <w:pPr>
        <w:pStyle w:val="Heading2"/>
      </w:pPr>
      <w:r>
        <w:t>Technical block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412"/>
            <w:vAlign w:val="center"/>
            <w:shd w:fill="EAF0F4"/>
            <w:tcBorders>
              <w:top w:val="single" w:sz="6" w:space="0" w:color="C9DCE6"/>
              <w:left w:val="single" w:sz="6" w:space="0" w:color="C9DCE6"/>
              <w:bottom w:val="single" w:sz="6" w:space="0" w:color="C9DCE6"/>
              <w:right w:val="single" w:sz="6" w:space="0" w:color="C9DCE6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Safespring Mono" w:hAnsi="Safespring Mono"/>
                <w:color w:val="195F8C"/>
                <w:sz w:val="18"/>
              </w:rPr>
              <w:t>brand-kit: https://www.safespring.com/brand/ai/brand-kit.json</w:t>
            </w:r>
          </w:p>
        </w:tc>
      </w:tr>
    </w:tbl>
    <w:p>
      <w:pPr>
        <w:pStyle w:val="Heading1"/>
      </w:pPr>
      <w:r>
        <w:t>Appendix</w:t>
      </w:r>
    </w:p>
    <w:p>
      <w:r>
        <w:t>Use appendices for sources, detailed requirements, or long technical tables.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fespring Mono" w:hAnsi="Safespring Mono"/>
        <w:color w:val="6A7B83"/>
        <w:sz w:val="16"/>
      </w:rPr>
      <w:t>Safespring AI Brand Kit | safespring.com/brand/ai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17320" cy="30371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afespring_logotype_blue_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30371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Montserrat" w:hAnsi="Montserrat" w:eastAsia="Montserrat"/>
      <w:color w:val="3232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Hind" w:hAnsi="Hind" w:eastAsia="Hind"/>
      <w:b w:val="0"/>
      <w:bCs/>
      <w:color w:val="195F8C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3C9BC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95F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Hind" w:hAnsi="Hind" w:eastAsia="Hind"/>
      <w:b w:val="0"/>
      <w:color w:val="195F8C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Montserrat" w:hAnsi="Montserrat" w:eastAsia="Montserrat"/>
      <w:b w:val="0"/>
      <w:i/>
      <w:iCs/>
      <w:color w:val="5262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