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llbdli2165o" w:id="0"/>
      <w:bookmarkEnd w:id="0"/>
      <w:r w:rsidDel="00000000" w:rsidR="00000000" w:rsidRPr="00000000">
        <w:rPr>
          <w:rtl w:val="0"/>
        </w:rPr>
        <w:t xml:space="preserve">Five  safeguarding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behaviour  based on Akirachix value them and adhere to this policy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Akirachix will prioritize committing resource to implementing safeguarding strategies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Safeguiding policy team has a zero tolerance about sexually harassment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Akirachix commits to upholding safeguiding assessments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Commits to  upholding safeguarding requirements from the governments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