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Averta Bold" w:hAnsi="Averta Bold"/>
          <w:b/>
          <w:color w:val="1E293B"/>
          <w:sz w:val="42"/>
        </w:rPr>
        <w:t>1. EJE RECTOR DE DESARROLLO SOCIAL</w:t>
      </w:r>
    </w:p>
    <w:p>
      <w:r>
        <w:rPr>
          <w:rFonts w:ascii="Averta Regular" w:hAnsi="Averta Regular"/>
          <w:color w:val="475569"/>
          <w:sz w:val="32"/>
        </w:rPr>
        <w:t>1.1.1. SEGURIDAD Y JUSTICIA</w:t>
      </w:r>
    </w:p>
    <w:p>
      <w:r>
        <w:rPr>
          <w:rFonts w:ascii="Averta Regular" w:hAnsi="Averta Regular"/>
          <w:color w:val="64748B"/>
          <w:sz w:val="28"/>
        </w:rPr>
        <w:t>1.1.1.1.1.1. Tecnología Aplicada a la Seguridad</w:t>
      </w:r>
    </w:p>
    <w:p>
      <w:pPr>
        <w:spacing w:line="360" w:lineRule="auto"/>
        <w:jc w:val="both"/>
      </w:pPr>
      <w:r>
        <w:rPr>
          <w:rFonts w:ascii="Averta Regular" w:hAnsi="Averta Regular"/>
          <w:sz w:val="22"/>
        </w:rPr>
        <w:t>En el marco del fortalecimiento de la seguridad pública, se ha consolidado la infraestructura tecnológica del C5i, integrando 1,200 puntos de monitoreo inteligente. Esta expansión ha permitido una cobertura del 85% de las zonas urbanas prioritarias, facilitando la detección oportuna de incidentes y la coordinación efectiva entre los diversos órdenes de gobierno.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pPr>
              <w:jc w:val="center"/>
            </w:pPr>
            <w:r>
              <w:rPr>
                <w:rFonts w:ascii="Quatro Slab" w:hAnsi="Quatro Slab"/>
                <w:color w:val="1E293B"/>
                <w:sz w:val="30"/>
              </w:rPr>
              <w:t>"Incremento del 25% en la eficiencia operativa de los cuerpos de seguridad mediante monitoreo inteligente."</w:t>
            </w:r>
          </w:p>
        </w:tc>
      </w:tr>
    </w:tbl>
    <w:p>
      <w:r>
        <w:rPr>
          <w:rFonts w:ascii="Averta Regular" w:hAnsi="Averta Regular"/>
          <w:color w:val="475569"/>
          <w:sz w:val="32"/>
        </w:rPr>
        <w:t>1.1.2. PARTICIPACIÓN CIUDADANA</w:t>
      </w:r>
    </w:p>
    <w:p>
      <w:r>
        <w:rPr>
          <w:rFonts w:ascii="Averta Regular" w:hAnsi="Averta Regular"/>
          <w:color w:val="64748B"/>
          <w:sz w:val="28"/>
        </w:rPr>
        <w:t>1.1.2.1.2.1. Programas de Prevención</w:t>
      </w:r>
    </w:p>
    <w:p>
      <w:pPr>
        <w:spacing w:line="360" w:lineRule="auto"/>
        <w:jc w:val="both"/>
      </w:pPr>
      <w:r>
        <w:rPr>
          <w:rFonts w:ascii="Averta Regular" w:hAnsi="Averta Regular"/>
          <w:sz w:val="22"/>
        </w:rPr>
        <w:t>Se puso en marcha el programa 'Vigilante Ciudadano', logrando la capacitación de 5,000 líderes comunitarios en materia de prevención del delito. Esta iniciativa ciudadana ha propiciado una cultura de paz y legalidad, reflejándose en una disminución del 12% en delitos del fuero común en las colonias intervenidas.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pPr>
              <w:jc w:val="center"/>
            </w:pPr>
            <w:r>
              <w:rPr>
                <w:rFonts w:ascii="Quatro Slab" w:hAnsi="Quatro Slab"/>
                <w:color w:val="1E293B"/>
                <w:sz w:val="30"/>
              </w:rPr>
              <w:t>"Participación activa de 5,000 ciudadanos en redes de prevención del delito."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