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verta Bold" w:hAnsi="Averta Bold"/>
          <w:b/>
          <w:color w:val="1E293B"/>
          <w:sz w:val="42"/>
        </w:rPr>
        <w:t>1. PAZ, JUSTICIA E INSTITUCIONES SÓLIDAS</w:t>
      </w:r>
    </w:p>
    <w:p>
      <w:r>
        <w:rPr>
          <w:rFonts w:ascii="Averta Regular" w:hAnsi="Averta Regular"/>
          <w:color w:val="475569"/>
          <w:sz w:val="32"/>
        </w:rPr>
        <w:t>1.1. SEGURIDAD CIUDADANA</w:t>
      </w:r>
    </w:p>
    <w:p>
      <w:r>
        <w:rPr>
          <w:rFonts w:ascii="Averta Regular" w:hAnsi="Averta Regular"/>
          <w:color w:val="64748B"/>
          <w:sz w:val="28"/>
        </w:rPr>
        <w:t>1.1.1. Prevención del Delito</w:t>
      </w:r>
    </w:p>
    <w:p>
      <w:pPr>
        <w:spacing w:line="360" w:lineRule="auto"/>
        <w:jc w:val="both"/>
      </w:pPr>
      <w:r>
        <w:rPr>
          <w:rFonts w:ascii="Averta Regular" w:hAnsi="Averta Regular"/>
          <w:sz w:val="22"/>
        </w:rPr>
        <w:t>Durante el presente periodo se han implementado 45 nuevos programas de vigilancia comunitaria, impactando positivamente en la percepción de seguridad de 12 municipios críticos. La coordinación entre los tres órdenes de gobierno ha permitido una reducción del 12% en la incidencia delictiva general.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293B"/>
                <w:sz w:val="30"/>
              </w:rPr>
              <w:t>"La paz social es el cimiento sobre el cual construimos el futuro de nuestro estado."</w:t>
            </w:r>
          </w:p>
        </w:tc>
      </w:tr>
    </w:tbl>
    <w:p>
      <w:r>
        <w:rPr>
          <w:rFonts w:ascii="Averta Regular" w:hAnsi="Averta Regular"/>
          <w:color w:val="475569"/>
          <w:sz w:val="32"/>
        </w:rPr>
        <w:t>1.2. JUSTICIA TRANSPARENTE</w:t>
      </w:r>
    </w:p>
    <w:p>
      <w:pPr>
        <w:spacing w:line="360" w:lineRule="auto"/>
        <w:jc w:val="both"/>
      </w:pPr>
      <w:r>
        <w:rPr>
          <w:rFonts w:ascii="Averta Regular" w:hAnsi="Averta Regular"/>
          <w:sz w:val="22"/>
        </w:rPr>
        <w:t>Se digitalizaron el 100% de los trámites ante el Registro Civil, reduciendo los tiempos de espera de 15 días a solo 24 horas para la obtención de actas certificadas.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