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7ad7dfa5e48438bb6437f4d233e58f2084ad19ea.png"/>
            <a:graphic>
              <a:graphicData uri="http://schemas.openxmlformats.org/drawingml/2006/picture">
                <pic:pic>
                  <pic:nvPicPr>
                    <pic:cNvPr id="1" name="image-7ad7dfa5e48438bb6437f4d233e58f2084ad19ea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Система мониторинга логов Google Apps Script: стратегика, данные, операции и качество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Стратегическая рамка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Деятельность по мониторингу логов Apps Script напрямую поддерживает корпоративную цель «цифровая устойчивость» и входит в домены COBIT 2019 EDM («Evaluate-Direct-Monitor»), APO («Align-Plan-Organize») и DSS («Deliver-Service-Support»). В EDM руководство фиксирует ожидания к непрерывной доступности и политике хранения логов; в APO формируется портфель сервисов observability; в BAI концентрируются вопросы автоматизированного развёртывания, а DSS05 отвечает за управляемую информационную безопасность журналов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 Базовая бизнес-ценность процесса формулируется как «сокращение MTTR инцидентов интеграционных скриптов на 60% при одновременном снижении операционных рисков», что напрямую коррелирует с цифровой трансформацией, снижением ESG-углеродного следа за счёт уменьшения простоев и повышением прозрачности процессов. Структура OKR фиксирует объектив «обеспечить 99,9% своевременную доставку логов»; ключевые результаты включают достижение 95-процентного обнаружения ошибок AI-механизмом AIOps, сокращение среднего времени обнаружения до пяти минут и автоматическую классификацию 90% событий безопасности</w:t>
      </w:r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3" w:name="fnref4"/>
      <w:bookmarkEnd w:id="3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</w:rPr>
        <w:t xml:space="preserve">. В модели TOGAF процесс располагается на уровне Capability Architecture в слое Technology, опирается на building blocks «Observability Platform», «AI Anomaly Detection» и «Compliance Logging Service»</w:t>
      </w:r>
      <w:bookmarkStart w:id="4" w:name="fnref5"/>
      <w:bookmarkEnd w:id="4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bookmarkStart w:id="5" w:name="fnref6"/>
      <w:bookmarkEnd w:id="5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r>
        <w:rPr>
          <w:rFonts w:eastAsia="inter" w:cs="inter" w:ascii="inter" w:hAnsi="inter"/>
          <w:color w:val="000000"/>
        </w:rPr>
        <w:t xml:space="preserve">. Стратегическим владельцем назначается CIO, ответственный за согласование бюджета журналирования с целями Enterprise Architecture и утверждение контрольных метрик.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Управление данными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Входными данными являются записи Cloud Logging: timeStamp, severity, jsonPayload.message, resource.labels.*, причём message содержит сериализованный объект со свойствами summary, executionId, scriptId и т. д.</w:t>
      </w:r>
      <w:bookmarkStart w:id="6" w:name="fnref7"/>
      <w:bookmarkEnd w:id="6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  <w:r>
        <w:rPr>
          <w:rFonts w:eastAsia="inter" w:cs="inter" w:ascii="inter" w:hAnsi="inter"/>
          <w:color w:val="000000"/>
        </w:rPr>
        <w:t xml:space="preserve">. Исходящие данные – агрегированные метрики, а также событие Pub/Sub о критической ошибке. Принципы DAMA-DMBOK распространяют на процесс все одиннадцать областей: Data Quality обеспечивает completeness и consistency журналов; Data Security – шифрование поля message; Metadata Management маркирует источники; Data Integration консолидирует записи в BigQuery; Reference &amp; Master Data сопоставляет scriptId с каталогом проектов; Data Governance внедряет ролевой доступ RBAC</w:t>
      </w:r>
      <w:bookmarkStart w:id="7" w:name="fnref8"/>
      <w:bookmarkEnd w:id="7"/>
      <w:hyperlink w:anchor="fn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[8]</w:t>
        </w:r>
      </w:hyperlink>
      <w:bookmarkStart w:id="8" w:name="fnref9"/>
      <w:bookmarkEnd w:id="8"/>
      <w:hyperlink w:anchor="fn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[9]</w:t>
        </w:r>
      </w:hyperlink>
      <w:r>
        <w:rPr>
          <w:rFonts w:eastAsia="inter" w:cs="inter" w:ascii="inter" w:hAnsi="inter"/>
          <w:color w:val="000000"/>
        </w:rPr>
        <w:t xml:space="preserve">. Практика DataOps предлагает декларативные пайплайны в Cloud Composer: Step 1 – экспорт логов в Cloud Storage, Step 2 – dbt-трансформация, Step 3 – автоматическая валидация Great Expectations; на каждом этапе идёт тестирование, мониторинг отставаний и автооткат</w:t>
      </w:r>
      <w:bookmarkStart w:id="9" w:name="fnref10"/>
      <w:bookmarkEnd w:id="9"/>
      <w:hyperlink w:anchor="fn10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[10]</w:t>
        </w:r>
      </w:hyperlink>
      <w:bookmarkStart w:id="10" w:name="fnref11"/>
      <w:bookmarkEnd w:id="10"/>
      <w:hyperlink w:anchor="fn1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[11]</w:t>
        </w:r>
      </w:hyperlink>
      <w:r>
        <w:rPr>
          <w:rFonts w:eastAsia="inter" w:cs="inter" w:ascii="inter" w:hAnsi="inter"/>
          <w:color w:val="000000"/>
        </w:rPr>
        <w:t xml:space="preserve">. Modern Data Stack: BigQuery как DW, Airflow / Cloud Composer для оркестрации, dbt Core для трансформаций, Looker для визуализации и Evidently AI для контроля дрифта ML-моделей аномалий.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Операционные процессы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ITIL 4 относит мониторинг логов к практике «Monitoring &amp; Event Management», которая входит в цепочку создания ценности «Detect–Respond–Improve»</w:t>
      </w:r>
      <w:bookmarkStart w:id="11" w:name="fnref12"/>
      <w:bookmarkEnd w:id="11"/>
      <w:hyperlink w:anchor="fn1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[12]</w:t>
        </w:r>
      </w:hyperlink>
      <w:r>
        <w:rPr>
          <w:rFonts w:eastAsia="inter" w:cs="inter" w:ascii="inter" w:hAnsi="inter"/>
          <w:color w:val="000000"/>
        </w:rPr>
        <w:t xml:space="preserve">. Инциденты фиксируются, классифицируются и передаются в практику «Incident Management», а проблемные тренды – в «Problem Management», где анализируется первопричина. SAFe DevOps Continuous Delivery Pipeline включает стадии «Continuous Exploration» (проектирование правил парсинга), «Continuous Integration» (CI-запуск unit-тестов лямбда-функций парсинга), «Continuous Deployment» (Terraform-код развертывает Cloud Functions) и «Release on Demand» (</w:t>
      </w:r>
      <w:hyperlink r:id="rId6">
        <w:r>
          <w:rPr>
            <w:rFonts w:eastAsia="inter" w:cs="inter" w:ascii="inter" w:hAnsi="inter"/>
            <w:color w:val="#000"/>
            <w:u w:val="single"/>
          </w:rPr>
          <w:t xml:space="preserve">scheduler.py</w:t>
        </w:r>
      </w:hyperlink>
      <w:r>
        <w:rPr>
          <w:rFonts w:eastAsia="inter" w:cs="inter" w:ascii="inter" w:hAnsi="inter"/>
          <w:color w:val="000000"/>
        </w:rPr>
        <w:t xml:space="preserve"> публикует отчёт каждые три часа)</w:t>
      </w:r>
      <w:bookmarkStart w:id="12" w:name="fnref13"/>
      <w:bookmarkEnd w:id="12"/>
      <w:hyperlink w:anchor="fn1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[13]</w:t>
        </w:r>
      </w:hyperlink>
      <w:r>
        <w:rPr>
          <w:rFonts w:eastAsia="inter" w:cs="inter" w:ascii="inter" w:hAnsi="inter"/>
          <w:color w:val="000000"/>
        </w:rPr>
        <w:t xml:space="preserve">. При внедрении ML-модели аномалий применяется полный MLOps-жизненный цикл: данные логов поступают в Vertex AI, модель обучается, регистрируется в ML Registry и разворачивается как endpoint; мониторинг дрифта реализуется через Vertex Model Monitoring</w:t>
      </w:r>
      <w:bookmarkStart w:id="13" w:name="fnref14"/>
      <w:bookmarkEnd w:id="13"/>
      <w:hyperlink w:anchor="fn1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[14]</w:t>
        </w:r>
      </w:hyperlink>
      <w:r>
        <w:rPr>
          <w:rFonts w:eastAsia="inter" w:cs="inter" w:ascii="inter" w:hAnsi="inter"/>
          <w:color w:val="000000"/>
        </w:rPr>
        <w:t xml:space="preserve">. DevOps-практики используют GitHub Actions или Cloud Build, IaC – Terraform, тестирование – pytest; успешный пайплайн автоматически повышает квоту GCP, если это одобрено владельцем проекта</w:t>
      </w:r>
      <w:bookmarkStart w:id="14" w:name="fnref15"/>
      <w:bookmarkEnd w:id="14"/>
      <w:hyperlink w:anchor="fn1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[15]</w:t>
        </w:r>
      </w:hyperlink>
      <w:r>
        <w:rPr>
          <w:rFonts w:eastAsia="inter" w:cs="inter" w:ascii="inter" w:hAnsi="inter"/>
          <w:color w:val="000000"/>
        </w:rPr>
        <w:t xml:space="preserve">. В сознании сотрудников закрепляется чек-лист: «код ревью завершён, тесты зелёные, квоты в допустимых границах – разрешить деплой», что обеспечивает непрерывную эксплуатацию.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Автоматизация операций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AIOps-платформа (например, LogicMonitor AIOps) сообщает предиктивные алерты на основе обучения последовательности логов</w:t>
      </w:r>
      <w:bookmarkStart w:id="15" w:name="fnref16"/>
      <w:bookmarkEnd w:id="15"/>
      <w:hyperlink w:anchor="fn1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[16]</w:t>
        </w:r>
      </w:hyperlink>
      <w:bookmarkStart w:id="16" w:name="fnref17"/>
      <w:bookmarkEnd w:id="16"/>
      <w:hyperlink w:anchor="fn1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[17]</w:t>
        </w:r>
      </w:hyperlink>
      <w:r>
        <w:rPr>
          <w:rFonts w:eastAsia="inter" w:cs="inter" w:ascii="inter" w:hAnsi="inter"/>
          <w:color w:val="000000"/>
        </w:rPr>
        <w:t xml:space="preserve">. BPMN-диаграмма отображает поток «Получить Raw-логи → Парсинг → Кластеризация → Обогащение контекстом → Оценка модели → Создание алерта → Auto-remediation», где gateways определяют, требует ли событие ручного подтверждения. Robotic Process Automation исключает ручной экспорт: бот Gmail RPA автоматически прикрепляет PDF-отчёт к Jira-тикету. Chaos Engineering-практика испускает fault injection через Cloud Scheduler, создавая искусственные превышения квоты urlFetch, что проверяет устойчивость пайплайна</w:t>
      </w:r>
      <w:bookmarkStart w:id="17" w:name="fnref18"/>
      <w:bookmarkEnd w:id="17"/>
      <w:hyperlink w:anchor="fn1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[18]</w:t>
        </w:r>
      </w:hyperlink>
      <w:bookmarkStart w:id="18" w:name="fnref19"/>
      <w:bookmarkEnd w:id="18"/>
      <w:hyperlink w:anchor="fn1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[19]</w:t>
        </w:r>
      </w:hyperlink>
      <w:r>
        <w:rPr>
          <w:rFonts w:eastAsia="inter" w:cs="inter" w:ascii="inter" w:hAnsi="inter"/>
          <w:color w:val="000000"/>
        </w:rPr>
        <w:t xml:space="preserve">. Наблюдаемость строится на четырёх золотых сигналах SRE: latency, traffic, errors, saturation</w:t>
      </w:r>
      <w:bookmarkStart w:id="19" w:name="fnref20"/>
      <w:bookmarkEnd w:id="19"/>
      <w:hyperlink w:anchor="fn20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[20]</w:t>
        </w:r>
      </w:hyperlink>
      <w:r>
        <w:rPr>
          <w:rFonts w:eastAsia="inter" w:cs="inter" w:ascii="inter" w:hAnsi="inter"/>
          <w:color w:val="000000"/>
        </w:rPr>
        <w:t xml:space="preserve">; SLA – 99,9% доступности отчёта, SLO – 90-percentile latency API /report &lt; 400 ms. Auto-remediation: при превышении SLA Cloud Functions триггерит скрипт, который временно повышает ресурсный класс BigQuery-слота.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Контроль качества и соответствие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ISO/IEC 20000-1 требует журналирования всех запросов Service Desk и хранение записей, подтверждающих выполнение процесса мониторинга</w:t>
      </w:r>
      <w:bookmarkStart w:id="20" w:name="fnref21"/>
      <w:bookmarkEnd w:id="20"/>
      <w:hyperlink w:anchor="fn2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[21]</w:t>
        </w:r>
      </w:hyperlink>
      <w:bookmarkStart w:id="21" w:name="fnref22"/>
      <w:bookmarkEnd w:id="21"/>
      <w:hyperlink w:anchor="fn2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[22]</w:t>
        </w:r>
      </w:hyperlink>
      <w:r>
        <w:rPr>
          <w:rFonts w:eastAsia="inter" w:cs="inter" w:ascii="inter" w:hAnsi="inter"/>
          <w:color w:val="000000"/>
        </w:rPr>
        <w:t xml:space="preserve">. ISO/IEC 27001:2022 вводит новый контроль A.5.18 «Журналы событий» с обязанностью обеспечивать целостность, доступ и неизменность логов</w:t>
      </w:r>
      <w:bookmarkStart w:id="22" w:name="fnref23"/>
      <w:bookmarkEnd w:id="22"/>
      <w:hyperlink w:anchor="fn2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[23]</w:t>
        </w:r>
      </w:hyperlink>
      <w:bookmarkStart w:id="23" w:name="fnref24"/>
      <w:bookmarkEnd w:id="23"/>
      <w:hyperlink w:anchor="fn2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[24]</w:t>
        </w:r>
      </w:hyperlink>
      <w:r>
        <w:rPr>
          <w:rFonts w:eastAsia="inter" w:cs="inter" w:ascii="inter" w:hAnsi="inter"/>
          <w:color w:val="000000"/>
        </w:rPr>
        <w:t xml:space="preserve">; политика описывает хэш-цепочку Cloud Storage и 30-дневное хранение Stackdriver с экспортом в BigQuery RMF. NIST SP 800-92r1 предоставляет руководство по архитектуре лог-менеджмента и рекомендует централизованный сбор, сигнатуры и нормализацию, что включено в проект CSBAuditor при тестировании в AWS и GCP с детектированием 98% неправильных конфигураций</w:t>
      </w:r>
      <w:bookmarkStart w:id="24" w:name="fnref25"/>
      <w:bookmarkEnd w:id="24"/>
      <w:hyperlink w:anchor="fn2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[25]</w:t>
        </w:r>
      </w:hyperlink>
      <w:bookmarkStart w:id="25" w:name="fnref26"/>
      <w:bookmarkEnd w:id="25"/>
      <w:hyperlink w:anchor="fn2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[26]</w:t>
        </w:r>
      </w:hyperlink>
      <w:r>
        <w:rPr>
          <w:rFonts w:eastAsia="inter" w:cs="inter" w:ascii="inter" w:hAnsi="inter"/>
          <w:color w:val="000000"/>
        </w:rPr>
        <w:t xml:space="preserve">. Ответственный AI возникает при применении ML к логам: NIST AI RMF требует оценки риска на фазах «Map-Measure-Manage-Govern»</w:t>
      </w:r>
      <w:bookmarkStart w:id="26" w:name="fnref27"/>
      <w:bookmarkEnd w:id="26"/>
      <w:hyperlink w:anchor="fn2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[27]</w:t>
        </w:r>
      </w:hyperlink>
      <w:bookmarkStart w:id="27" w:name="fnref28"/>
      <w:bookmarkEnd w:id="27"/>
      <w:hyperlink w:anchor="fn2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[28]</w:t>
        </w:r>
      </w:hyperlink>
      <w:r>
        <w:rPr>
          <w:rFonts w:eastAsia="inter" w:cs="inter" w:ascii="inter" w:hAnsi="inter"/>
          <w:color w:val="000000"/>
        </w:rPr>
        <w:t xml:space="preserve">; организация следует принципам прозрачности, справедливости, надёжности и отчётности, закреплённым в Microsoft Responsible AI и Google AI Principles</w:t>
      </w:r>
      <w:bookmarkStart w:id="28" w:name="fnref29"/>
      <w:bookmarkEnd w:id="28"/>
      <w:hyperlink w:anchor="fn2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[29]</w:t>
        </w:r>
      </w:hyperlink>
      <w:bookmarkStart w:id="29" w:name="fnref30"/>
      <w:bookmarkEnd w:id="29"/>
      <w:hyperlink w:anchor="fn30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[30]</w:t>
        </w:r>
      </w:hyperlink>
      <w:r>
        <w:rPr>
          <w:rFonts w:eastAsia="inter" w:cs="inter" w:ascii="inter" w:hAnsi="inter"/>
          <w:color w:val="000000"/>
        </w:rPr>
        <w:t xml:space="preserve">. Для ежегодного внутреннего аудита применяется матрица RAIAMM, которая проверяет зрелость процессов по пяти уровням от «Initial» до «Optimizing»</w:t>
      </w:r>
      <w:bookmarkStart w:id="30" w:name="fnref31"/>
      <w:bookmarkEnd w:id="30"/>
      <w:hyperlink w:anchor="fn3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[31]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Интеграции и связи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Upstream-триггером является Console Logging API Apps Script, downstream-потребителями – аналитические панели, Telegram-боты и webhook-интерфейсы службы SRE. Event-driven архитектура использует Cloud Pub/Sub: парсер публикует событие «log.parsed», а подписчики BigQuery-Streamer и Incident-Manager реагируют асинхронно. Совместные сервисы: Cloud Scheduler, GCS Buckets, Dataflow. Для сторонних поставщиков (AIOps-SaaS) применяется oAuth2 with Domain-wide Delegation; SLA поставщика интегрируется в общий каталог сервисов.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7. Роли, компетенции и ИИ-агенты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Стратегический владелец – CIO; процессный управляющий – Head of Operations; архитектор Enterprise – TOGAF-сертифицированный специалист; инженер DataOps с подготовкой dbt / Airflow; SRE - обладатель сертификации SRE Foundation; ML-инженер - Vertex AI Professional. Для каждого персонажа подготовлен промпт. Пример: «Вы – AI-стратег, вам поручено ежегодно пересматривать OKR процесса мониторинга логов. Шаг 1 - проанализируйте отклонения KPI, Шаг 2 - предложите новые ключевые результаты в рамках бизнес-цели “Zero Unplanned Downtime”, Шаг 3 - согласуйте их с доменами COBIT EDM и DSS05, учитывая нормативы ISO 27001»</w:t>
      </w:r>
      <w:bookmarkStart w:id="31" w:name="fnref32"/>
      <w:bookmarkEnd w:id="31"/>
      <w:hyperlink w:anchor="fn3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8. Инструменты и технологии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Технологический стек включает Google Cloud Logging / Error Reporting для приёма сообщений, Stackdriver Log Metrics для кастомных счётчиков, Cloud Storage + Object Lifecycle для архивов, BigQuery для аналитики, dbt Core для ELT-трансформаций, Cloud Composer для оркестрации, Cloud Functions для auto-remediation, Terraform и Cloud Build для CI/CD, Kubernetes GKE для скейлинга служебных контейнеров, а также AIOps-платформу LogicMonitor или Alibaba SLS с AI Patrol</w:t>
      </w:r>
      <w:bookmarkStart w:id="32" w:name="fnref16:1"/>
      <w:bookmarkEnd w:id="32"/>
      <w:hyperlink w:anchor="fn1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[16]</w:t>
        </w:r>
      </w:hyperlink>
      <w:bookmarkStart w:id="33" w:name="fnref33"/>
      <w:bookmarkEnd w:id="33"/>
      <w:hyperlink w:anchor="fn3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[33]</w:t>
        </w:r>
      </w:hyperlink>
      <w:r>
        <w:rPr>
          <w:rFonts w:eastAsia="inter" w:cs="inter" w:ascii="inter" w:hAnsi="inter"/>
          <w:color w:val="000000"/>
        </w:rPr>
        <w:t xml:space="preserve">. Для Chaos Testing – Harness Chaos к. 2024; для Data Observability – Acceldata и Atlan</w:t>
      </w:r>
      <w:bookmarkStart w:id="34" w:name="fnref34"/>
      <w:bookmarkEnd w:id="34"/>
      <w:hyperlink w:anchor="fn3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[34]</w:t>
        </w:r>
      </w:hyperlink>
      <w:bookmarkStart w:id="35" w:name="fnref35"/>
      <w:bookmarkEnd w:id="35"/>
      <w:hyperlink w:anchor="fn3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[35]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9. Метрики и KPI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2378"/>
        <w:gridCol w:w="2378"/>
        <w:gridCol w:w="2378"/>
        <w:gridCol w:w="2378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Метрика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Цель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Порог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Источник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Mean Time to Detect (MTTD)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≤ 5 мин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95-перцентиль &lt; 300 сек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NIST SP 800-92r1</w:t>
            </w:r>
            <w:hyperlink w:anchor="fn25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[25]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Mean Time to Recover (MTTR)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≤ 15 мин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среднее &lt; 900 сек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ITIL 4 Incident Guide</w:t>
            </w:r>
            <w:hyperlink w:anchor="fn12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[12]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Log Ingestion Success Rate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99,9%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&lt; 0,1% потерянных записей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Stackdriver Metrics</w:t>
            </w:r>
            <w:hyperlink w:anchor="fn7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[7]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Automated Alert Precision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95%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ложноположительных &lt; 5%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AIOps Benchmark 2025</w:t>
            </w:r>
            <w:hyperlink w:anchor="fn16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[16]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Data Completeness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100% полей schema v2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n/a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DAMA DMBOK Quality</w:t>
            </w:r>
            <w:hyperlink w:anchor="fn8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[8]</w:t>
              </w:r>
            </w:hyperlink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Compliance Audit Findings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0 major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0 несоответствий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ISO 27001:2022 Audit</w:t>
            </w:r>
            <w:hyperlink w:anchor="fn23">
              <w:r>
                <w:rPr>
                  <w:rFonts w:eastAsia="inter" w:cs="inter" w:ascii="inter" w:hAnsi="inter"/>
                  <w:color w:val="#000"/>
                  <w:sz w:val="17"/>
                  <w:u w:val="single"/>
                  <w:vertAlign w:val="superscript"/>
                </w:rPr>
                <w:t xml:space="preserve">[23]</w:t>
              </w:r>
            </w:hyperlink>
          </w:p>
        </w:tc>
      </w:tr>
    </w:tbl>
    <w:p>
      <w:pPr>
        <w:spacing w:lineRule="auto"/>
      </w:pP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Эти показатели публикуются в ежедневном отчёте BigQuery-Looker и связаны с ESG-целью «минимизация простоя цифровых сервисов», что уменьшает энергорасточительность дата-центров на 8% год к году</w:t>
      </w:r>
      <w:bookmarkStart w:id="36" w:name="fnref36"/>
      <w:bookmarkEnd w:id="36"/>
      <w:hyperlink w:anchor="fn3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[36]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10. Улучшения и инновации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Контур непрерывного улучшения повторяет цикл «Plan-Do-Check-Act»: данные KPI ежемесячно анализируются ML-моделью прогнозирования, результаты передаются владельцу процесса, который актуализирует OKR. Emerging trends 2025-2026 – генеративные LLM-агенты, автоматизирующие корреляцию логов («LogBabylon»), применение Data-Mesh для доменной ответственности команд и внедрение NIST AI RMF как отраслевого стандарта управления рисками AI-обработки логов</w:t>
      </w:r>
      <w:bookmarkStart w:id="37" w:name="fnref37"/>
      <w:bookmarkEnd w:id="37"/>
      <w:hyperlink w:anchor="fn3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[37]</w:t>
        </w:r>
      </w:hyperlink>
      <w:bookmarkStart w:id="38" w:name="fnref34:1"/>
      <w:bookmarkEnd w:id="38"/>
      <w:hyperlink w:anchor="fn3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[34]</w:t>
        </w:r>
      </w:hyperlink>
      <w:bookmarkStart w:id="39" w:name="fnref27:1"/>
      <w:bookmarkEnd w:id="39"/>
      <w:hyperlink w:anchor="fn2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[27]</w:t>
        </w:r>
      </w:hyperlink>
      <w:r>
        <w:rPr>
          <w:rFonts w:eastAsia="inter" w:cs="inter" w:ascii="inter" w:hAnsi="inter"/>
          <w:color w:val="000000"/>
        </w:rPr>
        <w:t xml:space="preserve">. В перспективе используется сбор телеметрии Edge-зондов в Kubernetes, а фазовое внедрение eBPF-based observability обещает снижение latency парсинга на 30%.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Таким образом, интеграция стратегического управления (COBIT 2019), комплексной Data Ops-архитектуры, операционного ITIL- и SRE-плейбука, AIOps-автоматизации и строгих стандартов ISO/NIST создаёт устойчивый, соответствующий ESG-приоритетам процесс мониторинга логов Apps Script, способный поддерживать масштабируемость платформы ИИ-агентов компании в горизонте 2025-2026 гг.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40" w:name="fn1"/>
    <w:bookmarkEnd w:id="40"/>
    <w:p>
      <w:pPr>
        <w:numPr>
          <w:ilvl w:val="0"/>
          <w:numId w:val="2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https://4matt.com.br/en-gb/cobit-2019-avaliar-orientar-e-monitorar-edm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1" w:name="fn2"/>
    <w:bookmarkEnd w:id="41"/>
    <w:p>
      <w:pPr>
        <w:numPr>
          <w:ilvl w:val="0"/>
          <w:numId w:val="2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https://www.linkedin.com/pulse/dss05-unveiled-powerhouse-managed-security-services-cobit-al-dalou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2" w:name="fn3"/>
    <w:bookmarkEnd w:id="42"/>
    <w:p>
      <w:pPr>
        <w:numPr>
          <w:ilvl w:val="0"/>
          <w:numId w:val="2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https://www.tability.io/templates/t/dnbCvrpO-nge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3" w:name="fn4"/>
    <w:bookmarkEnd w:id="43"/>
    <w:p>
      <w:pPr>
        <w:numPr>
          <w:ilvl w:val="0"/>
          <w:numId w:val="2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https://dev.to/squadcast/best-practices-for-key-performance-indicators-kpi-in-incident-management-3pf8?comments_sort=oldest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4" w:name="fn5"/>
    <w:bookmarkEnd w:id="44"/>
    <w:p>
      <w:pPr>
        <w:numPr>
          <w:ilvl w:val="0"/>
          <w:numId w:val="2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http://www.togaf.org/togaf9/toc.html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5" w:name="fn6"/>
    <w:bookmarkEnd w:id="45"/>
    <w:p>
      <w:pPr>
        <w:numPr>
          <w:ilvl w:val="0"/>
          <w:numId w:val="2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https://guides.visual-paradigm.com/exploring-the-architecture-capability-framework-in-togaf-components-and-benefits/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6" w:name="fn7"/>
    <w:bookmarkEnd w:id="46"/>
    <w:p>
      <w:pPr>
        <w:numPr>
          <w:ilvl w:val="0"/>
          <w:numId w:val="2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https://developers.google.com/apps-script/guides/logging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7" w:name="fn8"/>
    <w:bookmarkEnd w:id="47"/>
    <w:p>
      <w:pPr>
        <w:numPr>
          <w:ilvl w:val="0"/>
          <w:numId w:val="2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https://www.optimizemro.com/blog/dama-dmbok-a-comprehensive-framework-for-data-management/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8" w:name="fn9"/>
    <w:bookmarkEnd w:id="48"/>
    <w:p>
      <w:pPr>
        <w:numPr>
          <w:ilvl w:val="0"/>
          <w:numId w:val="2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3-eu-west-1.amazonaws.com/pstorage-tf-iopjsd8797887/53185655/uism_a_2477455_sm5959.docx?X-Amz-Algorithm=AWS4-HMAC-SHA256&amp;X-Amz-Credential=AKIAJ45OKHUICFE2DW6Q%2F20250408%2Feu-west-1%2Fs3%2Faws4_request&amp;X-Amz-Date=20250408T111340Z&amp;X-Amz-Expires=10&amp;X-Amz-SignedHeaders=host&amp;X-Amz-Signature=d74fddbe9fa94bdeac0d330f55270aedfff811ab616059b3d96110509cc2d43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9" w:name="fn10"/>
    <w:bookmarkEnd w:id="49"/>
    <w:p>
      <w:pPr>
        <w:numPr>
          <w:ilvl w:val="0"/>
          <w:numId w:val="2"/>
        </w:numPr>
        <w:spacing w:line="360" w:after="210" w:lineRule="auto"/>
      </w:pPr>
      <w:hyperlink r:id="rId1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https://rivery.io/data-learning-center/dataops-best-practices/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0" w:name="fn11"/>
    <w:bookmarkEnd w:id="50"/>
    <w:p>
      <w:pPr>
        <w:numPr>
          <w:ilvl w:val="0"/>
          <w:numId w:val="2"/>
        </w:numPr>
        <w:spacing w:line="360" w:after="210" w:lineRule="auto"/>
      </w:pPr>
      <w:hyperlink r:id="rId1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https://dev.to/imaginex/dataops-best-practices-building-resilient-pipelines-in-databricks-52g4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1" w:name="fn12"/>
    <w:bookmarkEnd w:id="51"/>
    <w:p>
      <w:pPr>
        <w:numPr>
          <w:ilvl w:val="0"/>
          <w:numId w:val="2"/>
        </w:numPr>
        <w:spacing w:line="360" w:after="210" w:lineRule="auto"/>
      </w:pPr>
      <w:hyperlink r:id="rId1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https://purplegriffon.com/blog/monitoring-and-event-management-itil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2" w:name="fn13"/>
    <w:bookmarkEnd w:id="52"/>
    <w:p>
      <w:pPr>
        <w:numPr>
          <w:ilvl w:val="0"/>
          <w:numId w:val="2"/>
        </w:numPr>
        <w:spacing w:line="360" w:after="210" w:lineRule="auto"/>
      </w:pPr>
      <w:hyperlink r:id="rId1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https://learn.microsoft.com/en-us/azure/devops/boards/plans/safe-review-roadmaps-progress?view=azure-devops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3" w:name="fn14"/>
    <w:bookmarkEnd w:id="53"/>
    <w:p>
      <w:pPr>
        <w:numPr>
          <w:ilvl w:val="0"/>
          <w:numId w:val="2"/>
        </w:numPr>
        <w:spacing w:line="360" w:after="210" w:lineRule="auto"/>
      </w:pPr>
      <w:hyperlink r:id="rId2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https://arxiv.org/pdf/2402.10397.pdf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4" w:name="fn15"/>
    <w:bookmarkEnd w:id="54"/>
    <w:p>
      <w:pPr>
        <w:numPr>
          <w:ilvl w:val="0"/>
          <w:numId w:val="2"/>
        </w:numPr>
        <w:spacing w:line="360" w:after="210" w:lineRule="auto"/>
      </w:pPr>
      <w:hyperlink r:id="rId2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https://github.com/google/quota-monitoring-solution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5" w:name="fn16"/>
    <w:bookmarkEnd w:id="55"/>
    <w:p>
      <w:pPr>
        <w:numPr>
          <w:ilvl w:val="0"/>
          <w:numId w:val="2"/>
        </w:numPr>
        <w:spacing w:line="360" w:after="210" w:lineRule="auto"/>
      </w:pPr>
      <w:hyperlink r:id="rId2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https://www.logicmonitor.com/blog/what-is-aiops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6" w:name="fn17"/>
    <w:bookmarkEnd w:id="56"/>
    <w:p>
      <w:pPr>
        <w:numPr>
          <w:ilvl w:val="0"/>
          <w:numId w:val="2"/>
        </w:numPr>
        <w:spacing w:line="360" w:after="210" w:lineRule="auto"/>
      </w:pPr>
      <w:hyperlink r:id="rId2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https://research.aimultiple.com/aiops-platforms/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7" w:name="fn18"/>
    <w:bookmarkEnd w:id="57"/>
    <w:p>
      <w:pPr>
        <w:numPr>
          <w:ilvl w:val="0"/>
          <w:numId w:val="2"/>
        </w:numPr>
        <w:spacing w:line="360" w:after="210" w:lineRule="auto"/>
      </w:pPr>
      <w:hyperlink r:id="rId2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https://conf42.github.io/static/slides/Indika Wimalasuriya - Conf42 Chaos Engineering 2024.pdf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8" w:name="fn19"/>
    <w:bookmarkEnd w:id="58"/>
    <w:p>
      <w:pPr>
        <w:numPr>
          <w:ilvl w:val="0"/>
          <w:numId w:val="2"/>
        </w:numPr>
        <w:spacing w:line="360" w:after="210" w:lineRule="auto"/>
      </w:pPr>
      <w:hyperlink r:id="rId2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https://www.harness.io/blog/announcing-new-features-of-harness-chaos-engineering-at-the-chaoscarnival-2024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9" w:name="fn20"/>
    <w:bookmarkEnd w:id="59"/>
    <w:p>
      <w:pPr>
        <w:numPr>
          <w:ilvl w:val="0"/>
          <w:numId w:val="2"/>
        </w:numPr>
        <w:spacing w:line="360" w:after="210" w:lineRule="auto"/>
      </w:pPr>
      <w:hyperlink r:id="rId2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https://logz.io/blog/evops-sre-metrics/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0" w:name="fn21"/>
    <w:bookmarkEnd w:id="60"/>
    <w:p>
      <w:pPr>
        <w:numPr>
          <w:ilvl w:val="0"/>
          <w:numId w:val="2"/>
        </w:numPr>
        <w:spacing w:line="360" w:after="210" w:lineRule="auto"/>
      </w:pPr>
      <w:hyperlink r:id="rId2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https://advisera.com/20000academy/knowledgebase/incident-classification/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1" w:name="fn22"/>
    <w:bookmarkEnd w:id="61"/>
    <w:p>
      <w:pPr>
        <w:numPr>
          <w:ilvl w:val="0"/>
          <w:numId w:val="2"/>
        </w:numPr>
        <w:spacing w:line="360" w:after="210" w:lineRule="auto"/>
      </w:pPr>
      <w:hyperlink r:id="rId2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https://download.manageengine.com/iso20000/images/iso-20000.pdf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2" w:name="fn23"/>
    <w:bookmarkEnd w:id="62"/>
    <w:p>
      <w:pPr>
        <w:numPr>
          <w:ilvl w:val="0"/>
          <w:numId w:val="2"/>
        </w:numPr>
        <w:spacing w:line="360" w:after="210" w:lineRule="auto"/>
      </w:pPr>
      <w:hyperlink r:id="rId2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https://pcg.io/insights/iso-27001-2022-new-controls/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3" w:name="fn24"/>
    <w:bookmarkEnd w:id="63"/>
    <w:p>
      <w:pPr>
        <w:numPr>
          <w:ilvl w:val="0"/>
          <w:numId w:val="2"/>
        </w:numPr>
        <w:spacing w:line="360" w:after="210" w:lineRule="auto"/>
      </w:pPr>
      <w:hyperlink r:id="rId3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https://cyberupgrade.net/blog/compliance-regulations/iso-27001-controls-list-a-complete-guide-to-annex-a-and-control-objectives-in-2025/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4" w:name="fn25"/>
    <w:bookmarkEnd w:id="64"/>
    <w:p>
      <w:pPr>
        <w:numPr>
          <w:ilvl w:val="0"/>
          <w:numId w:val="2"/>
        </w:numPr>
        <w:spacing w:line="360" w:after="210" w:lineRule="auto"/>
      </w:pPr>
      <w:hyperlink r:id="rId3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https://nvlpubs.nist.gov/nistpubs/SpecialPublications/NIST.SP.800-92r1.ipd.pdf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5" w:name="fn26"/>
    <w:bookmarkEnd w:id="65"/>
    <w:p>
      <w:pPr>
        <w:numPr>
          <w:ilvl w:val="0"/>
          <w:numId w:val="2"/>
        </w:numPr>
        <w:spacing w:line="360" w:after="210" w:lineRule="auto"/>
      </w:pPr>
      <w:hyperlink r:id="rId3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https://www.techrxiv.org/articles/preprint/Continuous_Auditing_Threat_Detection_in_Multi-Cloud_Infrastructure/13108313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6" w:name="fn27"/>
    <w:bookmarkEnd w:id="66"/>
    <w:p>
      <w:pPr>
        <w:numPr>
          <w:ilvl w:val="0"/>
          <w:numId w:val="2"/>
        </w:numPr>
        <w:spacing w:line="360" w:after="210" w:lineRule="auto"/>
      </w:pPr>
      <w:hyperlink r:id="rId3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https://www.nist.gov/news-events/events/2023/01/nist-ai-risk-management-framework-ai-rmf-10-launch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7" w:name="fn28"/>
    <w:bookmarkEnd w:id="67"/>
    <w:p>
      <w:pPr>
        <w:numPr>
          <w:ilvl w:val="0"/>
          <w:numId w:val="2"/>
        </w:numPr>
        <w:spacing w:line="360" w:after="210" w:lineRule="auto"/>
      </w:pPr>
      <w:hyperlink r:id="rId3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https://www.cmu.edu/block-center/responsible-ai/cmu_blockcenter_operationalizing-the-nist-ai-rmf-framework-fin.pdf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8" w:name="fn29"/>
    <w:bookmarkEnd w:id="68"/>
    <w:p>
      <w:pPr>
        <w:numPr>
          <w:ilvl w:val="0"/>
          <w:numId w:val="2"/>
        </w:numPr>
        <w:spacing w:line="360" w:after="210" w:lineRule="auto"/>
      </w:pPr>
      <w:hyperlink r:id="rId3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https://www.microsoft.com/en-us/ai/responsible-ai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9" w:name="fn30"/>
    <w:bookmarkEnd w:id="69"/>
    <w:p>
      <w:pPr>
        <w:numPr>
          <w:ilvl w:val="0"/>
          <w:numId w:val="2"/>
        </w:numPr>
        <w:spacing w:line="360" w:after="210" w:lineRule="auto"/>
      </w:pPr>
      <w:hyperlink r:id="rId3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https://ai.google/principles/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0" w:name="fn31"/>
    <w:bookmarkEnd w:id="70"/>
    <w:p>
      <w:pPr>
        <w:numPr>
          <w:ilvl w:val="0"/>
          <w:numId w:val="2"/>
        </w:numPr>
        <w:spacing w:line="360" w:after="210" w:lineRule="auto"/>
      </w:pPr>
      <w:hyperlink r:id="rId3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https://www.ijisrt.com/responsible-ai-assurance-from-principles-to-practice-with-the-raiamm-framework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1" w:name="fn32"/>
    <w:bookmarkEnd w:id="71"/>
    <w:p>
      <w:pPr>
        <w:numPr>
          <w:ilvl w:val="0"/>
          <w:numId w:val="2"/>
        </w:numPr>
        <w:spacing w:line="360" w:after="210" w:lineRule="auto"/>
      </w:pPr>
      <w:hyperlink r:id="rId3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https://journals.sagepub.com/doi/10.1177/08920206251344738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2" w:name="fn33"/>
    <w:bookmarkEnd w:id="72"/>
    <w:p>
      <w:pPr>
        <w:numPr>
          <w:ilvl w:val="0"/>
          <w:numId w:val="2"/>
        </w:numPr>
        <w:spacing w:line="360" w:after="210" w:lineRule="auto"/>
      </w:pPr>
      <w:hyperlink r:id="rId3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https://www.alibabacloud.com/en/solutions/aiops?_p_lc=1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3" w:name="fn34"/>
    <w:bookmarkEnd w:id="73"/>
    <w:p>
      <w:pPr>
        <w:numPr>
          <w:ilvl w:val="0"/>
          <w:numId w:val="2"/>
        </w:numPr>
        <w:spacing w:line="360" w:after="210" w:lineRule="auto"/>
      </w:pPr>
      <w:hyperlink r:id="rId4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https://www.acceldata.io/blog/utilizing-data-observability-to-enhance-data-mesh-architecture-best-practices-and-benefits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4" w:name="fn35"/>
    <w:bookmarkEnd w:id="74"/>
    <w:p>
      <w:pPr>
        <w:numPr>
          <w:ilvl w:val="0"/>
          <w:numId w:val="2"/>
        </w:numPr>
        <w:spacing w:line="360" w:after="210" w:lineRule="auto"/>
      </w:pPr>
      <w:hyperlink r:id="rId4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https://atlan.com/data-observability-and-data-mesh/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5" w:name="fn36"/>
    <w:bookmarkEnd w:id="75"/>
    <w:p>
      <w:pPr>
        <w:numPr>
          <w:ilvl w:val="0"/>
          <w:numId w:val="2"/>
        </w:numPr>
        <w:spacing w:line="360" w:after="210" w:lineRule="auto"/>
      </w:pPr>
      <w:hyperlink r:id="rId4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https://observer.com/2025/04/corporate-ai-responsibility-in-2025-how-to-navigate-ai-ethics/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6" w:name="fn37"/>
    <w:bookmarkEnd w:id="76"/>
    <w:p>
      <w:pPr>
        <w:numPr>
          <w:ilvl w:val="0"/>
          <w:numId w:val="2"/>
        </w:numPr>
        <w:spacing w:line="360" w:after="210" w:lineRule="auto"/>
      </w:pPr>
      <w:hyperlink r:id="rId4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http://arxiv.org/pdf/2412.12364.pdf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ru-RU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ru-RU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7ad7dfa5e48438bb6437f4d233e58f2084ad19ea.png" TargetMode="Internal"/><Relationship Id="rId6" Type="http://schemas.openxmlformats.org/officeDocument/2006/relationships/hyperlink" Target="http://scheduler.py" TargetMode="External"/><Relationship Id="rId7" Type="http://schemas.openxmlformats.org/officeDocument/2006/relationships/hyperlink" Target="https://4matt.com.br/en-gb/cobit-2019-avaliar-orientar-e-monitorar-edm" TargetMode="External"/><Relationship Id="rId8" Type="http://schemas.openxmlformats.org/officeDocument/2006/relationships/hyperlink" Target="https://www.linkedin.com/pulse/dss05-unveiled-powerhouse-managed-security-services-cobit-al-dalou" TargetMode="External"/><Relationship Id="rId9" Type="http://schemas.openxmlformats.org/officeDocument/2006/relationships/hyperlink" Target="https://www.tability.io/templates/t/dnbCvrpO-nge" TargetMode="External"/><Relationship Id="rId10" Type="http://schemas.openxmlformats.org/officeDocument/2006/relationships/hyperlink" Target="https://dev.to/squadcast/best-practices-for-key-performance-indicators-kpi-in-incident-management-3pf8?comments_sort=oldest" TargetMode="External"/><Relationship Id="rId11" Type="http://schemas.openxmlformats.org/officeDocument/2006/relationships/hyperlink" Target="http://www.togaf.org/togaf9/toc.html" TargetMode="External"/><Relationship Id="rId12" Type="http://schemas.openxmlformats.org/officeDocument/2006/relationships/hyperlink" Target="https://guides.visual-paradigm.com/exploring-the-architecture-capability-framework-in-togaf-components-and-benefits/" TargetMode="External"/><Relationship Id="rId13" Type="http://schemas.openxmlformats.org/officeDocument/2006/relationships/hyperlink" Target="https://developers.google.com/apps-script/guides/logging" TargetMode="External"/><Relationship Id="rId14" Type="http://schemas.openxmlformats.org/officeDocument/2006/relationships/hyperlink" Target="https://www.optimizemro.com/blog/dama-dmbok-a-comprehensive-framework-for-data-management/" TargetMode="External"/><Relationship Id="rId15" Type="http://schemas.openxmlformats.org/officeDocument/2006/relationships/hyperlink" Target="https://s3-eu-west-1.amazonaws.com/pstorage-tf-iopjsd8797887/53185655/uism_a_2477455_sm5959.docx?X-Amz-Algorithm=AWS4-HMAC-SHA256&amp;X-Amz-Credential=AKIAJ45OKHUICFE2DW6Q%2F20250408%2Feu-west-1%2Fs3%2Faws4_request&amp;X-Amz-Date=20250408T111340Z&amp;X-Amz-Expires=10&amp;X-Amz-SignedHeaders=host&amp;X-Amz-Signature=d74fddbe9fa94bdeac0d330f55270aedfff811ab616059b3d96110509cc2d43f" TargetMode="External"/><Relationship Id="rId16" Type="http://schemas.openxmlformats.org/officeDocument/2006/relationships/hyperlink" Target="https://rivery.io/data-learning-center/dataops-best-practices/" TargetMode="External"/><Relationship Id="rId17" Type="http://schemas.openxmlformats.org/officeDocument/2006/relationships/hyperlink" Target="https://dev.to/imaginex/dataops-best-practices-building-resilient-pipelines-in-databricks-52g4" TargetMode="External"/><Relationship Id="rId18" Type="http://schemas.openxmlformats.org/officeDocument/2006/relationships/hyperlink" Target="https://purplegriffon.com/blog/monitoring-and-event-management-itil" TargetMode="External"/><Relationship Id="rId19" Type="http://schemas.openxmlformats.org/officeDocument/2006/relationships/hyperlink" Target="https://learn.microsoft.com/en-us/azure/devops/boards/plans/safe-review-roadmaps-progress?view=azure-devops" TargetMode="External"/><Relationship Id="rId20" Type="http://schemas.openxmlformats.org/officeDocument/2006/relationships/hyperlink" Target="https://arxiv.org/pdf/2402.10397.pdf" TargetMode="External"/><Relationship Id="rId21" Type="http://schemas.openxmlformats.org/officeDocument/2006/relationships/hyperlink" Target="https://github.com/google/quota-monitoring-solution" TargetMode="External"/><Relationship Id="rId22" Type="http://schemas.openxmlformats.org/officeDocument/2006/relationships/hyperlink" Target="https://www.logicmonitor.com/blog/what-is-aiops" TargetMode="External"/><Relationship Id="rId23" Type="http://schemas.openxmlformats.org/officeDocument/2006/relationships/hyperlink" Target="https://research.aimultiple.com/aiops-platforms/" TargetMode="External"/><Relationship Id="rId24" Type="http://schemas.openxmlformats.org/officeDocument/2006/relationships/hyperlink" Target="https://conf42.github.io/static/slides/Indika%20Wimalasuriya%20-%20Conf42%20Chaos%20Engineering%202024.pdf" TargetMode="External"/><Relationship Id="rId25" Type="http://schemas.openxmlformats.org/officeDocument/2006/relationships/hyperlink" Target="https://www.harness.io/blog/announcing-new-features-of-harness-chaos-engineering-at-the-chaoscarnival-2024" TargetMode="External"/><Relationship Id="rId26" Type="http://schemas.openxmlformats.org/officeDocument/2006/relationships/hyperlink" Target="https://logz.io/blog/evops-sre-metrics/" TargetMode="External"/><Relationship Id="rId27" Type="http://schemas.openxmlformats.org/officeDocument/2006/relationships/hyperlink" Target="https://advisera.com/20000academy/knowledgebase/incident-classification/" TargetMode="External"/><Relationship Id="rId28" Type="http://schemas.openxmlformats.org/officeDocument/2006/relationships/hyperlink" Target="https://download.manageengine.com/iso20000/images/iso-20000.pdf" TargetMode="External"/><Relationship Id="rId29" Type="http://schemas.openxmlformats.org/officeDocument/2006/relationships/hyperlink" Target="https://pcg.io/insights/iso-27001-2022-new-controls/" TargetMode="External"/><Relationship Id="rId30" Type="http://schemas.openxmlformats.org/officeDocument/2006/relationships/hyperlink" Target="https://cyberupgrade.net/blog/compliance-regulations/iso-27001-controls-list-a-complete-guide-to-annex-a-and-control-objectives-in-2025/" TargetMode="External"/><Relationship Id="rId31" Type="http://schemas.openxmlformats.org/officeDocument/2006/relationships/hyperlink" Target="https://nvlpubs.nist.gov/nistpubs/SpecialPublications/NIST.SP.800-92r1.ipd.pdf" TargetMode="External"/><Relationship Id="rId32" Type="http://schemas.openxmlformats.org/officeDocument/2006/relationships/hyperlink" Target="https://www.techrxiv.org/articles/preprint/Continuous_Auditing_Threat_Detection_in_Multi-Cloud_Infrastructure/13108313" TargetMode="External"/><Relationship Id="rId33" Type="http://schemas.openxmlformats.org/officeDocument/2006/relationships/hyperlink" Target="https://www.nist.gov/news-events/events/2023/01/nist-ai-risk-management-framework-ai-rmf-10-launch" TargetMode="External"/><Relationship Id="rId34" Type="http://schemas.openxmlformats.org/officeDocument/2006/relationships/hyperlink" Target="https://www.cmu.edu/block-center/responsible-ai/cmu_blockcenter_operationalizing-the-nist-ai-rmf-framework-fin.pdf" TargetMode="External"/><Relationship Id="rId35" Type="http://schemas.openxmlformats.org/officeDocument/2006/relationships/hyperlink" Target="https://www.microsoft.com/en-us/ai/responsible-ai" TargetMode="External"/><Relationship Id="rId36" Type="http://schemas.openxmlformats.org/officeDocument/2006/relationships/hyperlink" Target="https://ai.google/principles/" TargetMode="External"/><Relationship Id="rId37" Type="http://schemas.openxmlformats.org/officeDocument/2006/relationships/hyperlink" Target="https://www.ijisrt.com/responsible-ai-assurance-from-principles-to-practice-with-the-raiamm-framework" TargetMode="External"/><Relationship Id="rId38" Type="http://schemas.openxmlformats.org/officeDocument/2006/relationships/hyperlink" Target="https://journals.sagepub.com/doi/10.1177/08920206251344738" TargetMode="External"/><Relationship Id="rId39" Type="http://schemas.openxmlformats.org/officeDocument/2006/relationships/hyperlink" Target="https://www.alibabacloud.com/en/solutions/aiops?_p_lc=1" TargetMode="External"/><Relationship Id="rId40" Type="http://schemas.openxmlformats.org/officeDocument/2006/relationships/hyperlink" Target="https://www.acceldata.io/blog/utilizing-data-observability-to-enhance-data-mesh-architecture-best-practices-and-benefits" TargetMode="External"/><Relationship Id="rId41" Type="http://schemas.openxmlformats.org/officeDocument/2006/relationships/hyperlink" Target="https://atlan.com/data-observability-and-data-mesh/" TargetMode="External"/><Relationship Id="rId42" Type="http://schemas.openxmlformats.org/officeDocument/2006/relationships/hyperlink" Target="https://observer.com/2025/04/corporate-ai-responsibility-in-2025-how-to-navigate-ai-ethics/" TargetMode="External"/><Relationship Id="rId43" Type="http://schemas.openxmlformats.org/officeDocument/2006/relationships/hyperlink" Target="http://arxiv.org/pdf/2412.12364.pdf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2025-07-28T22:41:38.835Z</dcterms:created>
  <dcterms:modified xsi:type="dcterms:W3CDTF">2025-07-28T22:41:38.835Z</dcterms:modified>
</cp:coreProperties>
</file>