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firstLine="0"/>
        <w:jc w:val="center"/>
      </w:pPr>
      <w:r>
        <w:rPr>
          <w:b w:val="0"/>
          <w:sz w:val="28"/>
        </w:rPr>
        <w:t>Министерство науки и высшего образования Российской Федерации</w:t>
      </w:r>
    </w:p>
    <w:p>
      <w:pPr>
        <w:spacing w:before="0" w:after="0" w:line="240" w:lineRule="auto"/>
        <w:ind w:firstLine="0"/>
        <w:jc w:val="center"/>
      </w:pPr>
      <w:r>
        <w:rPr>
          <w:b w:val="0"/>
          <w:sz w:val="28"/>
        </w:rPr>
        <w:t>Федеральное государственное бюджетное образовательное учреждение</w:t>
      </w:r>
    </w:p>
    <w:p>
      <w:pPr>
        <w:spacing w:before="0" w:after="0" w:line="240" w:lineRule="auto"/>
        <w:ind w:firstLine="0"/>
        <w:jc w:val="center"/>
      </w:pPr>
      <w:r>
        <w:rPr>
          <w:b w:val="0"/>
          <w:sz w:val="28"/>
        </w:rPr>
        <w:t>высшего образования</w:t>
      </w:r>
    </w:p>
    <w:p>
      <w:pPr>
        <w:spacing w:before="0" w:after="0" w:line="240" w:lineRule="auto"/>
        <w:ind w:firstLine="0"/>
        <w:jc w:val="center"/>
      </w:pPr>
      <w:r>
        <w:rPr>
          <w:b/>
          <w:sz w:val="28"/>
        </w:rPr>
        <w:t>«Новгородский государственный университет имени Ярослава Мудрого»</w:t>
      </w:r>
    </w:p>
    <w:p>
      <w:pPr>
        <w:spacing w:before="0" w:after="0" w:line="240" w:lineRule="auto"/>
        <w:ind w:firstLine="0"/>
        <w:jc w:val="center"/>
      </w:pPr>
      <w:r>
        <w:rPr>
          <w:b w:val="0"/>
          <w:sz w:val="28"/>
        </w:rPr>
        <w:t>Политехнический институт</w:t>
      </w:r>
    </w:p>
    <w:p>
      <w:pPr>
        <w:spacing w:before="0" w:after="600" w:line="240" w:lineRule="auto"/>
        <w:ind w:firstLine="0"/>
        <w:jc w:val="center"/>
      </w:pPr>
      <w:r>
        <w:rPr>
          <w:b w:val="0"/>
          <w:sz w:val="28"/>
        </w:rPr>
        <w:t>Кафедра информационных технологий и систем</w:t>
      </w:r>
    </w:p>
    <w:p>
      <w:pPr>
        <w:spacing w:before="480" w:after="0" w:line="240" w:lineRule="auto"/>
        <w:ind w:firstLine="0"/>
        <w:jc w:val="center"/>
      </w:pPr>
      <w:r>
        <w:rPr>
          <w:b/>
          <w:sz w:val="32"/>
        </w:rPr>
        <w:t>ОТЧЁТ по учебной практике</w:t>
      </w:r>
    </w:p>
    <w:p>
      <w:pPr>
        <w:spacing w:before="200" w:after="120" w:line="240" w:lineRule="auto"/>
        <w:ind w:firstLine="0"/>
        <w:jc w:val="center"/>
      </w:pPr>
      <w:r>
        <w:rPr>
          <w:b/>
          <w:sz w:val="30"/>
        </w:rPr>
        <w:t>Задание 2. План-график работы над ВКР</w:t>
      </w:r>
    </w:p>
    <w:p>
      <w:pPr>
        <w:spacing w:before="0" w:after="400" w:line="240" w:lineRule="auto"/>
        <w:ind w:firstLine="0"/>
        <w:jc w:val="center"/>
      </w:pPr>
      <w:r>
        <w:rPr>
          <w:b w:val="0"/>
          <w:sz w:val="26"/>
        </w:rPr>
        <w:t>Помесячный план на 2 года, диаграмма Ганта и контрольные точки</w:t>
      </w:r>
    </w:p>
    <w:p>
      <w:pPr>
        <w:spacing w:before="0" w:after="0" w:line="240" w:lineRule="auto"/>
        <w:ind w:firstLine="0"/>
        <w:jc w:val="center"/>
      </w:pPr>
      <w:r>
        <w:rPr>
          <w:b w:val="0"/>
          <w:sz w:val="28"/>
        </w:rPr>
        <w:t>по направлению 09.04.01 «Информатика и вычислительная техника»,</w:t>
      </w:r>
    </w:p>
    <w:p>
      <w:pPr>
        <w:spacing w:before="0" w:after="800" w:line="240" w:lineRule="auto"/>
        <w:ind w:firstLine="0"/>
        <w:jc w:val="center"/>
      </w:pPr>
      <w:r>
        <w:rPr>
          <w:b w:val="0"/>
          <w:sz w:val="28"/>
        </w:rPr>
        <w:t>профиль «Искусственный интеллект»</w:t>
      </w:r>
    </w:p>
    <w:p>
      <w:pPr>
        <w:spacing w:before="0" w:after="80" w:line="240" w:lineRule="auto"/>
        <w:ind w:firstLine="0"/>
        <w:jc w:val="center"/>
      </w:pPr>
      <w:r>
        <w:rPr>
          <w:b w:val="0"/>
          <w:sz w:val="28"/>
        </w:rPr>
        <w:t>Выполнил: студент группы 5095  С. Каримов</w:t>
      </w:r>
    </w:p>
    <w:p>
      <w:pPr>
        <w:spacing w:before="0" w:after="800" w:line="240" w:lineRule="auto"/>
        <w:ind w:firstLine="0"/>
        <w:jc w:val="center"/>
      </w:pPr>
      <w:r>
        <w:rPr>
          <w:b w:val="0"/>
          <w:sz w:val="28"/>
        </w:rPr>
        <w:t>Руководитель: ______________ / ____________________</w:t>
      </w:r>
    </w:p>
    <w:p>
      <w:pPr>
        <w:spacing w:before="600" w:after="0" w:line="240" w:lineRule="auto"/>
        <w:ind w:firstLine="0"/>
        <w:jc w:val="center"/>
      </w:pPr>
      <w:r>
        <w:rPr>
          <w:b w:val="0"/>
          <w:sz w:val="28"/>
        </w:rPr>
        <w:t>Великий Новгород — 2026</w:t>
      </w:r>
    </w:p>
    <w:p>
      <w:pPr>
        <w:pageBreakBefore/>
      </w:pPr>
    </w:p>
    <w:p>
      <w:r>
        <w:rPr>
          <w:b w:val="0"/>
        </w:rPr>
        <w:t>Тема (рабочая): ИИ-генерация и автоматическая оценка рифмованной русской поэзии (best-of-N + самокоррекция по численному детектору рифмы). Учебная практика 1-го года = прототип конвейера (приложение «Rhymer»).</w:t>
      </w:r>
    </w:p>
    <w:p>
      <w:r>
        <w:rPr>
          <w:b w:val="0"/>
        </w:rPr>
        <w:t>Период обучения: сентябрь 2025 — июнь 2027 (4 семестра). Ниже — помесячный план и диаграмма Ганта; включены предзащита/защита отчёта по практике и защита ВКР перед ГЭК.</w:t>
      </w:r>
    </w:p>
    <w:p>
      <w:pPr>
        <w:pStyle w:val="Heading1"/>
        <w:pageBreakBefore w:val="0"/>
      </w:pPr>
      <w:r>
        <w:t>Помесячный план</w:t>
      </w:r>
    </w:p>
    <w:p>
      <w:pPr>
        <w:pStyle w:val="Heading2"/>
      </w:pPr>
      <w:r>
        <w:t>1-й курс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  <w:t>Месяц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  <w:t>Этап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  <w:t>Результат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Сен 2025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Выбор направления исследования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направление, научный руководитель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Окт 2025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Формулировка темы ВКР; старт обзора отеч. литературы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формулировка темы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Окт–Дек 2025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Отеч. литература (30–50 ист.), категоризация, регистрация eLibrary.ru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библиографический список v1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Ноя 2025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Постановка цели и задач; объект и предмет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раздел «Введение» (черновик)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Дек 2025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Гипотеза; техническое задание (ТЗ) на ВКР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ТЗ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Янв 2026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Прототип конвейера (Rhymer): RPST-оценка + генератор + best-of-N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работающее MVP-приложение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Фев–Мар 2026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Зарубежная литература (Scopus, WoS, arXiv); анализ SOTA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расширенный список 70–100 ист. (Задание 1, до 06.03.2026)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Мар–Апр 2026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План-график работы, диаграмма Ганта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(Задание 2, до 24.04.2026)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Апр–Май 2026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Поиск и обоснование данных; публичные датасеты; протокол сбора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описание набора данных (Задание 3, до 24.05.2026)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Май 2026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Спецификация: мат. постановка, метрики, окружение, пайплайн данных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спецификация (до 29.05.2026)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Июн 2026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Отчёт по учебной практике; предзащита и защита отчёта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зачёт по практике</w:t>
            </w:r>
          </w:p>
        </w:tc>
      </w:tr>
    </w:tbl>
    <w:p>
      <w:pPr>
        <w:spacing w:after="0"/>
      </w:pPr>
    </w:p>
    <w:p>
      <w:pPr>
        <w:pStyle w:val="Heading2"/>
      </w:pPr>
      <w:r>
        <w:t>2-й курс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  <w:t>Месяц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  <w:t>Этап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  <w:t>Результат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Сен 2026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Уточнение/выбор архитектуры; baseline-модель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baseline + метрики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Сен–Ноя 2026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Разработка основной модели (генерация + детектор рифмы)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основная модель v1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Окт 2026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Тезисы/статья на конференцию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поданные тезисы/статья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Ноя 2026–Янв 2027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Серия экспериментов; ведение логов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таблицы результатов, логи экспериментов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Янв 2027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Формализация задачи (тип модели, целевая функция); метрики; ограничения и допущения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формальная постановка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Фев–Мар 2027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Доработка модели по результатам; доп. эксперименты; написание глав ВКР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главы 1–3 ВКР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Апр 2027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Форматирование по ГОСТ; иллюстрации/таблицы/приложения; проверка на плагиат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сверстанный текст ВКР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Апр 2027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Презентация; предзащита; получение отзыва и рецензии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отзыв + рецензия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Май–Июн 2027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Защита ВКР перед ГЭК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диплом</w:t>
            </w:r>
          </w:p>
        </w:tc>
      </w:tr>
    </w:tbl>
    <w:p>
      <w:pPr>
        <w:spacing w:after="0"/>
      </w:pPr>
    </w:p>
    <w:p>
      <w:pPr>
        <w:pStyle w:val="Heading1"/>
        <w:pageBreakBefore w:val="0"/>
      </w:pPr>
      <w:r>
        <w:t>Диаграмма Ганта</w:t>
      </w:r>
    </w:p>
    <w:p>
      <w:pPr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8537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_vk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53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40" w:lineRule="auto"/>
        <w:ind w:firstLine="0"/>
        <w:jc w:val="center"/>
      </w:pPr>
      <w:r>
        <w:t>Рисунок 1 — Диаграмма Ганта плана работы над ВКР (красным — задания практики с дедлайнами; ромб — защита ВКР)</w:t>
      </w:r>
    </w:p>
    <w:p>
      <w:pPr>
        <w:pStyle w:val="Heading1"/>
        <w:pageBreakBefore w:val="0"/>
      </w:pPr>
      <w:r>
        <w:t>Контрольные точки (вехи)</w:t>
      </w:r>
    </w:p>
    <w:p>
      <w:pPr>
        <w:pStyle w:val="ListBullet"/>
        <w:spacing w:line="360" w:lineRule="auto"/>
      </w:pPr>
      <w:r>
        <w:t>06.03.2026 — расширенный список литературы (70–100) и анализ SOTA.</w:t>
      </w:r>
    </w:p>
    <w:p>
      <w:pPr>
        <w:pStyle w:val="ListBullet"/>
        <w:spacing w:line="360" w:lineRule="auto"/>
      </w:pPr>
      <w:r>
        <w:t>24.04.2026 — утверждённый план-график и диаграмма Ганта.</w:t>
      </w:r>
    </w:p>
    <w:p>
      <w:pPr>
        <w:pStyle w:val="ListBullet"/>
        <w:spacing w:line="360" w:lineRule="auto"/>
      </w:pPr>
      <w:r>
        <w:t>24.05.2026 — описание набора данных и протокол сбора.</w:t>
      </w:r>
    </w:p>
    <w:p>
      <w:pPr>
        <w:pStyle w:val="ListBullet"/>
        <w:spacing w:line="360" w:lineRule="auto"/>
      </w:pPr>
      <w:r>
        <w:t>29.05.2026 — спецификация (мат. постановка, метрики, окружение, пайплайн).</w:t>
      </w:r>
    </w:p>
    <w:p>
      <w:pPr>
        <w:pStyle w:val="ListBullet"/>
        <w:spacing w:line="360" w:lineRule="auto"/>
      </w:pPr>
      <w:r>
        <w:t>Июнь 2026 — защита отчёта по учебной практике.</w:t>
      </w:r>
    </w:p>
    <w:p>
      <w:pPr>
        <w:pStyle w:val="ListBullet"/>
        <w:spacing w:line="360" w:lineRule="auto"/>
      </w:pPr>
      <w:r>
        <w:t>Апрель 2027 — предзащита, отзыв и рецензия.</w:t>
      </w:r>
    </w:p>
    <w:p>
      <w:pPr>
        <w:pStyle w:val="ListBullet"/>
        <w:spacing w:line="360" w:lineRule="auto"/>
      </w:pPr>
      <w:r>
        <w:t>Июнь 2027 — защита ВКР перед ГЭК.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/>
        <w:sz w:val="28"/>
      </w:rPr>
      <w:fldChar w:fldCharType="begin"/>
      <w:instrText xml:space="preserve">PAGE</w:instrText>
      <w:fldChar w:fldCharType="separate"/>
      <w:t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 w:line="360" w:lineRule="auto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 w:line="360" w:lineRule="auto"/>
      <w:ind w:firstLine="709"/>
      <w:jc w:val="left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