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before="480"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before="480"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С.А.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Аннотация</w:t>
      </w:r>
    </w:p>
    <w:p>
      <w:r>
        <w:rPr>
          <w:b w:val="0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выпускной квалификационной работой (ВКР),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(Russian Poetry Scansion Tool)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r>
        <w:rPr>
          <w:b w:val="0"/>
        </w:rPr>
        <w:t>Объём отчёта — 35 с., 5 таблиц, рисунков и листингов — в приложениях, 48 использованных источников, 2 приложения.</w:t>
      </w:r>
    </w:p>
    <w:p>
      <w:r>
        <w:rPr>
          <w:b w:val="0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Abstract</w:t>
      </w:r>
    </w:p>
    <w:p>
      <w:r>
        <w:rPr>
          <w:b w:val="0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r>
        <w:rPr>
          <w:b w:val="0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r>
        <w:rPr>
          <w:b w:val="0"/>
        </w:rPr>
        <w:t>Keywords: POETRY GENERATION, RHYME EVALUATION, SYLLABIC-ACCENTUAL VERSE, LARGE LANGUAGE MODELS, RHYME DETECTOR, YUKAWA POTENTIAL, PHONETIC VECTORIZATION, BEST-OF-N, RUSSIAN POETRY SCANSION TOOL.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Нормативные ссылки</w:t>
      </w:r>
      <w:r>
        <w:tab/>
        <w:t>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Термины и определения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Перечень сокращений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21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А. Диаграмма Ганта и интерфейс приложения «Rhymer»</w:t>
      </w:r>
      <w:r>
        <w:tab/>
        <w:t>22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Б. Ключевые фрагменты исходного кода</w:t>
      </w:r>
      <w:r>
        <w:tab/>
        <w:t>28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32</w:t>
      </w:r>
    </w:p>
    <w:p>
      <w:pPr>
        <w:pStyle w:val="Heading1"/>
        <w:pageBreakBefore/>
      </w:pPr>
      <w:r>
        <w:t>Нормативные ссылки</w:t>
      </w:r>
    </w:p>
    <w:p>
      <w:r>
        <w:rPr>
          <w:b w:val="0"/>
        </w:rPr>
        <w:t>В настоящем отчёте использованы ссылки на следующие стандарты (СТО 1.701 п.4.7). Порядок - межгосударственные, затем государственные стандарты:</w:t>
      </w:r>
    </w:p>
    <w:p>
      <w:pPr>
        <w:spacing w:line="360" w:lineRule="auto" w:after="0"/>
        <w:ind w:left="425" w:hanging="425"/>
      </w:pPr>
      <w:r>
        <w:rPr>
          <w:b/>
        </w:rPr>
        <w:t>ГОСТ 7.32-2017</w:t>
      </w:r>
      <w:r>
        <w:t xml:space="preserve"> —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>
      <w:pPr>
        <w:spacing w:line="360" w:lineRule="auto" w:after="0"/>
        <w:ind w:left="425" w:hanging="425"/>
      </w:pPr>
      <w:r>
        <w:rPr>
          <w:b/>
        </w:rPr>
        <w:t>ГОСТ Р 7.0.100-2018</w:t>
      </w:r>
      <w:r>
        <w:t xml:space="preserve"> —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r>
        <w:rPr>
          <w:b w:val="0"/>
        </w:rPr>
        <w:t>Примечание - текст и приложения отчёта оформлены также по стандарту организации СТО 1.701-2010 «Текстовые документы. Общие требования к построению и оформлению».</w:t>
      </w:r>
    </w:p>
    <w:p>
      <w:pPr>
        <w:pStyle w:val="Heading1"/>
        <w:pageBreakBefore/>
      </w:pPr>
      <w:r>
        <w:t>Термины и определения</w:t>
      </w:r>
    </w:p>
    <w:p>
      <w:r>
        <w:rPr>
          <w:b w:val="0"/>
        </w:rPr>
        <w:t>В настоящем отчёте применяют следующие термины с соответствующими определениями:</w:t>
      </w:r>
    </w:p>
    <w:p>
      <w:pPr>
        <w:spacing w:line="360" w:lineRule="auto" w:after="0"/>
        <w:ind w:left="425" w:hanging="425"/>
      </w:pPr>
      <w:r>
        <w:rPr>
          <w:b/>
        </w:rPr>
        <w:t>силлабо-тоническое стихосложение</w:t>
      </w:r>
      <w:r>
        <w:t xml:space="preserve"> — система стихосложения, основанная на упорядоченном чередовании ударных и безударных слогов в строке.</w:t>
      </w:r>
    </w:p>
    <w:p>
      <w:pPr>
        <w:spacing w:line="360" w:lineRule="auto" w:after="0"/>
        <w:ind w:left="425" w:hanging="425"/>
      </w:pPr>
      <w:r>
        <w:rPr>
          <w:b/>
        </w:rPr>
        <w:t>стихотворный размер (метр)</w:t>
      </w:r>
      <w:r>
        <w:t xml:space="preserve"> — закон чередования ударных и безударных слогов в строке (ямб, хорей, дактиль и т. д.).</w:t>
      </w:r>
    </w:p>
    <w:p>
      <w:pPr>
        <w:spacing w:line="360" w:lineRule="auto" w:after="0"/>
        <w:ind w:left="425" w:hanging="425"/>
      </w:pPr>
      <w:r>
        <w:rPr>
          <w:b/>
        </w:rPr>
        <w:t>рифма</w:t>
      </w:r>
      <w:r>
        <w:t xml:space="preserve"> — созвучие окончаний стихотворных строк, начиная с последнего ударного слога.</w:t>
      </w:r>
    </w:p>
    <w:p>
      <w:pPr>
        <w:spacing w:line="360" w:lineRule="auto" w:after="0"/>
        <w:ind w:left="425" w:hanging="425"/>
      </w:pPr>
      <w:r>
        <w:rPr>
          <w:b/>
        </w:rPr>
        <w:t>клаузула</w:t>
      </w:r>
      <w:r>
        <w:t xml:space="preserve"> — заключительная часть строки от последнего ударного слога; именно клаузулы сравниваются при оценке рифмы.</w:t>
      </w:r>
    </w:p>
    <w:p>
      <w:pPr>
        <w:spacing w:line="360" w:lineRule="auto" w:after="0"/>
        <w:ind w:left="425" w:hanging="425"/>
      </w:pPr>
      <w:r>
        <w:rPr>
          <w:b/>
        </w:rPr>
        <w:t>схема рифмовки</w:t>
      </w:r>
      <w:r>
        <w:t xml:space="preserve"> — порядок чередования рифмующихся строк в строфе (например, ABAB - перекрёстная, AABB - смежная).</w:t>
      </w:r>
    </w:p>
    <w:p>
      <w:pPr>
        <w:spacing w:line="360" w:lineRule="auto" w:after="0"/>
        <w:ind w:left="425" w:hanging="425"/>
      </w:pPr>
      <w:r>
        <w:rPr>
          <w:b/>
        </w:rPr>
        <w:t>детектор рифмы</w:t>
      </w:r>
      <w:r>
        <w:t xml:space="preserve"> — алгоритм, численно оценивающий созвучие окончаний строк и выделяющий группы рифмующихся слов.</w:t>
      </w:r>
    </w:p>
    <w:p>
      <w:pPr>
        <w:spacing w:line="360" w:lineRule="auto" w:after="0"/>
        <w:ind w:left="425" w:hanging="425"/>
      </w:pPr>
      <w:r>
        <w:rPr>
          <w:b/>
        </w:rPr>
        <w:t>потенциал Юкавы</w:t>
      </w:r>
      <w:r>
        <w:t xml:space="preserve"> — экранированный потенциал вида e^(−λd)/d; в работе используется как ядро затухания силы связи слогов с ростом расстояния между ними.</w:t>
      </w:r>
    </w:p>
    <w:p>
      <w:pPr>
        <w:spacing w:line="360" w:lineRule="auto" w:after="0"/>
        <w:ind w:left="425" w:hanging="425"/>
      </w:pPr>
      <w:r>
        <w:rPr>
          <w:b/>
        </w:rPr>
        <w:t>фонетическая векторизация</w:t>
      </w:r>
      <w:r>
        <w:t xml:space="preserve"> — представление слога числовым вектором артикуляционных признаков гласных и согласных для измерения созвучия.</w:t>
      </w:r>
    </w:p>
    <w:p>
      <w:pPr>
        <w:spacing w:line="360" w:lineRule="auto" w:after="0"/>
        <w:ind w:left="425" w:hanging="425"/>
      </w:pPr>
      <w:r>
        <w:rPr>
          <w:b/>
        </w:rPr>
        <w:t>best-of-N</w:t>
      </w:r>
      <w:r>
        <w:t xml:space="preserve"> — стратегия отбора лучшего из N сгенерированных вариантов по значению оценочной функции.</w:t>
      </w:r>
    </w:p>
    <w:p>
      <w:pPr>
        <w:spacing w:line="360" w:lineRule="auto" w:after="0"/>
        <w:ind w:left="425" w:hanging="425"/>
      </w:pPr>
      <w:r>
        <w:rPr>
          <w:b/>
        </w:rPr>
        <w:t>самокоррекция</w:t>
      </w:r>
      <w:r>
        <w:t xml:space="preserve"> — повторная правка сгенерированного текста языковой моделью по обратной связи (разбору) детектора рифмы.</w:t>
      </w:r>
    </w:p>
    <w:p>
      <w:pPr>
        <w:pStyle w:val="Heading1"/>
        <w:pageBreakBefore/>
      </w:pPr>
      <w:r>
        <w:t>Перечень сокращений</w:t>
      </w:r>
    </w:p>
    <w:p>
      <w:r>
        <w:rPr>
          <w:b w:val="0"/>
        </w:rPr>
        <w:t>В настоящем отчёте применяют следующие сокращения и обозначения:</w:t>
      </w:r>
    </w:p>
    <w:p>
      <w:pPr>
        <w:spacing w:line="360" w:lineRule="auto" w:after="0"/>
        <w:ind w:left="425" w:hanging="425"/>
      </w:pPr>
      <w:r>
        <w:rPr>
          <w:b/>
        </w:rPr>
        <w:t>ВКР</w:t>
      </w:r>
      <w:r>
        <w:t xml:space="preserve"> — выпускная квалификационная работа</w:t>
      </w:r>
    </w:p>
    <w:p>
      <w:pPr>
        <w:spacing w:line="360" w:lineRule="auto" w:after="0"/>
        <w:ind w:left="425" w:hanging="425"/>
      </w:pPr>
      <w:r>
        <w:rPr>
          <w:b/>
        </w:rPr>
        <w:t>ИИ</w:t>
      </w:r>
      <w:r>
        <w:t xml:space="preserve"> — искусственный интеллект</w:t>
      </w:r>
    </w:p>
    <w:p>
      <w:pPr>
        <w:spacing w:line="360" w:lineRule="auto" w:after="0"/>
        <w:ind w:left="425" w:hanging="425"/>
      </w:pPr>
      <w:r>
        <w:rPr>
          <w:b/>
        </w:rPr>
        <w:t>LLM</w:t>
      </w:r>
      <w:r>
        <w:t xml:space="preserve"> — большая языковая модель (Large Language Model)</w:t>
      </w:r>
    </w:p>
    <w:p>
      <w:pPr>
        <w:spacing w:line="360" w:lineRule="auto" w:after="0"/>
        <w:ind w:left="425" w:hanging="425"/>
      </w:pPr>
      <w:r>
        <w:rPr>
          <w:b/>
        </w:rPr>
        <w:t>NLP</w:t>
      </w:r>
      <w:r>
        <w:t xml:space="preserve"> — обработка естественного языка (Natural Language Processing)</w:t>
      </w:r>
    </w:p>
    <w:p>
      <w:pPr>
        <w:spacing w:line="360" w:lineRule="auto" w:after="0"/>
        <w:ind w:left="425" w:hanging="425"/>
      </w:pPr>
      <w:r>
        <w:rPr>
          <w:b/>
        </w:rPr>
        <w:t>SOTA</w:t>
      </w:r>
      <w:r>
        <w:t xml:space="preserve"> — современный уровень развития области, лучшие достигнутые результаты (State of the Art)</w:t>
      </w:r>
    </w:p>
    <w:p>
      <w:pPr>
        <w:spacing w:line="360" w:lineRule="auto" w:after="0"/>
        <w:ind w:left="425" w:hanging="425"/>
      </w:pPr>
      <w:r>
        <w:rPr>
          <w:b/>
        </w:rPr>
        <w:t>RPST</w:t>
      </w:r>
      <w:r>
        <w:t xml:space="preserve"> — инструмент автоматического анализа русского стиха (Russian Poetry Scansion Tool)</w:t>
      </w:r>
    </w:p>
    <w:p>
      <w:pPr>
        <w:spacing w:line="360" w:lineRule="auto" w:after="0"/>
        <w:ind w:left="425" w:hanging="425"/>
      </w:pPr>
      <w:r>
        <w:rPr>
          <w:b/>
        </w:rPr>
        <w:t>RLHF</w:t>
      </w:r>
      <w:r>
        <w:t xml:space="preserve"> — обучение с подкреплением на основе обратной связи человека (Reinforcement Learning from Human Feedback)</w:t>
      </w:r>
    </w:p>
    <w:p>
      <w:pPr>
        <w:spacing w:line="360" w:lineRule="auto" w:after="0"/>
        <w:ind w:left="425" w:hanging="425"/>
      </w:pPr>
      <w:r>
        <w:rPr>
          <w:b/>
        </w:rPr>
        <w:t>best-of-N</w:t>
      </w:r>
      <w:r>
        <w:t xml:space="preserve"> — отбор лучшего из N сгенерированных вариантов</w:t>
      </w:r>
    </w:p>
    <w:p>
      <w:pPr>
        <w:spacing w:line="360" w:lineRule="auto" w:after="0"/>
        <w:ind w:left="425" w:hanging="425"/>
      </w:pPr>
      <w:r>
        <w:rPr>
          <w:b/>
        </w:rPr>
        <w:t>GUI</w:t>
      </w:r>
      <w:r>
        <w:t xml:space="preserve"> — графический интерфейс пользователя (Graphical User Interface)</w:t>
      </w:r>
    </w:p>
    <w:p>
      <w:pPr>
        <w:spacing w:line="360" w:lineRule="auto" w:after="0"/>
        <w:ind w:left="425" w:hanging="425"/>
      </w:pPr>
      <w:r>
        <w:rPr>
          <w:b/>
        </w:rPr>
        <w:t>API</w:t>
      </w:r>
      <w:r>
        <w:t xml:space="preserve"> — программный интерфейс приложения (Application Programming Interface)</w:t>
      </w:r>
    </w:p>
    <w:p>
      <w:pPr>
        <w:spacing w:line="360" w:lineRule="auto" w:after="0"/>
        <w:ind w:left="425" w:hanging="425"/>
      </w:pPr>
      <w:r>
        <w:rPr>
          <w:b/>
        </w:rPr>
        <w:t>НКРЯ</w:t>
      </w:r>
      <w:r>
        <w:t xml:space="preserve"> — Национальный корпус русского языка</w:t>
      </w:r>
    </w:p>
    <w:p>
      <w:pPr>
        <w:spacing w:line="360" w:lineRule="auto" w:after="0"/>
        <w:ind w:left="425" w:hanging="425"/>
      </w:pPr>
      <w:r>
        <w:rPr>
          <w:b/>
        </w:rPr>
        <w:t>MERA</w:t>
      </w:r>
      <w:r>
        <w:t xml:space="preserve"> — бенчмарк комплексной оценки русскоязычных языковых моделей</w:t>
      </w:r>
    </w:p>
    <w:p>
      <w:pPr>
        <w:spacing w:line="360" w:lineRule="auto" w:after="0"/>
        <w:ind w:left="425" w:hanging="425"/>
      </w:pPr>
      <w:r>
        <w:rPr>
          <w:b/>
        </w:rPr>
        <w:t>РИНЦ</w:t>
      </w:r>
      <w:r>
        <w:t xml:space="preserve"> — Российский индекс научного цитирования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NLP.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ИИ,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spacing w:line="360" w:lineRule="auto" w:after="0"/>
        <w:ind w:firstLine="709"/>
        <w:jc w:val="both"/>
      </w:pPr>
      <w:r>
        <w:t>1) провести обзор источников и анализ современного состояния области (SOTA);</w:t>
      </w:r>
    </w:p>
    <w:p>
      <w:pPr>
        <w:spacing w:line="360" w:lineRule="auto" w:after="0"/>
        <w:ind w:firstLine="709"/>
        <w:jc w:val="both"/>
      </w:pPr>
      <w:r>
        <w:t>2) составить план-график работы над ВКР и диаграмму Ганта;</w:t>
      </w:r>
    </w:p>
    <w:p>
      <w:pPr>
        <w:spacing w:line="360" w:lineRule="auto" w:after="0"/>
        <w:ind w:firstLine="709"/>
        <w:jc w:val="both"/>
      </w:pPr>
      <w:r>
        <w:t>3) обосновать выбор данных, описать наборы и протокол их подготовки;</w:t>
      </w:r>
    </w:p>
    <w:p>
      <w:pPr>
        <w:spacing w:line="360" w:lineRule="auto" w:after="0"/>
        <w:ind w:firstLine="709"/>
        <w:jc w:val="both"/>
      </w:pPr>
      <w:r>
        <w:t>4) сформулировать математическую постановку задачи и метрики качества;</w:t>
      </w:r>
    </w:p>
    <w:p>
      <w:pPr>
        <w:spacing w:line="360" w:lineRule="auto" w:after="0"/>
        <w:ind w:firstLine="709"/>
        <w:jc w:val="both"/>
      </w:pPr>
      <w:r>
        <w:t>5) 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двух приложений. Глава 1 посвящена обзору источников, глава 2 — плану-графику работы, глава 3 — работе с данными, глава 4 — спецификации системы и прототипу. В приложении А приведены диаграмма Ганта и экранные снимки прототипа, в приложении Б — ключевые фрагменты исходного кода.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r>
        <w:rPr>
          <w:b w:val="0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(таблицы 1 и 2)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71"/>
        <w:gridCol w:w="3742"/>
        <w:gridCol w:w="3742"/>
      </w:tblGrid>
      <w:tr>
        <w:tc>
          <w:tcPr>
            <w:tcW w:type="dxa" w:w="187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Сентябрь 2025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Октябрь 2025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Октябрь–Декабрь 2025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Ноябрь 2025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Декабрь 2025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Январь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Февраль–Март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Март–Апрель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Апрель–Май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71"/>
        <w:gridCol w:w="3742"/>
        <w:gridCol w:w="3742"/>
      </w:tblGrid>
      <w:tr>
        <w:tc>
          <w:tcPr>
            <w:tcW w:type="dxa" w:w="187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Сентябрь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Сентябрь–Ноябрь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Октябрь 2026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Ноябрь 2026–Январь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Январь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Февраль–Март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Апрель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Апрель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Май–Июнь 2027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spacing w:line="360" w:lineRule="auto" w:after="0"/>
        <w:ind w:firstLine="709"/>
        <w:jc w:val="both"/>
      </w:pPr>
      <w:r>
        <w:t>1) 06.03.2026 — расширенный список литературы (70–100) и анализ SOTA;</w:t>
      </w:r>
    </w:p>
    <w:p>
      <w:pPr>
        <w:spacing w:line="360" w:lineRule="auto" w:after="0"/>
        <w:ind w:firstLine="709"/>
        <w:jc w:val="both"/>
      </w:pPr>
      <w:r>
        <w:t>2) 24.04.2026 — утверждённый план-график и диаграмма Ганта;</w:t>
      </w:r>
    </w:p>
    <w:p>
      <w:pPr>
        <w:spacing w:line="360" w:lineRule="auto" w:after="0"/>
        <w:ind w:firstLine="709"/>
        <w:jc w:val="both"/>
      </w:pPr>
      <w:r>
        <w:t>3) 24.05.2026 — описание набора данных и протокол сбора;</w:t>
      </w:r>
    </w:p>
    <w:p>
      <w:pPr>
        <w:spacing w:line="360" w:lineRule="auto" w:after="0"/>
        <w:ind w:firstLine="709"/>
        <w:jc w:val="both"/>
      </w:pPr>
      <w:r>
        <w:t>4) 29.05.2026 — спецификация (постановка, метрики, окружение, пайплайн);</w:t>
      </w:r>
    </w:p>
    <w:p>
      <w:pPr>
        <w:spacing w:line="360" w:lineRule="auto" w:after="0"/>
        <w:ind w:firstLine="709"/>
        <w:jc w:val="both"/>
      </w:pPr>
      <w:r>
        <w:t>5) июнь 2026 — защита отчёта по учебной практике;</w:t>
      </w:r>
    </w:p>
    <w:p>
      <w:pPr>
        <w:spacing w:line="360" w:lineRule="auto" w:after="0"/>
        <w:ind w:firstLine="709"/>
        <w:jc w:val="both"/>
      </w:pPr>
      <w:r>
        <w:t>6) апрель 2027 — предзащита, отзыв и рецензия;</w:t>
      </w:r>
    </w:p>
    <w:p>
      <w:pPr>
        <w:spacing w:line="360" w:lineRule="auto" w:after="0"/>
        <w:ind w:firstLine="709"/>
        <w:jc w:val="both"/>
      </w:pPr>
      <w:r>
        <w:t>7) 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</w:pPr>
      <w:r>
        <w:t>3.2 Описание наборов данных</w:t>
      </w:r>
    </w:p>
    <w:p>
      <w:r>
        <w:rPr>
          <w:b w:val="0"/>
        </w:rPr>
        <w:t>Рассмотренные наборы данных - кандидаты и их основные характеристики (язык, объём, наличие разметки и лицензия) сведены в таблице 3.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51"/>
        <w:gridCol w:w="1321"/>
        <w:gridCol w:w="2092"/>
        <w:gridCol w:w="1990"/>
        <w:gridCol w:w="1701"/>
      </w:tblGrid>
      <w:tr>
        <w:tc>
          <w:tcPr>
            <w:tcW w:type="dxa" w:w="225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25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32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209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1990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spacing w:line="360" w:lineRule="auto" w:after="0"/>
        <w:ind w:firstLine="709"/>
        <w:jc w:val="both"/>
      </w:pPr>
      <w:r>
        <w:t>1) нормализация: UTF-8, нижний регистр, удаление пунктуации для детектора с сохранением исходного варианта для показа;</w:t>
      </w:r>
    </w:p>
    <w:p>
      <w:pPr>
        <w:spacing w:line="360" w:lineRule="auto" w:after="0"/>
        <w:ind w:firstLine="709"/>
        <w:jc w:val="both"/>
      </w:pPr>
      <w:r>
        <w:t>2) сегментация на строфы (по пустой строке, фильтр ≥2 строк);</w:t>
      </w:r>
    </w:p>
    <w:p>
      <w:pPr>
        <w:spacing w:line="360" w:lineRule="auto" w:after="0"/>
        <w:ind w:firstLine="709"/>
        <w:jc w:val="both"/>
      </w:pPr>
      <w:r>
        <w:t>3) дедупликация точных и near-duplicate строф;</w:t>
      </w:r>
    </w:p>
    <w:p>
      <w:pPr>
        <w:spacing w:line="360" w:lineRule="auto" w:after="0"/>
        <w:ind w:firstLine="709"/>
        <w:jc w:val="both"/>
      </w:pPr>
      <w:r>
        <w:t>4) фильтрация по языку, длине, кодировке;</w:t>
      </w:r>
    </w:p>
    <w:p>
      <w:pPr>
        <w:spacing w:line="360" w:lineRule="auto" w:after="0"/>
        <w:ind w:firstLine="709"/>
        <w:jc w:val="both"/>
      </w:pPr>
      <w:r>
        <w:t>5) разметка ударений (RPST) — хвосты/клаузулы; сверка с эталоном для размеченных датасетов;</w:t>
      </w:r>
    </w:p>
    <w:p>
      <w:pPr>
        <w:spacing w:line="360" w:lineRule="auto" w:after="0"/>
        <w:ind w:firstLine="709"/>
        <w:jc w:val="both"/>
      </w:pPr>
      <w:r>
        <w:t>6) формирование примеров (строфа, целевая схема, метки рифмующихся пар);</w:t>
      </w:r>
    </w:p>
    <w:p>
      <w:pPr>
        <w:spacing w:line="360" w:lineRule="auto" w:after="0"/>
        <w:ind w:firstLine="709"/>
        <w:jc w:val="both"/>
      </w:pPr>
      <w:r>
        <w:t>7) 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spacing w:line="360" w:lineRule="auto" w:after="0"/>
        <w:ind w:firstLine="709"/>
        <w:jc w:val="both"/>
      </w:pPr>
      <w:r>
        <w:t>1) источники и права: фиксировать происхождение и лицензию каждого текста;</w:t>
      </w:r>
    </w:p>
    <w:p>
      <w:pPr>
        <w:spacing w:line="360" w:lineRule="auto" w:after="0"/>
        <w:ind w:firstLine="709"/>
        <w:jc w:val="both"/>
      </w:pPr>
      <w:r>
        <w:t>2) сбор: предпочитать готовые датасеты; при парсинге соблюдать robots.txt и хранить дату выгрузки;</w:t>
      </w:r>
    </w:p>
    <w:p>
      <w:pPr>
        <w:spacing w:line="360" w:lineRule="auto" w:after="0"/>
        <w:ind w:firstLine="709"/>
        <w:jc w:val="both"/>
      </w:pPr>
      <w:r>
        <w:t>3) очистка: нормализация, дедупликация, отсев не-русских и битых фрагментов;</w:t>
      </w:r>
    </w:p>
    <w:p>
      <w:pPr>
        <w:spacing w:line="360" w:lineRule="auto" w:after="0"/>
        <w:ind w:firstLine="709"/>
        <w:jc w:val="both"/>
      </w:pPr>
      <w:r>
        <w:t>4) разметка: автоматическая (RPST) + выборочная ручная проверка ≥2 аннотаторами, согласие по Cohen's κ;</w:t>
      </w:r>
    </w:p>
    <w:p>
      <w:pPr>
        <w:spacing w:line="360" w:lineRule="auto" w:after="0"/>
        <w:ind w:firstLine="709"/>
        <w:jc w:val="both"/>
      </w:pPr>
      <w:r>
        <w:t>5) версионирование: версия, хэш и описание изменений; неизменяемые сплиты;</w:t>
      </w:r>
    </w:p>
    <w:p>
      <w:pPr>
        <w:spacing w:line="360" w:lineRule="auto" w:after="0"/>
        <w:ind w:firstLine="709"/>
        <w:jc w:val="both"/>
      </w:pPr>
      <w:r>
        <w:t>6) метаданные: источник, лицензия, схема, размер, метки;</w:t>
      </w:r>
    </w:p>
    <w:p>
      <w:pPr>
        <w:spacing w:line="360" w:lineRule="auto" w:after="0"/>
        <w:ind w:firstLine="709"/>
        <w:jc w:val="both"/>
      </w:pPr>
      <w:r>
        <w:t>7) 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LLM,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r>
        <w:rPr>
          <w:b w:val="0"/>
        </w:rPr>
        <w:t>Используемые в работе метрики качества, их определения и назначение приведены в таблице 4.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38"/>
        <w:gridCol w:w="4218"/>
        <w:gridCol w:w="2699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рифмованных пар по схеме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42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69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r>
        <w:rPr>
          <w:b w:val="0"/>
        </w:rPr>
        <w:t>Требования к программному окружению прототипа приведены в таблице 5.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 Ключевые фрагменты исходного кода детектора — экранирующее ядро Юкавы, сборка матрицы связей слогов, энергия слога и фонетическая векторизация — приведены в приложении Б (листинги Б.1-Б.4).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ИИ, ядро работы — математика оценки рифмы; именно численные метрики направляют исправление текста. Взаимодействие с LLM построено как цикл с обратной связью:</w:t>
      </w:r>
    </w:p>
    <w:p>
      <w:pPr>
        <w:spacing w:line="360" w:lineRule="auto" w:after="0"/>
        <w:ind w:firstLine="709"/>
        <w:jc w:val="both"/>
      </w:pPr>
      <w:r>
        <w:t>1) генерация: модель выдаёт N вариантов стиха на тему (best-of-N);</w:t>
      </w:r>
    </w:p>
    <w:p>
      <w:pPr>
        <w:spacing w:line="360" w:lineRule="auto" w:after="0"/>
        <w:ind w:firstLine="709"/>
        <w:jc w:val="both"/>
      </w:pPr>
      <w:r>
        <w:t>2) оценка: детектор рифмы численно оценивает каждый вариант (RPST или Юкава);</w:t>
      </w:r>
    </w:p>
    <w:p>
      <w:pPr>
        <w:spacing w:line="360" w:lineRule="auto" w:after="0"/>
        <w:ind w:firstLine="709"/>
        <w:jc w:val="both"/>
      </w:pPr>
      <w:r>
        <w:t>3) разметка: по результату оценки помечаются окончания строк — какие рифмуются (оставить), а какие нет (переписать);</w:t>
      </w:r>
    </w:p>
    <w:p>
      <w:pPr>
        <w:spacing w:line="360" w:lineRule="auto" w:after="0"/>
        <w:ind w:firstLine="709"/>
        <w:jc w:val="both"/>
      </w:pPr>
      <w:r>
        <w:t>4) 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LLM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 Системный промпт, промпт генерации (best-of-N) и промпт самокоррекции по обратной связи детектора приведены в приложении Б (листинги Б.5, Б.6).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LLM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А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Диаграмма Ганта и интерфейс приложения «Rhymer»</w:t>
      </w:r>
    </w:p>
    <w:p>
      <w:r>
        <w:rPr>
          <w:b w:val="0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5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vk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r>
        <w:rPr>
          <w:b w:val="0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А.2 — Вкладка «Генерация»: тема, размер, схема рифмовки и сгенерированный стих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ingGene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А.3 — Улучшение стиха: самокоррекция по разбору рифмы (best-of-N с одним проходом правки)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RP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А.4 — Оценка рифмы детектором RPST с подсветкой рифмующихся окончаний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Yukaw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DarkThe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А.6 — Тёмная тема интерфейса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ProviderAPIKey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А.7 — Настройки провайдера и API-ключей (Claude, Gemini, DeepSeek)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Б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Ключевые фрагменты исходного кода</w:t>
      </w:r>
    </w:p>
    <w:p>
      <w:r>
        <w:rPr>
          <w:b w:val="0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LLM. Настраиваемые константы (λ, γ, веса) вынесены в параметры и опущены для краткости.</w:t>
      </w:r>
    </w:p>
    <w:p>
      <w:r>
        <w:rPr>
          <w:b w:val="0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keepNext/>
        <w:spacing w:before="120"/>
        <w:ind w:firstLine="0"/>
      </w:pPr>
      <w:r>
        <w:t>Листинг Б.1 — Экранирующее ядро Юкавы и резонанс связей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yukawa_kernel(d, lam=0.8):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"""Экранированное взаимодействие: подавляет дальние связи."""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if d == 0: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return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np.exp(-lam * d) / d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apply_resonance(S, gamma=0.3):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"""Тройные корреляции (ритм): усиливаем связи с общими «друзьями»."""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S_new = S.copy()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N = S.shape[0]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for c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if c != a and c != b: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resonance += S[a, c] * S[b, c]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/= N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S_new[a, b] += gamma * resonance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S_new[b, a] = S_new[a, b]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S_new</w:t>
      </w:r>
    </w:p>
    <w:p>
      <w:pPr>
        <w:spacing w:after="120"/>
      </w:pPr>
    </w:p>
    <w:p>
      <w:r>
        <w:rPr>
          <w:b w:val="0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keepNext/>
        <w:spacing w:before="120"/>
        <w:ind w:firstLine="0"/>
      </w:pPr>
      <w:r>
        <w:t>Листинг Б.2 — Матрица связей слогов и выделение групп рифм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узлы графа — слоги; nodes[k] = (строка_i, позиция_j, текст_слога)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energy = [syllable_energy(t, voiced_mult, voiceless_mult)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for (_, _, t) in nodes]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np.zeros((N, N))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d   = manhattan_distance(nodes[a][:2], nodes[b][:2])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sim = syllable_similarity(nodes[a][2], nodes[b][2], vowel_weight)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k   = yukawa_kernel(d, lam)                  # экранирование расстоянием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ef  = abs(energy[a] * energy[b]) / energy_div  # вклад «масс»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S[a, b] = S[b, a] = sim * k * ef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apply_resonance(S, gamma=gamma)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S / S.max()                                      # нормировка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рифмы = компоненты связности графа при пороге link_ratio * max(S)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thr = link_ratio * off.max()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off[a, b] &gt;= thr: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parent[find(a)] = find(b)   # union-find: объединяем созвучные слоги</w:t>
      </w:r>
    </w:p>
    <w:p>
      <w:pPr>
        <w:spacing w:after="120"/>
      </w:pPr>
    </w:p>
    <w:p>
      <w:r>
        <w:rPr>
          <w:b w:val="0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keepNext/>
        <w:spacing w:before="120"/>
        <w:ind w:firstLine="0"/>
      </w:pPr>
      <w:r>
        <w:t>Листинг Б.3 — Определение энергии слога (syllable energy)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syllable_energy(syllable, voiced_mult=2.0, voiceless_mult=0.5):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"""«Масса» слога: основа — сонорность гласной, согласные добавляют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массу (звонкие тяжелее глухих)."""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base = 0.0   # сонорность гласной (основной тон)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mass = 0.0   # вклад согласных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base = VOWEL_SONORITY[cls]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mass += voiced_mult if f[0] else voiceless_mult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base * (1.0 + mass)</w:t>
      </w:r>
    </w:p>
    <w:p>
      <w:pPr>
        <w:spacing w:after="120"/>
      </w:pPr>
    </w:p>
    <w:p>
      <w:r>
        <w:rPr>
          <w:b w:val="0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keepNext/>
        <w:spacing w:before="120"/>
        <w:ind w:firstLine="0"/>
      </w:pPr>
      <w:r>
        <w:t>Листинг Б.4 — Фонетическая векторизация и схожесть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syllable_vector(syllable):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"""Слог -&gt; (вектор гласной, вектор согласных)."""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vvec = np.zeros(len(VOWEL_CLASSES) + 3)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 = np.zeros(CONS_DIM + 1)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soft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                      # гласная: класс + артикуляция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vvec[VOWEL_CLASSES.index(cls)] = VOWEL_CLASS_WEIGHT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vvec[len(VOWEL_CLASSES):] = np.multiply(VOWEL_ARTIC[cls],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                                VOWEL_ARTIC_WEIGHT)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ch in SOFTENING_VOWELS: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elif ch == 'ь':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            # согласные: «мешок» признаков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cvec[:CONS_DIM] += 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cvec[CONS_DIM] = soft * SOFT_WEIGHT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vvec, cvec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syllable_similarity(s1, s2, vowel_weight=0.6):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"""Схожесть = vowel_weight*cos(гласные) + (1-vowel_weight)*cos(согласные)."""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v1, c1 = syllable_vector(s1)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v2, c2 = syllable_vector(s2)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vowel_weight * _cosine(v1, v2) + (1.0 - vowel_weight) * _cosine(c1, c2)</w:t>
      </w:r>
    </w:p>
    <w:p>
      <w:pPr>
        <w:spacing w:after="120"/>
      </w:pPr>
    </w:p>
    <w:p>
      <w:r>
        <w:rPr>
          <w:b w:val="0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keepNext/>
        <w:spacing w:before="120"/>
        <w:ind w:firstLine="0"/>
      </w:pPr>
      <w:r>
        <w:t>Листинг Б.5 — Системный промпт и промпт генерации (best-of-N)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SYSTEM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"Ты — русский поэт. Сочиняешь силлабо-тонические рифмованные стихи.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"Строго соблюдаешь заданные тему, стихотворный размер, число строк и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"схему рифмовки. Отвечаешь только в запрошенном формате JSON, без пояснений."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generate(): best-of-N — за один вызов модель выдаёт N разных вариантов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f"Сочини {n} РАЗНЫХ вариантов стихотворения.\n"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f"Тема: {theme}\n"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f"Размер: {params.meter}\n"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f"Число строк в каждом: {params.n_lines}\n"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f"Схема рифмовки: {params.scheme}\n"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f"Каждый вариант — ровно {params.n_lines} строк, строки разделяй '\n'.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f"Добивайся точной рифмы по схеме {params.scheme}."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r>
        <w:rPr>
          <w:b w:val="0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keepNext/>
        <w:spacing w:before="120"/>
        <w:ind w:firstLine="0"/>
      </w:pPr>
      <w:r>
        <w:t>Листинг Б.6 — Промпт самокоррекции по обратной связи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improve(): переписать стих, улучшив рифму по разбору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"Вот стихотворение и разбор его рифмы:\n\n"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f"СТИХ:\n{text}\n\n"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f"РАЗБОР: {feedback}\n\n"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"Перепиши стихотворение, улучшив рифму: СОХРАНИ хорошо рифмующиеся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"окончания, перепиши только плохие строки. Обязательно обеспечь: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"естественную читаемость (живой порядок слов, без неуклюжих инверсий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"ради рифмы), связный смысл, точную рифму по схеме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f"{params.scheme}, выдержанный размер {params.meter} и ровно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f"{params.n_lines} строк. Сохрани тему «{theme}»."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 Ghazvininejad M., Shi X., Choi Y., Knight K. Generating Topical Poetry // EMNLP 2016. URL: https://aclanthology.org/D16-1126/.</w:t>
      </w:r>
    </w:p>
    <w:p>
      <w:pPr>
        <w:spacing w:line="360" w:lineRule="auto"/>
        <w:ind w:left="425" w:hanging="425"/>
      </w:pPr>
      <w:r>
        <w:t>2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 Yandex. YaLM-100B. GitHub, 2022. URL: https://github.com/yandex/YaLM-100B.</w:t>
      </w:r>
    </w:p>
    <w:p>
      <w:pPr>
        <w:spacing w:line="360" w:lineRule="auto"/>
        <w:ind w:left="425" w:hanging="425"/>
      </w:pPr>
      <w:r>
        <w:t>13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 Koziev I. RussianPoetryScansionTool. GitHub. URL: https://github.com/Koziev/RussianPoetryScansionTool.</w:t>
      </w:r>
    </w:p>
    <w:p>
      <w:pPr>
        <w:spacing w:line="360" w:lineRule="auto"/>
        <w:ind w:left="425" w:hanging="425"/>
      </w:pPr>
      <w:r>
        <w:t>19 Koziev I. ArsPoetica. Hugging Face. URL: https://huggingface.co/datasets/inkoziev/ArsPoetica.</w:t>
      </w:r>
    </w:p>
    <w:p>
      <w:pPr>
        <w:spacing w:line="360" w:lineRule="auto"/>
        <w:ind w:left="425" w:hanging="425"/>
      </w:pPr>
      <w:r>
        <w:t>20 Koziev I. Rifma. GitHub. URL: https://github.com/Koziev/Rifma.</w:t>
      </w:r>
    </w:p>
    <w:p>
      <w:pPr>
        <w:spacing w:line="360" w:lineRule="auto"/>
        <w:ind w:left="425" w:hanging="425"/>
      </w:pPr>
      <w:r>
        <w:t>21 Plecháč P. A Collocation-Driven Method of Discovering Rhymes // Taming the Corpus. Springer, 2018. URL: https://github.com/versotym/rhymetagger.</w:t>
      </w:r>
    </w:p>
    <w:p>
      <w:pPr>
        <w:spacing w:line="360" w:lineRule="auto"/>
        <w:ind w:left="425" w:hanging="425"/>
      </w:pPr>
      <w:r>
        <w:t>22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 Koziev I. rutokenizer. GitHub. URL: https://github.com/Koziev/rutokenizer.</w:t>
      </w:r>
    </w:p>
    <w:p>
      <w:pPr>
        <w:spacing w:line="360" w:lineRule="auto"/>
        <w:ind w:left="425" w:hanging="425"/>
      </w:pPr>
      <w:r>
        <w:t>25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 Mikolov T., Chen K., Corrado G., Dean J. Efficient Estimation of Word Representations in Vector Space. arXiv:1301.3781. URL: https://arxiv.org/abs/1301.3781.</w:t>
      </w:r>
    </w:p>
    <w:p>
      <w:pPr>
        <w:spacing w:line="360" w:lineRule="auto"/>
        <w:ind w:left="425" w:hanging="425"/>
      </w:pPr>
      <w:r>
        <w:t>45 Bojanowski P., Grave E., Joulin A., Mikolov T. Enriching Word Vectors with Subword Information // TACL 2017. arXiv:1607.04606. URL: https://arxiv.org/abs/1607.04606.</w:t>
      </w:r>
    </w:p>
    <w:p>
      <w:pPr>
        <w:spacing w:line="360" w:lineRule="auto"/>
        <w:ind w:left="425" w:hanging="425"/>
      </w:pPr>
      <w:r>
        <w:t>46 Devlin J., Chang M.-W., Lee K., Toutanova K. BERT: Pre-training of Deep Bidirectional Transformers for Language Understanding // NAACL 2019. arXiv:1810.04805. URL: https://arxiv.org/abs/1810.04805.</w:t>
      </w:r>
    </w:p>
    <w:p>
      <w:pPr>
        <w:spacing w:line="360" w:lineRule="auto"/>
        <w:ind w:left="425" w:hanging="425"/>
      </w:pPr>
      <w:r>
        <w:t>47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48 ГОСТ 7.32–2017. Отчёт о научно-исследовательской работе. Структура и правила оформления. М.: Стандартинформ, 2017.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960"/>
      <w:ind w:firstLine="0"/>
      <w:jc w:val="center"/>
    </w:pPr>
    <w:r>
      <w:rPr>
        <w:rFonts w:ascii="Times New Roman" w:hAnsi="Times New Roman"/>
        <w:sz w:val="28"/>
      </w:rPr>
      <w:t>Великий Новгород</w:t>
      <w:br/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