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91076" w14:textId="36EFCDD2" w:rsidR="005B7277" w:rsidRPr="00134744" w:rsidRDefault="00287C01" w:rsidP="00F730B0">
      <w:pPr>
        <w:pStyle w:val="Title"/>
        <w:jc w:val="both"/>
        <w:rPr>
          <w:b/>
          <w:bCs/>
          <w:i w:val="0"/>
          <w:iCs w:val="0"/>
        </w:rPr>
      </w:pPr>
      <w:r>
        <w:rPr>
          <w:b/>
          <w:bCs/>
          <w:i w:val="0"/>
          <w:iCs w:val="0"/>
        </w:rPr>
        <w:t>Course Project User Guide</w:t>
      </w:r>
    </w:p>
    <w:p w14:paraId="44F0B7A7" w14:textId="53BA1693" w:rsidR="005B7277" w:rsidRDefault="00D34188" w:rsidP="00F730B0">
      <w:pPr>
        <w:pStyle w:val="Heading1"/>
        <w:jc w:val="both"/>
      </w:pPr>
      <w:r>
        <w:t>Introduction</w:t>
      </w:r>
    </w:p>
    <w:p w14:paraId="3AEBF599" w14:textId="1689AA4F" w:rsidR="00712B26" w:rsidRPr="00712B26" w:rsidRDefault="6E2ACD87" w:rsidP="00F730B0">
      <w:pPr>
        <w:jc w:val="both"/>
        <w:rPr>
          <w:i w:val="0"/>
          <w:iCs w:val="0"/>
        </w:rPr>
      </w:pPr>
      <w:r w:rsidRPr="7C7AF33B">
        <w:rPr>
          <w:i w:val="0"/>
          <w:iCs w:val="0"/>
        </w:rPr>
        <w:t>In this project, we analyzed the growth rate</w:t>
      </w:r>
      <w:r w:rsidR="78A790E2" w:rsidRPr="7C7AF33B">
        <w:rPr>
          <w:i w:val="0"/>
          <w:iCs w:val="0"/>
        </w:rPr>
        <w:t xml:space="preserve"> </w:t>
      </w:r>
      <w:r w:rsidRPr="7C7AF33B">
        <w:rPr>
          <w:i w:val="0"/>
          <w:iCs w:val="0"/>
        </w:rPr>
        <w:t xml:space="preserve">of St. Petersburg neighborhoods </w:t>
      </w:r>
      <w:r w:rsidR="125B8B1C" w:rsidRPr="7C7AF33B">
        <w:rPr>
          <w:i w:val="0"/>
          <w:iCs w:val="0"/>
        </w:rPr>
        <w:t xml:space="preserve">from 2015 to 2022 </w:t>
      </w:r>
      <w:r w:rsidRPr="7C7AF33B">
        <w:rPr>
          <w:i w:val="0"/>
          <w:iCs w:val="0"/>
        </w:rPr>
        <w:t xml:space="preserve">using </w:t>
      </w:r>
      <w:r w:rsidR="743B10C3" w:rsidRPr="7C7AF33B">
        <w:rPr>
          <w:i w:val="0"/>
          <w:iCs w:val="0"/>
        </w:rPr>
        <w:t>the average and median taxable</w:t>
      </w:r>
      <w:r w:rsidR="4ED51CAD" w:rsidRPr="7C7AF33B">
        <w:rPr>
          <w:i w:val="0"/>
          <w:iCs w:val="0"/>
        </w:rPr>
        <w:t>,</w:t>
      </w:r>
      <w:r w:rsidR="743B10C3" w:rsidRPr="7C7AF33B">
        <w:rPr>
          <w:i w:val="0"/>
          <w:iCs w:val="0"/>
        </w:rPr>
        <w:t xml:space="preserve"> non-school distric</w:t>
      </w:r>
      <w:r w:rsidR="55E069E4" w:rsidRPr="7C7AF33B">
        <w:rPr>
          <w:i w:val="0"/>
          <w:iCs w:val="0"/>
        </w:rPr>
        <w:t xml:space="preserve">t property values of </w:t>
      </w:r>
      <w:r w:rsidR="3778A114" w:rsidRPr="7C7AF33B">
        <w:rPr>
          <w:i w:val="0"/>
          <w:iCs w:val="0"/>
        </w:rPr>
        <w:t xml:space="preserve">properties </w:t>
      </w:r>
      <w:r w:rsidR="55E069E4" w:rsidRPr="7C7AF33B">
        <w:rPr>
          <w:i w:val="0"/>
          <w:iCs w:val="0"/>
        </w:rPr>
        <w:t xml:space="preserve">in those neighborhoods. </w:t>
      </w:r>
      <w:r w:rsidR="6D9A5201" w:rsidRPr="7C7AF33B">
        <w:rPr>
          <w:i w:val="0"/>
          <w:iCs w:val="0"/>
        </w:rPr>
        <w:t>Our task was to</w:t>
      </w:r>
      <w:r w:rsidR="6A6A956A" w:rsidRPr="7C7AF33B">
        <w:rPr>
          <w:i w:val="0"/>
          <w:iCs w:val="0"/>
        </w:rPr>
        <w:t xml:space="preserve"> investigate these rates at </w:t>
      </w:r>
      <w:r w:rsidR="27F97632" w:rsidRPr="7C7AF33B">
        <w:rPr>
          <w:i w:val="0"/>
          <w:iCs w:val="0"/>
        </w:rPr>
        <w:t>various levels</w:t>
      </w:r>
      <w:r w:rsidR="6A6A956A" w:rsidRPr="7C7AF33B">
        <w:rPr>
          <w:i w:val="0"/>
          <w:iCs w:val="0"/>
        </w:rPr>
        <w:t xml:space="preserve"> of granularity: all properties, </w:t>
      </w:r>
      <w:r w:rsidR="7366EBF2" w:rsidRPr="7C7AF33B">
        <w:rPr>
          <w:i w:val="0"/>
          <w:iCs w:val="0"/>
        </w:rPr>
        <w:t>strictly residential properties, single-family homes, non-homestead single-family homes, and single-family properties in conjunc</w:t>
      </w:r>
      <w:r w:rsidR="23762EBE" w:rsidRPr="7C7AF33B">
        <w:rPr>
          <w:i w:val="0"/>
          <w:iCs w:val="0"/>
        </w:rPr>
        <w:t xml:space="preserve">tion with missing middle properties. </w:t>
      </w:r>
      <w:r w:rsidR="7D3BCD11" w:rsidRPr="7C7AF33B">
        <w:rPr>
          <w:i w:val="0"/>
          <w:iCs w:val="0"/>
        </w:rPr>
        <w:t xml:space="preserve">Through data visualizations in Tableau, we </w:t>
      </w:r>
      <w:r w:rsidR="324E9B7D" w:rsidRPr="7C7AF33B">
        <w:rPr>
          <w:i w:val="0"/>
          <w:iCs w:val="0"/>
        </w:rPr>
        <w:t>address the</w:t>
      </w:r>
      <w:r w:rsidR="7D3BCD11" w:rsidRPr="7C7AF33B">
        <w:rPr>
          <w:i w:val="0"/>
          <w:iCs w:val="0"/>
        </w:rPr>
        <w:t xml:space="preserve"> research question</w:t>
      </w:r>
      <w:r w:rsidR="30E4C0A2" w:rsidRPr="7C7AF33B">
        <w:rPr>
          <w:i w:val="0"/>
          <w:iCs w:val="0"/>
        </w:rPr>
        <w:t xml:space="preserve"> </w:t>
      </w:r>
      <w:r w:rsidR="5F7061AF" w:rsidRPr="7C7AF33B">
        <w:rPr>
          <w:i w:val="0"/>
          <w:iCs w:val="0"/>
        </w:rPr>
        <w:t xml:space="preserve">on whether </w:t>
      </w:r>
      <w:r w:rsidR="30932107" w:rsidRPr="7C7AF33B">
        <w:rPr>
          <w:i w:val="0"/>
          <w:iCs w:val="0"/>
        </w:rPr>
        <w:t>homestead impact</w:t>
      </w:r>
      <w:r w:rsidR="7FDE537D" w:rsidRPr="7C7AF33B">
        <w:rPr>
          <w:i w:val="0"/>
          <w:iCs w:val="0"/>
        </w:rPr>
        <w:t>s</w:t>
      </w:r>
      <w:r w:rsidR="30932107" w:rsidRPr="7C7AF33B">
        <w:rPr>
          <w:i w:val="0"/>
          <w:iCs w:val="0"/>
        </w:rPr>
        <w:t xml:space="preserve"> property</w:t>
      </w:r>
      <w:r w:rsidR="4B0F9CEB" w:rsidRPr="7C7AF33B">
        <w:rPr>
          <w:i w:val="0"/>
          <w:iCs w:val="0"/>
        </w:rPr>
        <w:t xml:space="preserve"> value</w:t>
      </w:r>
      <w:r w:rsidR="30932107" w:rsidRPr="7C7AF33B">
        <w:rPr>
          <w:i w:val="0"/>
          <w:iCs w:val="0"/>
        </w:rPr>
        <w:t xml:space="preserve"> growth rate</w:t>
      </w:r>
      <w:r w:rsidR="1CBAFC1C" w:rsidRPr="7C7AF33B">
        <w:rPr>
          <w:i w:val="0"/>
          <w:iCs w:val="0"/>
        </w:rPr>
        <w:t xml:space="preserve">s in the area. </w:t>
      </w:r>
      <w:r w:rsidR="7E78F075" w:rsidRPr="7C7AF33B">
        <w:rPr>
          <w:i w:val="0"/>
          <w:iCs w:val="0"/>
        </w:rPr>
        <w:t xml:space="preserve">The business value </w:t>
      </w:r>
      <w:r w:rsidR="51363995" w:rsidRPr="7C7AF33B">
        <w:rPr>
          <w:i w:val="0"/>
          <w:iCs w:val="0"/>
        </w:rPr>
        <w:t xml:space="preserve">of this investigation </w:t>
      </w:r>
      <w:r w:rsidR="0C3F180B" w:rsidRPr="7C7AF33B">
        <w:rPr>
          <w:i w:val="0"/>
          <w:iCs w:val="0"/>
        </w:rPr>
        <w:t xml:space="preserve">is to observe </w:t>
      </w:r>
      <w:r w:rsidR="662C2825" w:rsidRPr="7C7AF33B">
        <w:rPr>
          <w:i w:val="0"/>
          <w:iCs w:val="0"/>
        </w:rPr>
        <w:t xml:space="preserve">how the area has </w:t>
      </w:r>
      <w:r w:rsidR="6C57CF42" w:rsidRPr="7C7AF33B">
        <w:rPr>
          <w:i w:val="0"/>
          <w:iCs w:val="0"/>
        </w:rPr>
        <w:t xml:space="preserve">developed over the course of seven years and present these findings in a manner which may draw potential investors </w:t>
      </w:r>
      <w:r w:rsidR="75E363ED" w:rsidRPr="7C7AF33B">
        <w:rPr>
          <w:i w:val="0"/>
          <w:iCs w:val="0"/>
        </w:rPr>
        <w:t xml:space="preserve">and businesses to St. Petersburg. </w:t>
      </w:r>
    </w:p>
    <w:p w14:paraId="517A02E1" w14:textId="2500E47D" w:rsidR="005B7277" w:rsidRPr="00134744" w:rsidRDefault="005B7277" w:rsidP="00F730B0">
      <w:pPr>
        <w:pStyle w:val="Heading1"/>
        <w:jc w:val="both"/>
      </w:pPr>
      <w:r>
        <w:t>Methodology</w:t>
      </w:r>
    </w:p>
    <w:p w14:paraId="421E0861" w14:textId="77DD8EDE" w:rsidR="09F9EB60" w:rsidRDefault="09F9EB60" w:rsidP="00F730B0">
      <w:pPr>
        <w:jc w:val="both"/>
        <w:rPr>
          <w:i w:val="0"/>
          <w:iCs w:val="0"/>
        </w:rPr>
      </w:pPr>
      <w:r w:rsidRPr="7C7AF33B">
        <w:rPr>
          <w:i w:val="0"/>
          <w:iCs w:val="0"/>
        </w:rPr>
        <w:t xml:space="preserve">To </w:t>
      </w:r>
      <w:r w:rsidR="25B80F51" w:rsidRPr="7C7AF33B">
        <w:rPr>
          <w:i w:val="0"/>
          <w:iCs w:val="0"/>
        </w:rPr>
        <w:t xml:space="preserve">begin </w:t>
      </w:r>
      <w:r w:rsidRPr="7C7AF33B">
        <w:rPr>
          <w:i w:val="0"/>
          <w:iCs w:val="0"/>
        </w:rPr>
        <w:t>prepar</w:t>
      </w:r>
      <w:r w:rsidR="3FD61C42" w:rsidRPr="7C7AF33B">
        <w:rPr>
          <w:i w:val="0"/>
          <w:iCs w:val="0"/>
        </w:rPr>
        <w:t>ing</w:t>
      </w:r>
      <w:r w:rsidRPr="7C7AF33B">
        <w:rPr>
          <w:i w:val="0"/>
          <w:iCs w:val="0"/>
        </w:rPr>
        <w:t xml:space="preserve"> the data for our analysis, we used R studio software to remove the </w:t>
      </w:r>
      <w:r w:rsidR="549D4A7A" w:rsidRPr="7C7AF33B">
        <w:rPr>
          <w:i w:val="0"/>
          <w:iCs w:val="0"/>
        </w:rPr>
        <w:t xml:space="preserve">columns </w:t>
      </w:r>
      <w:r w:rsidRPr="7C7AF33B">
        <w:rPr>
          <w:i w:val="0"/>
          <w:iCs w:val="0"/>
        </w:rPr>
        <w:t xml:space="preserve">of data </w:t>
      </w:r>
      <w:r w:rsidR="5AA83A7A" w:rsidRPr="7C7AF33B">
        <w:rPr>
          <w:i w:val="0"/>
          <w:iCs w:val="0"/>
        </w:rPr>
        <w:t xml:space="preserve">in both the 2015 and 2022 data sets </w:t>
      </w:r>
      <w:r w:rsidRPr="7C7AF33B">
        <w:rPr>
          <w:i w:val="0"/>
          <w:iCs w:val="0"/>
        </w:rPr>
        <w:t xml:space="preserve">which were not relevant to </w:t>
      </w:r>
      <w:r w:rsidR="7595589E" w:rsidRPr="7C7AF33B">
        <w:rPr>
          <w:i w:val="0"/>
          <w:iCs w:val="0"/>
        </w:rPr>
        <w:t xml:space="preserve">our research questions. </w:t>
      </w:r>
      <w:r w:rsidR="07DA0D2E" w:rsidRPr="7C7AF33B">
        <w:rPr>
          <w:i w:val="0"/>
          <w:iCs w:val="0"/>
        </w:rPr>
        <w:t>These included</w:t>
      </w:r>
      <w:r w:rsidR="3E59CADD" w:rsidRPr="7C7AF33B">
        <w:rPr>
          <w:i w:val="0"/>
          <w:iCs w:val="0"/>
        </w:rPr>
        <w:t xml:space="preserve"> </w:t>
      </w:r>
      <w:r w:rsidR="433A9E4F" w:rsidRPr="7C7AF33B">
        <w:rPr>
          <w:i w:val="0"/>
          <w:iCs w:val="0"/>
        </w:rPr>
        <w:t>the</w:t>
      </w:r>
      <w:r w:rsidR="3E59CADD" w:rsidRPr="7C7AF33B">
        <w:rPr>
          <w:i w:val="0"/>
          <w:iCs w:val="0"/>
        </w:rPr>
        <w:t xml:space="preserve"> measure</w:t>
      </w:r>
      <w:r w:rsidR="25F87C15" w:rsidRPr="7C7AF33B">
        <w:rPr>
          <w:i w:val="0"/>
          <w:iCs w:val="0"/>
        </w:rPr>
        <w:t xml:space="preserve">s total gross </w:t>
      </w:r>
      <w:r w:rsidR="5007CB17" w:rsidRPr="7C7AF33B">
        <w:rPr>
          <w:i w:val="0"/>
          <w:iCs w:val="0"/>
        </w:rPr>
        <w:t>square feet, just value, assessed value school and non-school district, taxable value school distric</w:t>
      </w:r>
      <w:r w:rsidR="2FC9065A" w:rsidRPr="7C7AF33B">
        <w:rPr>
          <w:i w:val="0"/>
          <w:iCs w:val="0"/>
        </w:rPr>
        <w:t>t, and land value</w:t>
      </w:r>
      <w:r w:rsidR="3E59CADD" w:rsidRPr="7C7AF33B">
        <w:rPr>
          <w:i w:val="0"/>
          <w:iCs w:val="0"/>
        </w:rPr>
        <w:t xml:space="preserve">. </w:t>
      </w:r>
      <w:r w:rsidR="371BC416" w:rsidRPr="7C7AF33B">
        <w:rPr>
          <w:i w:val="0"/>
          <w:iCs w:val="0"/>
        </w:rPr>
        <w:t xml:space="preserve">We removed these columns because they </w:t>
      </w:r>
      <w:r w:rsidR="47EA710C" w:rsidRPr="7C7AF33B">
        <w:rPr>
          <w:i w:val="0"/>
          <w:iCs w:val="0"/>
        </w:rPr>
        <w:t xml:space="preserve">would not contribute to our investigation of the </w:t>
      </w:r>
      <w:r w:rsidR="47EA710C" w:rsidRPr="7C7AF33B">
        <w:rPr>
          <w:rFonts w:ascii="Calibri" w:eastAsia="Calibri" w:hAnsi="Calibri" w:cs="Calibri"/>
          <w:i w:val="0"/>
          <w:iCs w:val="0"/>
          <w:sz w:val="19"/>
          <w:szCs w:val="19"/>
        </w:rPr>
        <w:t>taxable, non-school district value</w:t>
      </w:r>
      <w:r w:rsidR="47EA710C" w:rsidRPr="7C7AF33B">
        <w:rPr>
          <w:i w:val="0"/>
          <w:iCs w:val="0"/>
        </w:rPr>
        <w:t xml:space="preserve"> growth rates</w:t>
      </w:r>
      <w:r w:rsidR="0D2E52FD" w:rsidRPr="7C7AF33B">
        <w:rPr>
          <w:i w:val="0"/>
          <w:iCs w:val="0"/>
        </w:rPr>
        <w:t>.</w:t>
      </w:r>
      <w:r w:rsidR="7CF076F4" w:rsidRPr="7C7AF33B">
        <w:rPr>
          <w:i w:val="0"/>
          <w:iCs w:val="0"/>
        </w:rPr>
        <w:t xml:space="preserve"> We kept the </w:t>
      </w:r>
      <w:r w:rsidR="5751613D" w:rsidRPr="7C7AF33B">
        <w:rPr>
          <w:i w:val="0"/>
          <w:iCs w:val="0"/>
        </w:rPr>
        <w:t>fields</w:t>
      </w:r>
      <w:r w:rsidR="7CF076F4" w:rsidRPr="7C7AF33B">
        <w:rPr>
          <w:i w:val="0"/>
          <w:iCs w:val="0"/>
        </w:rPr>
        <w:t xml:space="preserve"> </w:t>
      </w:r>
      <w:r w:rsidR="0E2E9F18" w:rsidRPr="7C7AF33B">
        <w:rPr>
          <w:i w:val="0"/>
          <w:iCs w:val="0"/>
        </w:rPr>
        <w:t>for physical location like address, city</w:t>
      </w:r>
      <w:r w:rsidR="33E88CB5" w:rsidRPr="7C7AF33B">
        <w:rPr>
          <w:i w:val="0"/>
          <w:iCs w:val="0"/>
        </w:rPr>
        <w:t xml:space="preserve">, </w:t>
      </w:r>
      <w:r w:rsidR="7CF076F4" w:rsidRPr="7C7AF33B">
        <w:rPr>
          <w:i w:val="0"/>
          <w:iCs w:val="0"/>
        </w:rPr>
        <w:t>zip code, longitude, and latitu</w:t>
      </w:r>
      <w:r w:rsidR="03570D59" w:rsidRPr="7C7AF33B">
        <w:rPr>
          <w:i w:val="0"/>
          <w:iCs w:val="0"/>
        </w:rPr>
        <w:t xml:space="preserve">de to </w:t>
      </w:r>
      <w:r w:rsidR="78083DDC" w:rsidRPr="7C7AF33B">
        <w:rPr>
          <w:i w:val="0"/>
          <w:iCs w:val="0"/>
        </w:rPr>
        <w:t xml:space="preserve">preserve our ability to </w:t>
      </w:r>
      <w:r w:rsidR="03570D59" w:rsidRPr="7C7AF33B">
        <w:rPr>
          <w:i w:val="0"/>
          <w:iCs w:val="0"/>
        </w:rPr>
        <w:t>build a geographic visualization</w:t>
      </w:r>
      <w:r w:rsidR="69F4D807" w:rsidRPr="7C7AF33B">
        <w:rPr>
          <w:i w:val="0"/>
          <w:iCs w:val="0"/>
        </w:rPr>
        <w:t>, if necessary</w:t>
      </w:r>
      <w:r w:rsidR="2B054071" w:rsidRPr="7C7AF33B">
        <w:rPr>
          <w:i w:val="0"/>
          <w:iCs w:val="0"/>
        </w:rPr>
        <w:t xml:space="preserve">. </w:t>
      </w:r>
      <w:r w:rsidR="3214E1C8" w:rsidRPr="7C7AF33B">
        <w:rPr>
          <w:i w:val="0"/>
          <w:iCs w:val="0"/>
        </w:rPr>
        <w:t xml:space="preserve"> </w:t>
      </w:r>
      <w:r w:rsidR="4BD3382E" w:rsidRPr="7C7AF33B">
        <w:rPr>
          <w:i w:val="0"/>
          <w:iCs w:val="0"/>
        </w:rPr>
        <w:t xml:space="preserve">After this step, our data sets had </w:t>
      </w:r>
      <w:r w:rsidR="400E6FAA" w:rsidRPr="7C7AF33B">
        <w:rPr>
          <w:i w:val="0"/>
          <w:iCs w:val="0"/>
        </w:rPr>
        <w:t xml:space="preserve">thirteen columns: pin, </w:t>
      </w:r>
      <w:r w:rsidR="7C731846" w:rsidRPr="7C7AF33B">
        <w:rPr>
          <w:i w:val="0"/>
          <w:iCs w:val="0"/>
        </w:rPr>
        <w:t>assessment</w:t>
      </w:r>
      <w:r w:rsidR="400E6FAA" w:rsidRPr="7C7AF33B">
        <w:rPr>
          <w:i w:val="0"/>
          <w:iCs w:val="0"/>
        </w:rPr>
        <w:t xml:space="preserve"> year, property use, homestead, </w:t>
      </w:r>
      <w:r w:rsidR="68075527" w:rsidRPr="7C7AF33B">
        <w:rPr>
          <w:i w:val="0"/>
          <w:iCs w:val="0"/>
        </w:rPr>
        <w:t xml:space="preserve">land square footage, acres, neighborhood, taxable value non-school district, </w:t>
      </w:r>
      <w:r w:rsidR="6B48ED44" w:rsidRPr="7C7AF33B">
        <w:rPr>
          <w:i w:val="0"/>
          <w:iCs w:val="0"/>
        </w:rPr>
        <w:t>physical address, city, zip code, latitude, and longitude.</w:t>
      </w:r>
    </w:p>
    <w:p w14:paraId="35C1BA60" w14:textId="4BF68E71" w:rsidR="00712B26" w:rsidRPr="00712B26" w:rsidRDefault="5FF34A54" w:rsidP="00F730B0">
      <w:pPr>
        <w:jc w:val="both"/>
        <w:rPr>
          <w:i w:val="0"/>
          <w:iCs w:val="0"/>
        </w:rPr>
      </w:pPr>
      <w:r w:rsidRPr="7C7AF33B">
        <w:rPr>
          <w:i w:val="0"/>
          <w:iCs w:val="0"/>
        </w:rPr>
        <w:t>Next, we observed the row values</w:t>
      </w:r>
      <w:r w:rsidR="2D1A5E05" w:rsidRPr="7C7AF33B">
        <w:rPr>
          <w:i w:val="0"/>
          <w:iCs w:val="0"/>
        </w:rPr>
        <w:t xml:space="preserve"> of each field in </w:t>
      </w:r>
      <w:r w:rsidR="0F7CCB84" w:rsidRPr="7C7AF33B">
        <w:rPr>
          <w:i w:val="0"/>
          <w:iCs w:val="0"/>
        </w:rPr>
        <w:t>R for inconsistencies and outlier values. We found that some of the neighborhoods in the 2022 data set had been renamed from the 2015 data set</w:t>
      </w:r>
      <w:r w:rsidR="09B69B01" w:rsidRPr="7C7AF33B">
        <w:rPr>
          <w:i w:val="0"/>
          <w:iCs w:val="0"/>
        </w:rPr>
        <w:t xml:space="preserve"> to include the qualifier “NBRHD ASSN</w:t>
      </w:r>
      <w:r w:rsidR="03D436BF" w:rsidRPr="7C7AF33B">
        <w:rPr>
          <w:i w:val="0"/>
          <w:iCs w:val="0"/>
        </w:rPr>
        <w:t>.</w:t>
      </w:r>
      <w:r w:rsidR="09B69B01" w:rsidRPr="7C7AF33B">
        <w:rPr>
          <w:i w:val="0"/>
          <w:iCs w:val="0"/>
        </w:rPr>
        <w:t>”</w:t>
      </w:r>
      <w:r w:rsidR="4799011B" w:rsidRPr="7C7AF33B">
        <w:rPr>
          <w:i w:val="0"/>
          <w:iCs w:val="0"/>
        </w:rPr>
        <w:t xml:space="preserve"> For example, a home in the 2015 data set might be in the Twin Brooks </w:t>
      </w:r>
      <w:r w:rsidR="7217A080" w:rsidRPr="7C7AF33B">
        <w:rPr>
          <w:i w:val="0"/>
          <w:iCs w:val="0"/>
        </w:rPr>
        <w:t>neighborhood, but the same house in the 2022 data set would be in the Twin Brooks NBRHD ASSN neighborhood. So, we us</w:t>
      </w:r>
      <w:r w:rsidR="19997D89" w:rsidRPr="7C7AF33B">
        <w:rPr>
          <w:i w:val="0"/>
          <w:iCs w:val="0"/>
        </w:rPr>
        <w:t xml:space="preserve">ed R to find the neighborhoods with the “NBRHD ASSN” suffix and remove </w:t>
      </w:r>
      <w:r w:rsidR="759D9196" w:rsidRPr="7C7AF33B">
        <w:rPr>
          <w:i w:val="0"/>
          <w:iCs w:val="0"/>
        </w:rPr>
        <w:t>the additional term</w:t>
      </w:r>
      <w:r w:rsidR="19997D89" w:rsidRPr="7C7AF33B">
        <w:rPr>
          <w:i w:val="0"/>
          <w:iCs w:val="0"/>
        </w:rPr>
        <w:t xml:space="preserve"> </w:t>
      </w:r>
      <w:r w:rsidR="24F42B18" w:rsidRPr="7C7AF33B">
        <w:rPr>
          <w:i w:val="0"/>
          <w:iCs w:val="0"/>
        </w:rPr>
        <w:t xml:space="preserve">so that </w:t>
      </w:r>
      <w:r w:rsidR="19997D89" w:rsidRPr="7C7AF33B">
        <w:rPr>
          <w:i w:val="0"/>
          <w:iCs w:val="0"/>
        </w:rPr>
        <w:t>the two data sets would have matching descript</w:t>
      </w:r>
      <w:r w:rsidR="5E909F13" w:rsidRPr="7C7AF33B">
        <w:rPr>
          <w:i w:val="0"/>
          <w:iCs w:val="0"/>
        </w:rPr>
        <w:t xml:space="preserve">ors. </w:t>
      </w:r>
      <w:r w:rsidR="48A70989" w:rsidRPr="7C7AF33B">
        <w:rPr>
          <w:i w:val="0"/>
          <w:iCs w:val="0"/>
        </w:rPr>
        <w:t>Last</w:t>
      </w:r>
      <w:r w:rsidR="5E909F13" w:rsidRPr="7C7AF33B">
        <w:rPr>
          <w:i w:val="0"/>
          <w:iCs w:val="0"/>
        </w:rPr>
        <w:t>ly, we discovered that some rows ha</w:t>
      </w:r>
      <w:r w:rsidR="11E17459" w:rsidRPr="7C7AF33B">
        <w:rPr>
          <w:i w:val="0"/>
          <w:iCs w:val="0"/>
        </w:rPr>
        <w:t>d</w:t>
      </w:r>
      <w:r w:rsidR="5E909F13" w:rsidRPr="7C7AF33B">
        <w:rPr>
          <w:i w:val="0"/>
          <w:iCs w:val="0"/>
        </w:rPr>
        <w:t xml:space="preserve"> an assessment year of 0 rather than 2015 or 2022. The homes </w:t>
      </w:r>
      <w:r w:rsidR="5EA6088B" w:rsidRPr="7C7AF33B">
        <w:rPr>
          <w:i w:val="0"/>
          <w:iCs w:val="0"/>
        </w:rPr>
        <w:t xml:space="preserve">in these rows were also missing </w:t>
      </w:r>
      <w:r w:rsidR="6D7AC91D" w:rsidRPr="7C7AF33B">
        <w:rPr>
          <w:i w:val="0"/>
          <w:iCs w:val="0"/>
        </w:rPr>
        <w:t>critical information like taxable value, their zip code,</w:t>
      </w:r>
      <w:r w:rsidR="220FE782" w:rsidRPr="7C7AF33B">
        <w:rPr>
          <w:i w:val="0"/>
          <w:iCs w:val="0"/>
        </w:rPr>
        <w:t xml:space="preserve"> as well as the geographic identifiers latitude and longitude. Consequently, we removed these rows from the data set. </w:t>
      </w:r>
      <w:r w:rsidR="3F1545C0" w:rsidRPr="7C7AF33B">
        <w:rPr>
          <w:i w:val="0"/>
          <w:iCs w:val="0"/>
        </w:rPr>
        <w:t>Once these steps were complete, our data sets were clean and connected to Tableau for creating meaningful visualiz</w:t>
      </w:r>
      <w:r w:rsidR="4760F81E" w:rsidRPr="7C7AF33B">
        <w:rPr>
          <w:i w:val="0"/>
          <w:iCs w:val="0"/>
        </w:rPr>
        <w:t xml:space="preserve">ations. </w:t>
      </w:r>
    </w:p>
    <w:p w14:paraId="742E6B9A" w14:textId="3B273CB9" w:rsidR="005B7277" w:rsidRPr="00134744" w:rsidRDefault="001D663F" w:rsidP="00F730B0">
      <w:pPr>
        <w:pStyle w:val="Heading1"/>
        <w:jc w:val="both"/>
      </w:pPr>
      <w:r>
        <w:t>Results</w:t>
      </w:r>
    </w:p>
    <w:p w14:paraId="42A829F6" w14:textId="275E4E39" w:rsidR="347DC946" w:rsidRDefault="347DC946" w:rsidP="00F730B0">
      <w:pPr>
        <w:jc w:val="both"/>
        <w:rPr>
          <w:i w:val="0"/>
          <w:iCs w:val="0"/>
        </w:rPr>
      </w:pPr>
      <w:r w:rsidRPr="7C7AF33B">
        <w:rPr>
          <w:i w:val="0"/>
          <w:iCs w:val="0"/>
        </w:rPr>
        <w:t>A</w:t>
      </w:r>
      <w:r w:rsidR="52D1D787" w:rsidRPr="7C7AF33B">
        <w:rPr>
          <w:i w:val="0"/>
          <w:iCs w:val="0"/>
        </w:rPr>
        <w:t xml:space="preserve">nalysis of </w:t>
      </w:r>
      <w:r w:rsidRPr="7C7AF33B">
        <w:rPr>
          <w:i w:val="0"/>
          <w:iCs w:val="0"/>
        </w:rPr>
        <w:t>the growth rates of each</w:t>
      </w:r>
      <w:r w:rsidR="69AD0A92" w:rsidRPr="7C7AF33B">
        <w:rPr>
          <w:i w:val="0"/>
          <w:iCs w:val="0"/>
        </w:rPr>
        <w:t xml:space="preserve"> </w:t>
      </w:r>
      <w:r w:rsidRPr="7C7AF33B">
        <w:rPr>
          <w:i w:val="0"/>
          <w:iCs w:val="0"/>
        </w:rPr>
        <w:t>neighborhood from 2015 to 2022 using the mean and median values</w:t>
      </w:r>
      <w:r w:rsidR="61AAF2D1" w:rsidRPr="7C7AF33B">
        <w:rPr>
          <w:i w:val="0"/>
          <w:iCs w:val="0"/>
        </w:rPr>
        <w:t>:</w:t>
      </w:r>
    </w:p>
    <w:p w14:paraId="4B8DEA23" w14:textId="5EBAB6C6" w:rsidR="5D84581D" w:rsidRDefault="03BD6836" w:rsidP="00F730B0">
      <w:pPr>
        <w:pStyle w:val="ListParagraph"/>
        <w:numPr>
          <w:ilvl w:val="0"/>
          <w:numId w:val="12"/>
        </w:numPr>
        <w:jc w:val="both"/>
        <w:rPr>
          <w:i w:val="0"/>
          <w:iCs w:val="0"/>
        </w:rPr>
      </w:pPr>
      <w:r w:rsidRPr="01015ED6">
        <w:rPr>
          <w:b/>
          <w:bCs/>
          <w:i w:val="0"/>
          <w:iCs w:val="0"/>
        </w:rPr>
        <w:lastRenderedPageBreak/>
        <w:t xml:space="preserve">For all </w:t>
      </w:r>
      <w:bookmarkStart w:id="0" w:name="_Int_WLUDUqtw"/>
      <w:proofErr w:type="gramStart"/>
      <w:r w:rsidRPr="01015ED6">
        <w:rPr>
          <w:b/>
          <w:bCs/>
          <w:i w:val="0"/>
          <w:iCs w:val="0"/>
        </w:rPr>
        <w:t>properties</w:t>
      </w:r>
      <w:r w:rsidR="58921175" w:rsidRPr="01015ED6">
        <w:rPr>
          <w:b/>
          <w:bCs/>
          <w:i w:val="0"/>
          <w:iCs w:val="0"/>
        </w:rPr>
        <w:t xml:space="preserve"> </w:t>
      </w:r>
      <w:r w:rsidR="41704DA6" w:rsidRPr="01015ED6">
        <w:rPr>
          <w:b/>
          <w:bCs/>
          <w:i w:val="0"/>
          <w:iCs w:val="0"/>
        </w:rPr>
        <w:t>:</w:t>
      </w:r>
      <w:proofErr w:type="gramEnd"/>
      <w:r w:rsidR="5D84581D">
        <w:tab/>
      </w:r>
      <w:bookmarkEnd w:id="0"/>
      <w:r w:rsidR="5D84581D">
        <w:tab/>
      </w:r>
      <w:r w:rsidR="0CC7D3AF">
        <w:rPr>
          <w:noProof/>
        </w:rPr>
        <w:drawing>
          <wp:inline distT="0" distB="0" distL="0" distR="0" wp14:anchorId="21328C8B" wp14:editId="23788A2C">
            <wp:extent cx="4144392" cy="2052271"/>
            <wp:effectExtent l="0" t="0" r="0" b="0"/>
            <wp:docPr id="73136739" name="Picture 7313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4392" cy="2052271"/>
                    </a:xfrm>
                    <a:prstGeom prst="rect">
                      <a:avLst/>
                    </a:prstGeom>
                  </pic:spPr>
                </pic:pic>
              </a:graphicData>
            </a:graphic>
          </wp:inline>
        </w:drawing>
      </w:r>
    </w:p>
    <w:p w14:paraId="3AB596A0" w14:textId="6967E02E" w:rsidR="6BC634DA" w:rsidRDefault="00F730B0" w:rsidP="00F730B0">
      <w:pPr>
        <w:jc w:val="both"/>
        <w:rPr>
          <w:i w:val="0"/>
          <w:iCs w:val="0"/>
        </w:rPr>
      </w:pPr>
      <w:r>
        <w:rPr>
          <w:i w:val="0"/>
          <w:iCs w:val="0"/>
        </w:rPr>
        <w:t xml:space="preserve">                          </w:t>
      </w:r>
      <w:r w:rsidR="6BC634DA" w:rsidRPr="01015ED6">
        <w:rPr>
          <w:i w:val="0"/>
          <w:iCs w:val="0"/>
        </w:rPr>
        <w:t>Median:</w:t>
      </w:r>
    </w:p>
    <w:p w14:paraId="361D02CB" w14:textId="53E84BCE" w:rsidR="2517546C" w:rsidRDefault="2517546C" w:rsidP="00F730B0">
      <w:pPr>
        <w:jc w:val="center"/>
      </w:pPr>
      <w:r>
        <w:rPr>
          <w:noProof/>
        </w:rPr>
        <w:drawing>
          <wp:inline distT="0" distB="0" distL="0" distR="0" wp14:anchorId="4C203029" wp14:editId="3B902216">
            <wp:extent cx="4457700" cy="2600325"/>
            <wp:effectExtent l="0" t="0" r="0" b="0"/>
            <wp:docPr id="1579987956" name="Picture 157998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7700" cy="2600325"/>
                    </a:xfrm>
                    <a:prstGeom prst="rect">
                      <a:avLst/>
                    </a:prstGeom>
                  </pic:spPr>
                </pic:pic>
              </a:graphicData>
            </a:graphic>
          </wp:inline>
        </w:drawing>
      </w:r>
    </w:p>
    <w:p w14:paraId="6EC655A6" w14:textId="4A036BD7" w:rsidR="7CB38477" w:rsidRDefault="7CB38477" w:rsidP="00F730B0">
      <w:pPr>
        <w:pStyle w:val="ListParagraph"/>
        <w:numPr>
          <w:ilvl w:val="0"/>
          <w:numId w:val="11"/>
        </w:numPr>
        <w:jc w:val="both"/>
        <w:rPr>
          <w:i w:val="0"/>
          <w:iCs w:val="0"/>
        </w:rPr>
      </w:pPr>
      <w:r w:rsidRPr="7C7AF33B">
        <w:rPr>
          <w:i w:val="0"/>
          <w:iCs w:val="0"/>
        </w:rPr>
        <w:t xml:space="preserve">Highest Growth: The Thirteenth Street Heights neighborhood exhibits the most remarkable growth at </w:t>
      </w:r>
      <w:r w:rsidRPr="7C7AF33B">
        <w:rPr>
          <w:b/>
          <w:bCs/>
          <w:i w:val="0"/>
          <w:iCs w:val="0"/>
        </w:rPr>
        <w:t>305.0%</w:t>
      </w:r>
      <w:r w:rsidRPr="7C7AF33B">
        <w:rPr>
          <w:i w:val="0"/>
          <w:iCs w:val="0"/>
        </w:rPr>
        <w:t xml:space="preserve">. This exceptional rise suggests potential revitalization efforts or significant development projects in the area. </w:t>
      </w:r>
    </w:p>
    <w:p w14:paraId="770D8BE1" w14:textId="5795FECF" w:rsidR="7CB38477" w:rsidRDefault="7CB38477" w:rsidP="00F730B0">
      <w:pPr>
        <w:pStyle w:val="ListParagraph"/>
        <w:numPr>
          <w:ilvl w:val="0"/>
          <w:numId w:val="10"/>
        </w:numPr>
        <w:jc w:val="both"/>
        <w:rPr>
          <w:i w:val="0"/>
          <w:iCs w:val="0"/>
        </w:rPr>
      </w:pPr>
      <w:r w:rsidRPr="7C7AF33B">
        <w:rPr>
          <w:i w:val="0"/>
          <w:iCs w:val="0"/>
        </w:rPr>
        <w:t xml:space="preserve">Lowest Growth: The No Association: 26th - 30th Ave S. neighborhood demonstrates the lowest growth rate at </w:t>
      </w:r>
      <w:r w:rsidRPr="7C7AF33B">
        <w:rPr>
          <w:b/>
          <w:bCs/>
          <w:i w:val="0"/>
          <w:iCs w:val="0"/>
        </w:rPr>
        <w:t>59.0%</w:t>
      </w:r>
      <w:r w:rsidRPr="7C7AF33B">
        <w:rPr>
          <w:i w:val="0"/>
          <w:iCs w:val="0"/>
        </w:rPr>
        <w:t xml:space="preserve">. This could be due to </w:t>
      </w:r>
      <w:r w:rsidR="04E69EB1" w:rsidRPr="7C7AF33B">
        <w:rPr>
          <w:i w:val="0"/>
          <w:iCs w:val="0"/>
        </w:rPr>
        <w:t>numerous factors</w:t>
      </w:r>
      <w:r w:rsidRPr="7C7AF33B">
        <w:rPr>
          <w:i w:val="0"/>
          <w:iCs w:val="0"/>
        </w:rPr>
        <w:t>, such as an already established housing market with higher baseline values in 2015.</w:t>
      </w:r>
    </w:p>
    <w:p w14:paraId="35C6F522" w14:textId="6D9D763C" w:rsidR="4EBFE118" w:rsidRDefault="657CF6E1" w:rsidP="00F730B0">
      <w:pPr>
        <w:pStyle w:val="ListParagraph"/>
        <w:numPr>
          <w:ilvl w:val="0"/>
          <w:numId w:val="10"/>
        </w:numPr>
        <w:jc w:val="both"/>
        <w:rPr>
          <w:i w:val="0"/>
          <w:iCs w:val="0"/>
        </w:rPr>
      </w:pPr>
      <w:r w:rsidRPr="01015ED6">
        <w:rPr>
          <w:i w:val="0"/>
          <w:iCs w:val="0"/>
        </w:rPr>
        <w:t xml:space="preserve">Average Growth: The average growth rate across all 25 neighborhoods is </w:t>
      </w:r>
      <w:r w:rsidRPr="01015ED6">
        <w:rPr>
          <w:b/>
          <w:bCs/>
          <w:i w:val="0"/>
          <w:iCs w:val="0"/>
        </w:rPr>
        <w:t>18</w:t>
      </w:r>
      <w:r w:rsidR="2260B383" w:rsidRPr="01015ED6">
        <w:rPr>
          <w:b/>
          <w:bCs/>
          <w:i w:val="0"/>
          <w:iCs w:val="0"/>
        </w:rPr>
        <w:t>3</w:t>
      </w:r>
      <w:r w:rsidRPr="01015ED6">
        <w:rPr>
          <w:b/>
          <w:bCs/>
          <w:i w:val="0"/>
          <w:iCs w:val="0"/>
        </w:rPr>
        <w:t>.</w:t>
      </w:r>
      <w:r w:rsidR="580F7A88" w:rsidRPr="01015ED6">
        <w:rPr>
          <w:b/>
          <w:bCs/>
          <w:i w:val="0"/>
          <w:iCs w:val="0"/>
        </w:rPr>
        <w:t>8</w:t>
      </w:r>
      <w:r w:rsidRPr="01015ED6">
        <w:rPr>
          <w:b/>
          <w:bCs/>
          <w:i w:val="0"/>
          <w:iCs w:val="0"/>
        </w:rPr>
        <w:t>%.</w:t>
      </w:r>
      <w:r w:rsidRPr="01015ED6">
        <w:rPr>
          <w:i w:val="0"/>
          <w:iCs w:val="0"/>
        </w:rPr>
        <w:t xml:space="preserve"> This indicates a substantial increase in average taxable property values within the South St. Petersburg CRA during this period.</w:t>
      </w:r>
    </w:p>
    <w:p w14:paraId="4DCAE9DE" w14:textId="015778C3" w:rsidR="3D529148" w:rsidRDefault="3D529148" w:rsidP="00F730B0">
      <w:pPr>
        <w:pStyle w:val="ListParagraph"/>
        <w:numPr>
          <w:ilvl w:val="0"/>
          <w:numId w:val="10"/>
        </w:numPr>
        <w:jc w:val="both"/>
        <w:rPr>
          <w:i w:val="0"/>
          <w:iCs w:val="0"/>
        </w:rPr>
      </w:pPr>
      <w:r w:rsidRPr="01015ED6">
        <w:rPr>
          <w:i w:val="0"/>
          <w:iCs w:val="0"/>
        </w:rPr>
        <w:t>Median: Based on the quartile values (median is closer to upper quartile), the distribution of taxable value growth rates exhibits a mild left skew. This suggests that a larger portion of neighborhoods might have experienced lower growth rates compared to a smaller portion with very high growth rates.</w:t>
      </w:r>
    </w:p>
    <w:p w14:paraId="77A0334F" w14:textId="2581DE54" w:rsidR="01015ED6" w:rsidRDefault="01015ED6" w:rsidP="00F730B0">
      <w:pPr>
        <w:jc w:val="both"/>
        <w:rPr>
          <w:i w:val="0"/>
          <w:iCs w:val="0"/>
        </w:rPr>
      </w:pPr>
    </w:p>
    <w:p w14:paraId="3DA71CBF" w14:textId="77777777" w:rsidR="00F730B0" w:rsidRDefault="03BD6836" w:rsidP="00F730B0">
      <w:pPr>
        <w:pStyle w:val="ListParagraph"/>
        <w:numPr>
          <w:ilvl w:val="0"/>
          <w:numId w:val="12"/>
        </w:numPr>
        <w:rPr>
          <w:b/>
          <w:bCs/>
          <w:i w:val="0"/>
          <w:iCs w:val="0"/>
        </w:rPr>
      </w:pPr>
      <w:r w:rsidRPr="01015ED6">
        <w:rPr>
          <w:b/>
          <w:bCs/>
          <w:i w:val="0"/>
          <w:iCs w:val="0"/>
        </w:rPr>
        <w:lastRenderedPageBreak/>
        <w:t>For all strictly residential properties</w:t>
      </w:r>
      <w:r w:rsidR="545ECA61" w:rsidRPr="01015ED6">
        <w:rPr>
          <w:b/>
          <w:bCs/>
          <w:i w:val="0"/>
          <w:iCs w:val="0"/>
        </w:rPr>
        <w:t>:</w:t>
      </w:r>
    </w:p>
    <w:p w14:paraId="1ADF8C2C" w14:textId="1EE8E2DA" w:rsidR="5D84581D" w:rsidRDefault="78B95798" w:rsidP="00F730B0">
      <w:pPr>
        <w:pStyle w:val="ListParagraph"/>
        <w:jc w:val="center"/>
        <w:rPr>
          <w:b/>
          <w:bCs/>
          <w:i w:val="0"/>
          <w:iCs w:val="0"/>
        </w:rPr>
      </w:pPr>
      <w:r>
        <w:rPr>
          <w:noProof/>
        </w:rPr>
        <w:drawing>
          <wp:inline distT="0" distB="0" distL="0" distR="0" wp14:anchorId="021EA88B" wp14:editId="2933E00E">
            <wp:extent cx="4742688" cy="2522220"/>
            <wp:effectExtent l="0" t="0" r="0" b="5080"/>
            <wp:docPr id="40088193" name="Picture 4008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4399" cy="2523130"/>
                    </a:xfrm>
                    <a:prstGeom prst="rect">
                      <a:avLst/>
                    </a:prstGeom>
                  </pic:spPr>
                </pic:pic>
              </a:graphicData>
            </a:graphic>
          </wp:inline>
        </w:drawing>
      </w:r>
    </w:p>
    <w:p w14:paraId="703F7959" w14:textId="6C0370F1" w:rsidR="59BCA00D" w:rsidRDefault="59BCA00D" w:rsidP="00F730B0">
      <w:pPr>
        <w:pStyle w:val="ListParagraph"/>
        <w:numPr>
          <w:ilvl w:val="0"/>
          <w:numId w:val="9"/>
        </w:numPr>
        <w:jc w:val="both"/>
        <w:rPr>
          <w:i w:val="0"/>
          <w:iCs w:val="0"/>
        </w:rPr>
      </w:pPr>
      <w:r w:rsidRPr="7C7AF33B">
        <w:rPr>
          <w:i w:val="0"/>
          <w:iCs w:val="0"/>
        </w:rPr>
        <w:t xml:space="preserve">Highest Growth Rate: Campbell Park has the highest growth rate at </w:t>
      </w:r>
      <w:r w:rsidRPr="7C7AF33B">
        <w:rPr>
          <w:b/>
          <w:bCs/>
          <w:i w:val="0"/>
          <w:iCs w:val="0"/>
        </w:rPr>
        <w:t>942.4%</w:t>
      </w:r>
      <w:r w:rsidRPr="7C7AF33B">
        <w:rPr>
          <w:i w:val="0"/>
          <w:iCs w:val="0"/>
        </w:rPr>
        <w:t>. This indicates a substantial increase in the average taxable value of residential properties in this neighborhood over the past seven years. The average value has more than tripled!</w:t>
      </w:r>
    </w:p>
    <w:p w14:paraId="2F5DE122" w14:textId="004E27B1" w:rsidR="59BCA00D" w:rsidRDefault="59BCA00D" w:rsidP="00F730B0">
      <w:pPr>
        <w:pStyle w:val="ListParagraph"/>
        <w:numPr>
          <w:ilvl w:val="0"/>
          <w:numId w:val="9"/>
        </w:numPr>
        <w:jc w:val="both"/>
        <w:rPr>
          <w:i w:val="0"/>
          <w:iCs w:val="0"/>
        </w:rPr>
      </w:pPr>
      <w:r w:rsidRPr="7C7AF33B">
        <w:rPr>
          <w:i w:val="0"/>
          <w:iCs w:val="0"/>
        </w:rPr>
        <w:t xml:space="preserve">Lowest Growth Rate: The No Association: 22nd St S to 1275 neighborhood has the lowest growth rate at </w:t>
      </w:r>
      <w:r w:rsidRPr="7C7AF33B">
        <w:rPr>
          <w:b/>
          <w:bCs/>
          <w:i w:val="0"/>
          <w:iCs w:val="0"/>
        </w:rPr>
        <w:t>54.0%</w:t>
      </w:r>
      <w:r w:rsidRPr="7C7AF33B">
        <w:rPr>
          <w:i w:val="0"/>
          <w:iCs w:val="0"/>
        </w:rPr>
        <w:t>. Here, the average taxable value of residential properties has increased by just over half during the same period.</w:t>
      </w:r>
    </w:p>
    <w:p w14:paraId="2AE60212" w14:textId="11BF4937" w:rsidR="59BCA00D" w:rsidRDefault="59B93D08" w:rsidP="00F730B0">
      <w:pPr>
        <w:pStyle w:val="ListParagraph"/>
        <w:numPr>
          <w:ilvl w:val="0"/>
          <w:numId w:val="9"/>
        </w:numPr>
        <w:jc w:val="both"/>
        <w:rPr>
          <w:i w:val="0"/>
          <w:iCs w:val="0"/>
        </w:rPr>
      </w:pPr>
      <w:r w:rsidRPr="01015ED6">
        <w:rPr>
          <w:i w:val="0"/>
          <w:iCs w:val="0"/>
        </w:rPr>
        <w:t xml:space="preserve"> Average Growth Rate: The average growth rate across all analyzed neighborhoods for strictly residential properties is </w:t>
      </w:r>
      <w:r w:rsidRPr="01015ED6">
        <w:rPr>
          <w:b/>
          <w:bCs/>
          <w:i w:val="0"/>
          <w:iCs w:val="0"/>
        </w:rPr>
        <w:t>2</w:t>
      </w:r>
      <w:r w:rsidR="77D9E00B" w:rsidRPr="01015ED6">
        <w:rPr>
          <w:b/>
          <w:bCs/>
          <w:i w:val="0"/>
          <w:iCs w:val="0"/>
        </w:rPr>
        <w:t>73</w:t>
      </w:r>
      <w:r w:rsidRPr="01015ED6">
        <w:rPr>
          <w:b/>
          <w:bCs/>
          <w:i w:val="0"/>
          <w:iCs w:val="0"/>
        </w:rPr>
        <w:t>.</w:t>
      </w:r>
      <w:r w:rsidR="62C15D82" w:rsidRPr="01015ED6">
        <w:rPr>
          <w:b/>
          <w:bCs/>
          <w:i w:val="0"/>
          <w:iCs w:val="0"/>
        </w:rPr>
        <w:t>2</w:t>
      </w:r>
      <w:r w:rsidRPr="01015ED6">
        <w:rPr>
          <w:b/>
          <w:bCs/>
          <w:i w:val="0"/>
          <w:iCs w:val="0"/>
        </w:rPr>
        <w:t>%.</w:t>
      </w:r>
      <w:r w:rsidRPr="01015ED6">
        <w:rPr>
          <w:i w:val="0"/>
          <w:iCs w:val="0"/>
        </w:rPr>
        <w:t xml:space="preserve"> This suggests a significant overall increase in residential property values within the South St. Petersburg </w:t>
      </w:r>
      <w:r w:rsidR="1298A7F7" w:rsidRPr="01015ED6">
        <w:rPr>
          <w:i w:val="0"/>
          <w:iCs w:val="0"/>
        </w:rPr>
        <w:t>CRA.</w:t>
      </w:r>
      <w:r w:rsidR="59BCA00D">
        <w:tab/>
      </w:r>
    </w:p>
    <w:p w14:paraId="258EA7A0" w14:textId="7402B26B" w:rsidR="5D84581D" w:rsidRDefault="03BD6836" w:rsidP="00F730B0">
      <w:pPr>
        <w:pStyle w:val="ListParagraph"/>
        <w:numPr>
          <w:ilvl w:val="0"/>
          <w:numId w:val="12"/>
        </w:numPr>
        <w:jc w:val="both"/>
        <w:rPr>
          <w:b/>
          <w:bCs/>
          <w:i w:val="0"/>
          <w:iCs w:val="0"/>
        </w:rPr>
      </w:pPr>
      <w:r w:rsidRPr="01015ED6">
        <w:rPr>
          <w:b/>
          <w:bCs/>
          <w:i w:val="0"/>
          <w:iCs w:val="0"/>
        </w:rPr>
        <w:t>For all single-family residential properties</w:t>
      </w:r>
      <w:r w:rsidR="106569B2" w:rsidRPr="01015ED6">
        <w:rPr>
          <w:b/>
          <w:bCs/>
          <w:i w:val="0"/>
          <w:iCs w:val="0"/>
        </w:rPr>
        <w:t>:</w:t>
      </w:r>
    </w:p>
    <w:p w14:paraId="29C6201C" w14:textId="5104C627" w:rsidR="052956E2" w:rsidRDefault="052956E2" w:rsidP="00F730B0">
      <w:pPr>
        <w:jc w:val="center"/>
        <w:rPr>
          <w:i w:val="0"/>
          <w:iCs w:val="0"/>
        </w:rPr>
      </w:pPr>
      <w:r>
        <w:rPr>
          <w:noProof/>
        </w:rPr>
        <w:drawing>
          <wp:inline distT="0" distB="0" distL="0" distR="0" wp14:anchorId="5C847108" wp14:editId="0EA436DA">
            <wp:extent cx="4724019" cy="2460426"/>
            <wp:effectExtent l="0" t="0" r="0" b="0"/>
            <wp:docPr id="1860606046" name="Picture 186060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4019" cy="2460426"/>
                    </a:xfrm>
                    <a:prstGeom prst="rect">
                      <a:avLst/>
                    </a:prstGeom>
                  </pic:spPr>
                </pic:pic>
              </a:graphicData>
            </a:graphic>
          </wp:inline>
        </w:drawing>
      </w:r>
    </w:p>
    <w:p w14:paraId="012CA242" w14:textId="629A6D87" w:rsidR="2D62B74C" w:rsidRDefault="2D62B74C" w:rsidP="00F730B0">
      <w:pPr>
        <w:pStyle w:val="ListParagraph"/>
        <w:numPr>
          <w:ilvl w:val="0"/>
          <w:numId w:val="8"/>
        </w:numPr>
        <w:jc w:val="both"/>
        <w:rPr>
          <w:i w:val="0"/>
          <w:iCs w:val="0"/>
        </w:rPr>
      </w:pPr>
      <w:r w:rsidRPr="7C7AF33B">
        <w:rPr>
          <w:i w:val="0"/>
          <w:iCs w:val="0"/>
        </w:rPr>
        <w:t xml:space="preserve">Highest Growth Rate: PALMETTO PARK boasts the highest growth rate at </w:t>
      </w:r>
      <w:r w:rsidRPr="7C7AF33B">
        <w:rPr>
          <w:b/>
          <w:bCs/>
          <w:i w:val="0"/>
          <w:iCs w:val="0"/>
        </w:rPr>
        <w:t>537.0%</w:t>
      </w:r>
      <w:r w:rsidRPr="7C7AF33B">
        <w:rPr>
          <w:i w:val="0"/>
          <w:iCs w:val="0"/>
        </w:rPr>
        <w:t xml:space="preserve">. This signifies a </w:t>
      </w:r>
      <w:r w:rsidR="00F730B0">
        <w:rPr>
          <w:i w:val="0"/>
          <w:iCs w:val="0"/>
        </w:rPr>
        <w:t>r</w:t>
      </w:r>
      <w:r w:rsidRPr="7C7AF33B">
        <w:rPr>
          <w:i w:val="0"/>
          <w:iCs w:val="0"/>
        </w:rPr>
        <w:t xml:space="preserve">emarkable increase in the average taxable value of single-family homes in this neighborhood over the past seven years. The average value has more than quintupled! </w:t>
      </w:r>
    </w:p>
    <w:p w14:paraId="757C9D2C" w14:textId="6248F761" w:rsidR="2D62B74C" w:rsidRDefault="2D62B74C" w:rsidP="00F730B0">
      <w:pPr>
        <w:pStyle w:val="ListParagraph"/>
        <w:numPr>
          <w:ilvl w:val="0"/>
          <w:numId w:val="8"/>
        </w:numPr>
        <w:jc w:val="both"/>
        <w:rPr>
          <w:i w:val="0"/>
          <w:iCs w:val="0"/>
        </w:rPr>
      </w:pPr>
      <w:r w:rsidRPr="7C7AF33B">
        <w:rPr>
          <w:i w:val="0"/>
          <w:iCs w:val="0"/>
        </w:rPr>
        <w:lastRenderedPageBreak/>
        <w:t xml:space="preserve">Lowest Growth Rate: No Association: 22nd St S to 1275 remains the neighborhood with the lowest growth rate at </w:t>
      </w:r>
      <w:r w:rsidRPr="7C7AF33B">
        <w:rPr>
          <w:b/>
          <w:bCs/>
          <w:i w:val="0"/>
          <w:iCs w:val="0"/>
        </w:rPr>
        <w:t>54.0%</w:t>
      </w:r>
      <w:r w:rsidRPr="7C7AF33B">
        <w:rPr>
          <w:i w:val="0"/>
          <w:iCs w:val="0"/>
        </w:rPr>
        <w:t xml:space="preserve">. The average taxable value of single-family homes here has only grown by slightly more than half during the same period. </w:t>
      </w:r>
    </w:p>
    <w:p w14:paraId="1D459E8E" w14:textId="7F909D7B" w:rsidR="2D62B74C" w:rsidRDefault="2D62B74C" w:rsidP="00F730B0">
      <w:pPr>
        <w:pStyle w:val="ListParagraph"/>
        <w:numPr>
          <w:ilvl w:val="0"/>
          <w:numId w:val="8"/>
        </w:numPr>
        <w:jc w:val="both"/>
        <w:rPr>
          <w:i w:val="0"/>
          <w:iCs w:val="0"/>
        </w:rPr>
      </w:pPr>
      <w:r w:rsidRPr="7C7AF33B">
        <w:rPr>
          <w:i w:val="0"/>
          <w:iCs w:val="0"/>
        </w:rPr>
        <w:t xml:space="preserve">Average Growth Rate: The average growth rate across all analyzed neighborhoods for single-family residential properties is </w:t>
      </w:r>
      <w:r w:rsidRPr="7C7AF33B">
        <w:rPr>
          <w:b/>
          <w:bCs/>
          <w:i w:val="0"/>
          <w:iCs w:val="0"/>
        </w:rPr>
        <w:t>2</w:t>
      </w:r>
      <w:r w:rsidR="79648E5D" w:rsidRPr="7C7AF33B">
        <w:rPr>
          <w:b/>
          <w:bCs/>
          <w:i w:val="0"/>
          <w:iCs w:val="0"/>
        </w:rPr>
        <w:t>39</w:t>
      </w:r>
      <w:r w:rsidRPr="7C7AF33B">
        <w:rPr>
          <w:b/>
          <w:bCs/>
          <w:i w:val="0"/>
          <w:iCs w:val="0"/>
        </w:rPr>
        <w:t>%</w:t>
      </w:r>
      <w:r w:rsidRPr="7C7AF33B">
        <w:rPr>
          <w:i w:val="0"/>
          <w:iCs w:val="0"/>
        </w:rPr>
        <w:t xml:space="preserve">. This suggests a significant overall increase in single-family home values within the South St. Petersburg CRA, but slightly lower than the 282.4% </w:t>
      </w:r>
      <w:bookmarkStart w:id="1" w:name="_Int_eeyI3jdj"/>
      <w:r w:rsidRPr="7C7AF33B">
        <w:rPr>
          <w:i w:val="0"/>
          <w:iCs w:val="0"/>
        </w:rPr>
        <w:t>observed</w:t>
      </w:r>
      <w:bookmarkEnd w:id="1"/>
      <w:r w:rsidRPr="7C7AF33B">
        <w:rPr>
          <w:i w:val="0"/>
          <w:iCs w:val="0"/>
        </w:rPr>
        <w:t xml:space="preserve"> for all residential properties. </w:t>
      </w:r>
    </w:p>
    <w:p w14:paraId="015B9FB9" w14:textId="6F7BEAB9" w:rsidR="2D62B74C" w:rsidRDefault="2D62B74C" w:rsidP="00F730B0">
      <w:pPr>
        <w:pStyle w:val="ListParagraph"/>
        <w:numPr>
          <w:ilvl w:val="0"/>
          <w:numId w:val="8"/>
        </w:numPr>
        <w:jc w:val="both"/>
        <w:rPr>
          <w:i w:val="0"/>
          <w:iCs w:val="0"/>
        </w:rPr>
      </w:pPr>
      <w:r w:rsidRPr="7C7AF33B">
        <w:rPr>
          <w:i w:val="0"/>
          <w:iCs w:val="0"/>
        </w:rPr>
        <w:t>Comparison with All Residential Properties: The lower average growth rate for single-family homes compared to all residential properties (245.3% vs. 282.4%) suggests that other residential property types (</w:t>
      </w:r>
      <w:r w:rsidR="75B6BAF4" w:rsidRPr="7C7AF33B">
        <w:rPr>
          <w:i w:val="0"/>
          <w:iCs w:val="0"/>
        </w:rPr>
        <w:t>condominiums</w:t>
      </w:r>
      <w:r w:rsidRPr="7C7AF33B">
        <w:rPr>
          <w:i w:val="0"/>
          <w:iCs w:val="0"/>
        </w:rPr>
        <w:t>, townhouses, etc.).</w:t>
      </w:r>
    </w:p>
    <w:p w14:paraId="132579B2" w14:textId="458F8F59" w:rsidR="3CD6CAB6" w:rsidRDefault="5327780B" w:rsidP="00F730B0">
      <w:pPr>
        <w:pStyle w:val="ListParagraph"/>
        <w:numPr>
          <w:ilvl w:val="0"/>
          <w:numId w:val="12"/>
        </w:numPr>
        <w:rPr>
          <w:i w:val="0"/>
          <w:iCs w:val="0"/>
        </w:rPr>
      </w:pPr>
      <w:r w:rsidRPr="01015ED6">
        <w:rPr>
          <w:b/>
          <w:bCs/>
          <w:i w:val="0"/>
          <w:iCs w:val="0"/>
        </w:rPr>
        <w:t>For single-family residential properties that are NOT homesteaded</w:t>
      </w:r>
      <w:r w:rsidR="251E2520" w:rsidRPr="01015ED6">
        <w:rPr>
          <w:b/>
          <w:bCs/>
          <w:i w:val="0"/>
          <w:iCs w:val="0"/>
        </w:rPr>
        <w:t>:</w:t>
      </w:r>
      <w:r w:rsidR="3CD6CAB6">
        <w:tab/>
      </w:r>
      <w:r w:rsidR="32A1D184">
        <w:rPr>
          <w:noProof/>
        </w:rPr>
        <w:drawing>
          <wp:inline distT="0" distB="0" distL="0" distR="0" wp14:anchorId="0D63C4CF" wp14:editId="5B63619A">
            <wp:extent cx="4765514" cy="2558409"/>
            <wp:effectExtent l="0" t="0" r="0" b="0"/>
            <wp:docPr id="737103588" name="Picture 73710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514" cy="2558409"/>
                    </a:xfrm>
                    <a:prstGeom prst="rect">
                      <a:avLst/>
                    </a:prstGeom>
                  </pic:spPr>
                </pic:pic>
              </a:graphicData>
            </a:graphic>
          </wp:inline>
        </w:drawing>
      </w:r>
    </w:p>
    <w:p w14:paraId="305440E4" w14:textId="7BD06680" w:rsidR="5E302804" w:rsidRDefault="5E302804" w:rsidP="00F730B0">
      <w:pPr>
        <w:pStyle w:val="ListParagraph"/>
        <w:numPr>
          <w:ilvl w:val="0"/>
          <w:numId w:val="7"/>
        </w:numPr>
        <w:jc w:val="both"/>
        <w:rPr>
          <w:i w:val="0"/>
          <w:iCs w:val="0"/>
        </w:rPr>
      </w:pPr>
      <w:r w:rsidRPr="7C7AF33B">
        <w:rPr>
          <w:i w:val="0"/>
          <w:iCs w:val="0"/>
        </w:rPr>
        <w:t xml:space="preserve">Highest Growth Rate: Palmetto Park has the highest growth rate at </w:t>
      </w:r>
      <w:r w:rsidRPr="7C7AF33B">
        <w:rPr>
          <w:b/>
          <w:bCs/>
          <w:i w:val="0"/>
          <w:iCs w:val="0"/>
        </w:rPr>
        <w:t>422.4%.</w:t>
      </w:r>
      <w:r w:rsidRPr="7C7AF33B">
        <w:rPr>
          <w:i w:val="0"/>
          <w:iCs w:val="0"/>
        </w:rPr>
        <w:t xml:space="preserve"> This signifies a substantial increase in the average taxable value of non-homesteaded single-family homes in this neighborhood over the past seven years. The average value has more than quadrupled!</w:t>
      </w:r>
    </w:p>
    <w:p w14:paraId="7272F7BF" w14:textId="21C2B81C" w:rsidR="5E302804" w:rsidRDefault="5E302804" w:rsidP="00F730B0">
      <w:pPr>
        <w:pStyle w:val="ListParagraph"/>
        <w:numPr>
          <w:ilvl w:val="0"/>
          <w:numId w:val="7"/>
        </w:numPr>
        <w:jc w:val="both"/>
        <w:rPr>
          <w:i w:val="0"/>
          <w:iCs w:val="0"/>
        </w:rPr>
      </w:pPr>
      <w:r w:rsidRPr="7C7AF33B">
        <w:rPr>
          <w:i w:val="0"/>
          <w:iCs w:val="0"/>
        </w:rPr>
        <w:t xml:space="preserve">Lowest Growth Rate: The No Association: 22nd St S to 1275 neighborhood has the lowest growth rate at </w:t>
      </w:r>
      <w:r w:rsidRPr="7C7AF33B">
        <w:rPr>
          <w:b/>
          <w:bCs/>
          <w:i w:val="0"/>
          <w:iCs w:val="0"/>
        </w:rPr>
        <w:t>87.5%.</w:t>
      </w:r>
      <w:r w:rsidRPr="7C7AF33B">
        <w:rPr>
          <w:i w:val="0"/>
          <w:iCs w:val="0"/>
        </w:rPr>
        <w:t xml:space="preserve"> The average taxable value of non-homesteaded single-family homes here has increased by less than double during the same period.</w:t>
      </w:r>
    </w:p>
    <w:p w14:paraId="15B18131" w14:textId="3B8097C6" w:rsidR="5E302804" w:rsidRDefault="5E302804" w:rsidP="00F730B0">
      <w:pPr>
        <w:pStyle w:val="ListParagraph"/>
        <w:numPr>
          <w:ilvl w:val="0"/>
          <w:numId w:val="7"/>
        </w:numPr>
        <w:jc w:val="both"/>
        <w:rPr>
          <w:i w:val="0"/>
          <w:iCs w:val="0"/>
        </w:rPr>
      </w:pPr>
      <w:r w:rsidRPr="7C7AF33B">
        <w:rPr>
          <w:i w:val="0"/>
          <w:iCs w:val="0"/>
        </w:rPr>
        <w:t xml:space="preserve">Average Growth Rate: The average growth rate across all analyzed neighborhoods for non-homesteaded single-family residential properties is </w:t>
      </w:r>
      <w:r w:rsidRPr="7C7AF33B">
        <w:rPr>
          <w:b/>
          <w:bCs/>
          <w:i w:val="0"/>
          <w:iCs w:val="0"/>
        </w:rPr>
        <w:t>21</w:t>
      </w:r>
      <w:r w:rsidR="4647C6CE" w:rsidRPr="7C7AF33B">
        <w:rPr>
          <w:b/>
          <w:bCs/>
          <w:i w:val="0"/>
          <w:iCs w:val="0"/>
        </w:rPr>
        <w:t>3</w:t>
      </w:r>
      <w:r w:rsidRPr="7C7AF33B">
        <w:rPr>
          <w:b/>
          <w:bCs/>
          <w:i w:val="0"/>
          <w:iCs w:val="0"/>
        </w:rPr>
        <w:t>.</w:t>
      </w:r>
      <w:r w:rsidR="516060E4" w:rsidRPr="7C7AF33B">
        <w:rPr>
          <w:b/>
          <w:bCs/>
          <w:i w:val="0"/>
          <w:iCs w:val="0"/>
        </w:rPr>
        <w:t>3</w:t>
      </w:r>
      <w:r w:rsidRPr="7C7AF33B">
        <w:rPr>
          <w:b/>
          <w:bCs/>
          <w:i w:val="0"/>
          <w:iCs w:val="0"/>
        </w:rPr>
        <w:t>%</w:t>
      </w:r>
      <w:r w:rsidRPr="7C7AF33B">
        <w:rPr>
          <w:i w:val="0"/>
          <w:iCs w:val="0"/>
        </w:rPr>
        <w:t>. This suggests a significant overall increase in non-homesteaded single-family home values within the South St. Petersburg CRA, but lower than the growth rate for all single-family homes (2</w:t>
      </w:r>
      <w:r w:rsidR="3E2C2EB3" w:rsidRPr="7C7AF33B">
        <w:rPr>
          <w:i w:val="0"/>
          <w:iCs w:val="0"/>
        </w:rPr>
        <w:t>39.0</w:t>
      </w:r>
      <w:r w:rsidRPr="7C7AF33B">
        <w:rPr>
          <w:i w:val="0"/>
          <w:iCs w:val="0"/>
        </w:rPr>
        <w:t>%) which includes homesteaded properties.</w:t>
      </w:r>
    </w:p>
    <w:p w14:paraId="3A0114E9" w14:textId="77777777" w:rsidR="00F730B0" w:rsidRDefault="00F730B0" w:rsidP="00F730B0">
      <w:pPr>
        <w:pStyle w:val="ListParagraph"/>
        <w:jc w:val="both"/>
        <w:rPr>
          <w:i w:val="0"/>
          <w:iCs w:val="0"/>
        </w:rPr>
      </w:pPr>
    </w:p>
    <w:p w14:paraId="55340E76" w14:textId="77777777" w:rsidR="00F730B0" w:rsidRDefault="00F730B0" w:rsidP="00F730B0">
      <w:pPr>
        <w:pStyle w:val="ListParagraph"/>
        <w:jc w:val="both"/>
        <w:rPr>
          <w:i w:val="0"/>
          <w:iCs w:val="0"/>
        </w:rPr>
      </w:pPr>
    </w:p>
    <w:p w14:paraId="4256E66D" w14:textId="77777777" w:rsidR="00F730B0" w:rsidRDefault="00F730B0" w:rsidP="00F730B0">
      <w:pPr>
        <w:pStyle w:val="ListParagraph"/>
        <w:jc w:val="both"/>
        <w:rPr>
          <w:i w:val="0"/>
          <w:iCs w:val="0"/>
        </w:rPr>
      </w:pPr>
    </w:p>
    <w:p w14:paraId="244F659E" w14:textId="77777777" w:rsidR="00F730B0" w:rsidRDefault="00F730B0" w:rsidP="00F730B0">
      <w:pPr>
        <w:pStyle w:val="ListParagraph"/>
        <w:jc w:val="both"/>
        <w:rPr>
          <w:i w:val="0"/>
          <w:iCs w:val="0"/>
        </w:rPr>
      </w:pPr>
    </w:p>
    <w:p w14:paraId="5A2A7D6C" w14:textId="77777777" w:rsidR="00F730B0" w:rsidRDefault="00F730B0" w:rsidP="00F730B0">
      <w:pPr>
        <w:pStyle w:val="ListParagraph"/>
        <w:jc w:val="both"/>
        <w:rPr>
          <w:i w:val="0"/>
          <w:iCs w:val="0"/>
        </w:rPr>
      </w:pPr>
    </w:p>
    <w:p w14:paraId="3393B22D" w14:textId="77777777" w:rsidR="00F730B0" w:rsidRDefault="00F730B0" w:rsidP="00F730B0">
      <w:pPr>
        <w:pStyle w:val="ListParagraph"/>
        <w:jc w:val="both"/>
        <w:rPr>
          <w:i w:val="0"/>
          <w:iCs w:val="0"/>
        </w:rPr>
      </w:pPr>
    </w:p>
    <w:p w14:paraId="2DC4A3E9" w14:textId="77777777" w:rsidR="00F730B0" w:rsidRDefault="00F730B0" w:rsidP="00F730B0">
      <w:pPr>
        <w:pStyle w:val="ListParagraph"/>
        <w:jc w:val="both"/>
        <w:rPr>
          <w:i w:val="0"/>
          <w:iCs w:val="0"/>
        </w:rPr>
      </w:pPr>
    </w:p>
    <w:p w14:paraId="46C909B5" w14:textId="77777777" w:rsidR="00F730B0" w:rsidRDefault="00F730B0" w:rsidP="00F730B0">
      <w:pPr>
        <w:pStyle w:val="ListParagraph"/>
        <w:jc w:val="both"/>
        <w:rPr>
          <w:i w:val="0"/>
          <w:iCs w:val="0"/>
        </w:rPr>
      </w:pPr>
    </w:p>
    <w:p w14:paraId="1F191383" w14:textId="77777777" w:rsidR="00F730B0" w:rsidRDefault="00F730B0" w:rsidP="00F730B0">
      <w:pPr>
        <w:pStyle w:val="ListParagraph"/>
        <w:jc w:val="both"/>
        <w:rPr>
          <w:i w:val="0"/>
          <w:iCs w:val="0"/>
        </w:rPr>
      </w:pPr>
    </w:p>
    <w:p w14:paraId="5C243DA7" w14:textId="7547CB15" w:rsidR="3CD6CAB6" w:rsidRDefault="5327780B" w:rsidP="00F730B0">
      <w:pPr>
        <w:pStyle w:val="ListParagraph"/>
        <w:numPr>
          <w:ilvl w:val="0"/>
          <w:numId w:val="12"/>
        </w:numPr>
        <w:jc w:val="both"/>
        <w:rPr>
          <w:b/>
          <w:bCs/>
          <w:i w:val="0"/>
          <w:iCs w:val="0"/>
        </w:rPr>
      </w:pPr>
      <w:r w:rsidRPr="01015ED6">
        <w:rPr>
          <w:b/>
          <w:bCs/>
          <w:i w:val="0"/>
          <w:iCs w:val="0"/>
        </w:rPr>
        <w:lastRenderedPageBreak/>
        <w:t>For single-family residential properties and missing middle properties</w:t>
      </w:r>
      <w:r w:rsidR="476449D8" w:rsidRPr="01015ED6">
        <w:rPr>
          <w:b/>
          <w:bCs/>
          <w:i w:val="0"/>
          <w:iCs w:val="0"/>
        </w:rPr>
        <w:t>:</w:t>
      </w:r>
    </w:p>
    <w:p w14:paraId="71EFDF64" w14:textId="200E5099" w:rsidR="1D7EA14C" w:rsidRDefault="1D7EA14C" w:rsidP="00F730B0">
      <w:pPr>
        <w:jc w:val="center"/>
        <w:rPr>
          <w:i w:val="0"/>
          <w:iCs w:val="0"/>
        </w:rPr>
      </w:pPr>
      <w:r>
        <w:rPr>
          <w:noProof/>
        </w:rPr>
        <w:drawing>
          <wp:inline distT="0" distB="0" distL="0" distR="0" wp14:anchorId="117012C7" wp14:editId="67A260AB">
            <wp:extent cx="4095750" cy="2402315"/>
            <wp:effectExtent l="0" t="0" r="0" b="0"/>
            <wp:docPr id="654932080" name="Picture 6549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50" cy="2402315"/>
                    </a:xfrm>
                    <a:prstGeom prst="rect">
                      <a:avLst/>
                    </a:prstGeom>
                  </pic:spPr>
                </pic:pic>
              </a:graphicData>
            </a:graphic>
          </wp:inline>
        </w:drawing>
      </w:r>
    </w:p>
    <w:p w14:paraId="67FA7EBF" w14:textId="2B1F3AF1" w:rsidR="7D33005D" w:rsidRDefault="7D33005D" w:rsidP="00F730B0">
      <w:pPr>
        <w:pStyle w:val="ListParagraph"/>
        <w:numPr>
          <w:ilvl w:val="0"/>
          <w:numId w:val="6"/>
        </w:numPr>
        <w:jc w:val="both"/>
        <w:rPr>
          <w:i w:val="0"/>
          <w:iCs w:val="0"/>
        </w:rPr>
      </w:pPr>
      <w:r w:rsidRPr="7C7AF33B">
        <w:rPr>
          <w:i w:val="0"/>
          <w:iCs w:val="0"/>
        </w:rPr>
        <w:t xml:space="preserve">Highest Growth Rate: Palmetto Park again leads with the highest growth rate at </w:t>
      </w:r>
      <w:r w:rsidRPr="7C7AF33B">
        <w:rPr>
          <w:b/>
          <w:bCs/>
          <w:i w:val="0"/>
          <w:iCs w:val="0"/>
        </w:rPr>
        <w:t>510.6%</w:t>
      </w:r>
      <w:r w:rsidRPr="7C7AF33B">
        <w:rPr>
          <w:i w:val="0"/>
          <w:iCs w:val="0"/>
        </w:rPr>
        <w:t xml:space="preserve">. This </w:t>
      </w:r>
      <w:bookmarkStart w:id="2" w:name="_Int_vyyGavJg"/>
      <w:r w:rsidRPr="7C7AF33B">
        <w:rPr>
          <w:i w:val="0"/>
          <w:iCs w:val="0"/>
        </w:rPr>
        <w:t>indicates</w:t>
      </w:r>
      <w:bookmarkEnd w:id="2"/>
      <w:r w:rsidRPr="7C7AF33B">
        <w:rPr>
          <w:i w:val="0"/>
          <w:iCs w:val="0"/>
        </w:rPr>
        <w:t xml:space="preserve"> a remarkable increase in the average taxable value of properties in this category over the past seven years.</w:t>
      </w:r>
    </w:p>
    <w:p w14:paraId="3BFF3B99" w14:textId="3E80349A" w:rsidR="7D33005D" w:rsidRDefault="7D33005D" w:rsidP="00F730B0">
      <w:pPr>
        <w:pStyle w:val="ListParagraph"/>
        <w:numPr>
          <w:ilvl w:val="0"/>
          <w:numId w:val="6"/>
        </w:numPr>
        <w:jc w:val="both"/>
        <w:rPr>
          <w:i w:val="0"/>
          <w:iCs w:val="0"/>
        </w:rPr>
      </w:pPr>
      <w:r w:rsidRPr="7C7AF33B">
        <w:rPr>
          <w:i w:val="0"/>
          <w:iCs w:val="0"/>
        </w:rPr>
        <w:t xml:space="preserve">Lowest Growth Rate: The No Association: 22nd St S to 1275 neighborhood </w:t>
      </w:r>
      <w:bookmarkStart w:id="3" w:name="_Int_CbSvYPVA"/>
      <w:r w:rsidRPr="7C7AF33B">
        <w:rPr>
          <w:i w:val="0"/>
          <w:iCs w:val="0"/>
        </w:rPr>
        <w:t>maintains</w:t>
      </w:r>
      <w:bookmarkEnd w:id="3"/>
      <w:r w:rsidRPr="7C7AF33B">
        <w:rPr>
          <w:i w:val="0"/>
          <w:iCs w:val="0"/>
        </w:rPr>
        <w:t xml:space="preserve"> the lowest growth rate at</w:t>
      </w:r>
      <w:r w:rsidRPr="7C7AF33B">
        <w:rPr>
          <w:b/>
          <w:bCs/>
          <w:i w:val="0"/>
          <w:iCs w:val="0"/>
        </w:rPr>
        <w:t xml:space="preserve"> 54.0%</w:t>
      </w:r>
      <w:r w:rsidRPr="7C7AF33B">
        <w:rPr>
          <w:i w:val="0"/>
          <w:iCs w:val="0"/>
        </w:rPr>
        <w:t>. The average taxable value of properties in this category has only grown by slightly more than half during the same period.</w:t>
      </w:r>
    </w:p>
    <w:p w14:paraId="16BE205F" w14:textId="2EF02443" w:rsidR="7D33005D" w:rsidRDefault="7D33005D" w:rsidP="00F730B0">
      <w:pPr>
        <w:pStyle w:val="ListParagraph"/>
        <w:numPr>
          <w:ilvl w:val="0"/>
          <w:numId w:val="6"/>
        </w:numPr>
        <w:jc w:val="both"/>
        <w:rPr>
          <w:i w:val="0"/>
          <w:iCs w:val="0"/>
        </w:rPr>
      </w:pPr>
      <w:r w:rsidRPr="7C7AF33B">
        <w:rPr>
          <w:i w:val="0"/>
          <w:iCs w:val="0"/>
        </w:rPr>
        <w:t>Average Growth Rate: The average growth rate across all analyzed neighborhoods for this combined category is 239.7%. This suggests a significant overall increase in property values within the South St. Petersburg CRA</w:t>
      </w:r>
    </w:p>
    <w:p w14:paraId="63BC7D8A" w14:textId="08FE73B1" w:rsidR="3CD6CAB6" w:rsidRDefault="5327780B" w:rsidP="00F730B0">
      <w:pPr>
        <w:pStyle w:val="ListParagraph"/>
        <w:numPr>
          <w:ilvl w:val="0"/>
          <w:numId w:val="12"/>
        </w:numPr>
        <w:jc w:val="both"/>
        <w:rPr>
          <w:b/>
          <w:bCs/>
          <w:i w:val="0"/>
          <w:iCs w:val="0"/>
        </w:rPr>
      </w:pPr>
      <w:r w:rsidRPr="01015ED6">
        <w:rPr>
          <w:b/>
          <w:bCs/>
          <w:i w:val="0"/>
          <w:iCs w:val="0"/>
        </w:rPr>
        <w:t>Provide a narrative summary of the impact of homestead on the property value growth Rates</w:t>
      </w:r>
      <w:r w:rsidR="7B342777" w:rsidRPr="01015ED6">
        <w:rPr>
          <w:b/>
          <w:bCs/>
          <w:i w:val="0"/>
          <w:iCs w:val="0"/>
        </w:rPr>
        <w:t>:</w:t>
      </w:r>
    </w:p>
    <w:p w14:paraId="73FFEC12" w14:textId="6036C669" w:rsidR="3B3AB3B8" w:rsidRDefault="3D48A410" w:rsidP="00F730B0">
      <w:pPr>
        <w:jc w:val="center"/>
        <w:rPr>
          <w:i w:val="0"/>
          <w:iCs w:val="0"/>
        </w:rPr>
      </w:pPr>
      <w:r>
        <w:rPr>
          <w:noProof/>
        </w:rPr>
        <w:drawing>
          <wp:inline distT="0" distB="0" distL="0" distR="0" wp14:anchorId="051B376A" wp14:editId="63A88CC6">
            <wp:extent cx="1792224" cy="2580943"/>
            <wp:effectExtent l="0" t="0" r="0" b="0"/>
            <wp:docPr id="1642564785" name="Picture 164256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7565" cy="2603035"/>
                    </a:xfrm>
                    <a:prstGeom prst="rect">
                      <a:avLst/>
                    </a:prstGeom>
                  </pic:spPr>
                </pic:pic>
              </a:graphicData>
            </a:graphic>
          </wp:inline>
        </w:drawing>
      </w:r>
    </w:p>
    <w:p w14:paraId="19A1B907" w14:textId="39574FDA" w:rsidR="612840C0" w:rsidRDefault="612840C0" w:rsidP="00F730B0">
      <w:pPr>
        <w:pStyle w:val="ListParagraph"/>
        <w:numPr>
          <w:ilvl w:val="0"/>
          <w:numId w:val="5"/>
        </w:numPr>
        <w:jc w:val="both"/>
        <w:rPr>
          <w:i w:val="0"/>
          <w:iCs w:val="0"/>
        </w:rPr>
      </w:pPr>
      <w:r w:rsidRPr="7C7AF33B">
        <w:rPr>
          <w:i w:val="0"/>
          <w:iCs w:val="0"/>
        </w:rPr>
        <w:t>Homestead Properties Appreciate Faster: Properties with homestead exemptions (homestead-yes) experienced a substantially higher average growth rate (</w:t>
      </w:r>
      <w:r w:rsidRPr="7C7AF33B">
        <w:rPr>
          <w:b/>
          <w:bCs/>
          <w:i w:val="0"/>
          <w:iCs w:val="0"/>
        </w:rPr>
        <w:t>369.7%</w:t>
      </w:r>
      <w:r w:rsidRPr="7C7AF33B">
        <w:rPr>
          <w:i w:val="0"/>
          <w:iCs w:val="0"/>
        </w:rPr>
        <w:t xml:space="preserve">) in taxable value between 2015 and 2022 compared to non-homesteaded properties (homestead-no) which grew at a rate of </w:t>
      </w:r>
      <w:r w:rsidRPr="7C7AF33B">
        <w:rPr>
          <w:b/>
          <w:bCs/>
          <w:i w:val="0"/>
          <w:iCs w:val="0"/>
        </w:rPr>
        <w:t>174.5%</w:t>
      </w:r>
      <w:r w:rsidRPr="7C7AF33B">
        <w:rPr>
          <w:i w:val="0"/>
          <w:iCs w:val="0"/>
        </w:rPr>
        <w:t>.</w:t>
      </w:r>
    </w:p>
    <w:p w14:paraId="6E0AA822" w14:textId="7DA3BAE1" w:rsidR="69AEF4A9" w:rsidRDefault="69AEF4A9" w:rsidP="00F730B0">
      <w:pPr>
        <w:ind w:firstLine="720"/>
        <w:jc w:val="both"/>
        <w:rPr>
          <w:b/>
          <w:bCs/>
          <w:i w:val="0"/>
          <w:iCs w:val="0"/>
        </w:rPr>
      </w:pPr>
      <w:r w:rsidRPr="7C7AF33B">
        <w:rPr>
          <w:b/>
          <w:bCs/>
          <w:i w:val="0"/>
          <w:iCs w:val="0"/>
        </w:rPr>
        <w:lastRenderedPageBreak/>
        <w:t>Median Values and Distribution:</w:t>
      </w:r>
    </w:p>
    <w:p w14:paraId="78E152E3" w14:textId="542D7972" w:rsidR="3472BAE7" w:rsidRDefault="3171C9C6" w:rsidP="00F730B0">
      <w:pPr>
        <w:ind w:firstLine="720"/>
        <w:jc w:val="center"/>
        <w:rPr>
          <w:i w:val="0"/>
          <w:iCs w:val="0"/>
        </w:rPr>
      </w:pPr>
      <w:r>
        <w:rPr>
          <w:noProof/>
        </w:rPr>
        <w:drawing>
          <wp:inline distT="0" distB="0" distL="0" distR="0" wp14:anchorId="66938FB0" wp14:editId="5CB3B52F">
            <wp:extent cx="4466929" cy="2305050"/>
            <wp:effectExtent l="0" t="0" r="0" b="0"/>
            <wp:docPr id="230852690" name="Picture 23085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6929" cy="2305050"/>
                    </a:xfrm>
                    <a:prstGeom prst="rect">
                      <a:avLst/>
                    </a:prstGeom>
                  </pic:spPr>
                </pic:pic>
              </a:graphicData>
            </a:graphic>
          </wp:inline>
        </w:drawing>
      </w:r>
    </w:p>
    <w:p w14:paraId="02621D43" w14:textId="683AB9AA" w:rsidR="6C892D2D" w:rsidRDefault="649E0671" w:rsidP="00F730B0">
      <w:pPr>
        <w:ind w:firstLine="720"/>
        <w:jc w:val="both"/>
      </w:pPr>
      <w:r w:rsidRPr="01015ED6">
        <w:rPr>
          <w:i w:val="0"/>
          <w:iCs w:val="0"/>
        </w:rPr>
        <w:t xml:space="preserve">The substantial difference in median values between 2015 and 2022 (a more than threefold increase from </w:t>
      </w:r>
      <w:r w:rsidR="6C892D2D">
        <w:tab/>
      </w:r>
      <w:r w:rsidRPr="01015ED6">
        <w:rPr>
          <w:i w:val="0"/>
          <w:iCs w:val="0"/>
        </w:rPr>
        <w:t>$17,571 to $57,373) highlights a significant rise in property values within the South St. Petersburg CRA.</w:t>
      </w:r>
    </w:p>
    <w:p w14:paraId="67A675B5" w14:textId="7BC474FB" w:rsidR="40675AB8" w:rsidRDefault="40675AB8" w:rsidP="00F730B0">
      <w:pPr>
        <w:jc w:val="both"/>
        <w:rPr>
          <w:i w:val="0"/>
          <w:iCs w:val="0"/>
        </w:rPr>
      </w:pPr>
      <w:r w:rsidRPr="01015ED6">
        <w:rPr>
          <w:b/>
          <w:bCs/>
          <w:i w:val="0"/>
          <w:iCs w:val="0"/>
        </w:rPr>
        <w:t xml:space="preserve"> </w:t>
      </w:r>
      <w:r>
        <w:tab/>
      </w:r>
      <w:r w:rsidRPr="01015ED6">
        <w:rPr>
          <w:b/>
          <w:bCs/>
          <w:i w:val="0"/>
          <w:iCs w:val="0"/>
        </w:rPr>
        <w:t>Outliers</w:t>
      </w:r>
      <w:r w:rsidRPr="01015ED6">
        <w:rPr>
          <w:i w:val="0"/>
          <w:iCs w:val="0"/>
        </w:rPr>
        <w:t xml:space="preserve">: </w:t>
      </w:r>
    </w:p>
    <w:p w14:paraId="75C0AD4C" w14:textId="77777777" w:rsidR="00364D7A" w:rsidRDefault="00364D7A" w:rsidP="00364D7A">
      <w:pPr>
        <w:jc w:val="center"/>
      </w:pPr>
      <w:r>
        <w:rPr>
          <w:noProof/>
        </w:rPr>
        <w:drawing>
          <wp:inline distT="0" distB="0" distL="0" distR="0" wp14:anchorId="237B0112" wp14:editId="2250B3D9">
            <wp:extent cx="4949825" cy="2913888"/>
            <wp:effectExtent l="0" t="0" r="3175" b="0"/>
            <wp:docPr id="201255136" name="Picture 2" descr="A graph of a number of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136" name="Picture 2" descr="A graph of a number of neighborhoo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382" cy="2925401"/>
                    </a:xfrm>
                    <a:prstGeom prst="rect">
                      <a:avLst/>
                    </a:prstGeom>
                  </pic:spPr>
                </pic:pic>
              </a:graphicData>
            </a:graphic>
          </wp:inline>
        </w:drawing>
      </w:r>
    </w:p>
    <w:p w14:paraId="046D7EA3" w14:textId="13065A3E" w:rsidR="69F2E374" w:rsidRDefault="69F2E374" w:rsidP="00364D7A">
      <w:pPr>
        <w:jc w:val="center"/>
      </w:pPr>
      <w:r>
        <w:rPr>
          <w:noProof/>
        </w:rPr>
        <w:lastRenderedPageBreak/>
        <w:drawing>
          <wp:inline distT="0" distB="0" distL="0" distR="0" wp14:anchorId="11C5F2AB" wp14:editId="09FBF773">
            <wp:extent cx="4924473" cy="2560320"/>
            <wp:effectExtent l="0" t="0" r="3175" b="5080"/>
            <wp:docPr id="1854263735" name="Picture 185426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2055" cy="2569461"/>
                    </a:xfrm>
                    <a:prstGeom prst="rect">
                      <a:avLst/>
                    </a:prstGeom>
                  </pic:spPr>
                </pic:pic>
              </a:graphicData>
            </a:graphic>
          </wp:inline>
        </w:drawing>
      </w:r>
    </w:p>
    <w:p w14:paraId="3C3C534E" w14:textId="77777777" w:rsidR="00364D7A" w:rsidRDefault="00364D7A" w:rsidP="00F730B0">
      <w:pPr>
        <w:jc w:val="both"/>
      </w:pPr>
    </w:p>
    <w:p w14:paraId="38157212" w14:textId="56BE7CF2" w:rsidR="0D9D591A" w:rsidRDefault="00F730B0" w:rsidP="00F730B0">
      <w:pPr>
        <w:jc w:val="both"/>
        <w:rPr>
          <w:rFonts w:ascii="Calibri" w:eastAsia="Calibri" w:hAnsi="Calibri" w:cs="Calibri"/>
        </w:rPr>
      </w:pPr>
      <w:r>
        <w:rPr>
          <w:i w:val="0"/>
          <w:iCs w:val="0"/>
        </w:rPr>
        <w:t xml:space="preserve">               </w:t>
      </w:r>
      <w:r w:rsidR="23039D7A" w:rsidRPr="1F329DB5">
        <w:rPr>
          <w:i w:val="0"/>
          <w:iCs w:val="0"/>
        </w:rPr>
        <w:t xml:space="preserve">In the visualization of "Taxable Value – Non-School District," outliers are highlighted in orange based on a </w:t>
      </w:r>
      <w:r w:rsidR="0D9D591A">
        <w:tab/>
      </w:r>
      <w:r w:rsidR="23039D7A" w:rsidRPr="1F329DB5">
        <w:rPr>
          <w:i w:val="0"/>
          <w:iCs w:val="0"/>
        </w:rPr>
        <w:t xml:space="preserve">standard deviation factor of </w:t>
      </w:r>
      <w:r w:rsidR="23039D7A" w:rsidRPr="1F329DB5">
        <w:rPr>
          <w:b/>
          <w:bCs/>
          <w:i w:val="0"/>
          <w:iCs w:val="0"/>
        </w:rPr>
        <w:t>3</w:t>
      </w:r>
      <w:r w:rsidR="23039D7A" w:rsidRPr="1F329DB5">
        <w:rPr>
          <w:i w:val="0"/>
          <w:iCs w:val="0"/>
        </w:rPr>
        <w:t xml:space="preserve">. These outliers represent data points that deviate significantly from the </w:t>
      </w:r>
      <w:r w:rsidR="0D9D591A">
        <w:tab/>
      </w:r>
      <w:r w:rsidR="23039D7A" w:rsidRPr="1F329DB5">
        <w:rPr>
          <w:i w:val="0"/>
          <w:iCs w:val="0"/>
        </w:rPr>
        <w:t xml:space="preserve">expected distribution of taxable values within the dataset. Upon closer inspection, it's evident that there </w:t>
      </w:r>
      <w:r w:rsidR="0D9D591A">
        <w:tab/>
      </w:r>
      <w:r w:rsidR="23039D7A" w:rsidRPr="1F329DB5">
        <w:rPr>
          <w:i w:val="0"/>
          <w:iCs w:val="0"/>
        </w:rPr>
        <w:t xml:space="preserve">are </w:t>
      </w:r>
      <w:r w:rsidR="23039D7A" w:rsidRPr="1F329DB5">
        <w:rPr>
          <w:b/>
          <w:bCs/>
          <w:i w:val="0"/>
          <w:iCs w:val="0"/>
        </w:rPr>
        <w:t xml:space="preserve">624 </w:t>
      </w:r>
      <w:r w:rsidR="23039D7A" w:rsidRPr="1F329DB5">
        <w:rPr>
          <w:i w:val="0"/>
          <w:iCs w:val="0"/>
        </w:rPr>
        <w:t>data points identified as outliers.</w:t>
      </w:r>
    </w:p>
    <w:p w14:paraId="2713CA12" w14:textId="7D667562" w:rsidR="005B7277" w:rsidRPr="00134744" w:rsidRDefault="005B7277" w:rsidP="00F730B0">
      <w:pPr>
        <w:pStyle w:val="Heading1"/>
        <w:jc w:val="both"/>
      </w:pPr>
      <w:r>
        <w:t>Conclusion</w:t>
      </w:r>
      <w:r w:rsidR="004B080F">
        <w:t>s</w:t>
      </w:r>
    </w:p>
    <w:p w14:paraId="4A626040" w14:textId="09D9394C" w:rsidR="799B09BD" w:rsidRDefault="799B09BD" w:rsidP="00F730B0">
      <w:pPr>
        <w:pStyle w:val="ListParagraph"/>
        <w:numPr>
          <w:ilvl w:val="0"/>
          <w:numId w:val="2"/>
        </w:numPr>
        <w:jc w:val="both"/>
        <w:rPr>
          <w:i w:val="0"/>
          <w:iCs w:val="0"/>
        </w:rPr>
      </w:pPr>
      <w:r w:rsidRPr="7C7AF33B">
        <w:rPr>
          <w:b/>
          <w:bCs/>
          <w:i w:val="0"/>
          <w:iCs w:val="0"/>
        </w:rPr>
        <w:t>All Properties Growth</w:t>
      </w:r>
      <w:r w:rsidRPr="7C7AF33B">
        <w:rPr>
          <w:i w:val="0"/>
          <w:iCs w:val="0"/>
        </w:rPr>
        <w:t xml:space="preserve">: </w:t>
      </w:r>
      <w:r w:rsidR="07AB12D7" w:rsidRPr="7C7AF33B">
        <w:rPr>
          <w:i w:val="0"/>
          <w:iCs w:val="0"/>
        </w:rPr>
        <w:t>Neighborhoods like Thirteenth Street Heights, Palmetto Park, and Campbell Park have experienced exceptional growth rates, indicating significant revitalization and development within these areas. However, disparities exist, with some neighborhoods showing slower growth rates, such as No Association: 26th - 30th Ave S, suggesting potential challenges or barriers to development in these areas.</w:t>
      </w:r>
    </w:p>
    <w:p w14:paraId="3624B615" w14:textId="2CE56CFF" w:rsidR="799B09BD" w:rsidRDefault="799B09BD" w:rsidP="00F730B0">
      <w:pPr>
        <w:pStyle w:val="ListParagraph"/>
        <w:numPr>
          <w:ilvl w:val="0"/>
          <w:numId w:val="2"/>
        </w:numPr>
        <w:jc w:val="both"/>
        <w:rPr>
          <w:i w:val="0"/>
          <w:iCs w:val="0"/>
        </w:rPr>
      </w:pPr>
      <w:r w:rsidRPr="7C7AF33B">
        <w:rPr>
          <w:b/>
          <w:bCs/>
          <w:i w:val="0"/>
          <w:iCs w:val="0"/>
        </w:rPr>
        <w:t>Strictly Residential Properties Growth:</w:t>
      </w:r>
      <w:r w:rsidRPr="7C7AF33B">
        <w:rPr>
          <w:i w:val="0"/>
          <w:iCs w:val="0"/>
        </w:rPr>
        <w:t xml:space="preserve"> A healthy housing market is indicated by substantial growth in residential property values. </w:t>
      </w:r>
      <w:r w:rsidR="5BF3F6B7" w:rsidRPr="7C7AF33B">
        <w:rPr>
          <w:i w:val="0"/>
          <w:iCs w:val="0"/>
        </w:rPr>
        <w:t>Neighborhoods such as Campbell Park, Palmetto Park, and Historic Kenwood exhibit exceptional growth rates in strictly residential property values, indicating significant demand for residential housing within these areas. Conversely, neighborhoods like No Association: 22nd St S to I275 and No Association: 26th - 30th Ave S. show comparatively lower growth rates, suggesting potential challenges or constraints to residential development in these locations.</w:t>
      </w:r>
    </w:p>
    <w:p w14:paraId="3E3FA0C3" w14:textId="2B003E65" w:rsidR="799B09BD" w:rsidRDefault="799B09BD" w:rsidP="00F730B0">
      <w:pPr>
        <w:pStyle w:val="ListParagraph"/>
        <w:numPr>
          <w:ilvl w:val="0"/>
          <w:numId w:val="2"/>
        </w:numPr>
        <w:jc w:val="both"/>
        <w:rPr>
          <w:i w:val="0"/>
          <w:iCs w:val="0"/>
        </w:rPr>
      </w:pPr>
      <w:r w:rsidRPr="7C7AF33B">
        <w:rPr>
          <w:b/>
          <w:bCs/>
          <w:i w:val="0"/>
          <w:iCs w:val="0"/>
        </w:rPr>
        <w:t>Single-Family Residential Properties Growth</w:t>
      </w:r>
      <w:r w:rsidRPr="7C7AF33B">
        <w:rPr>
          <w:i w:val="0"/>
          <w:iCs w:val="0"/>
        </w:rPr>
        <w:t>: Strong appreciation in single-family home values is observed, although slightly lower compared to all residential properties.</w:t>
      </w:r>
      <w:r w:rsidR="6030662C" w:rsidRPr="7C7AF33B">
        <w:rPr>
          <w:i w:val="0"/>
          <w:iCs w:val="0"/>
        </w:rPr>
        <w:t xml:space="preserve"> Neighborhoods such as Campbell Park, Palmetto Park, and Twin Brooks stand out with substantial growth rates in single-family residential property values, indicating strong demand for detached housing within these areas. Conversely, neighborhoods like No Association: 22nd St S to I275 and No Association: 26th - 30th Ave S. show comparatively lower growth rates, suggesting potential challenges or constraints specific to the single-family residential market in these locations.</w:t>
      </w:r>
    </w:p>
    <w:p w14:paraId="0CEEE9E8" w14:textId="0D728F4E" w:rsidR="799B09BD" w:rsidRDefault="799B09BD" w:rsidP="00F730B0">
      <w:pPr>
        <w:pStyle w:val="ListParagraph"/>
        <w:numPr>
          <w:ilvl w:val="0"/>
          <w:numId w:val="2"/>
        </w:numPr>
        <w:jc w:val="both"/>
        <w:rPr>
          <w:i w:val="0"/>
          <w:iCs w:val="0"/>
        </w:rPr>
      </w:pPr>
      <w:r w:rsidRPr="7C7AF33B">
        <w:rPr>
          <w:i w:val="0"/>
          <w:iCs w:val="0"/>
        </w:rPr>
        <w:t xml:space="preserve"> </w:t>
      </w:r>
      <w:r w:rsidRPr="7C7AF33B">
        <w:rPr>
          <w:b/>
          <w:bCs/>
          <w:i w:val="0"/>
          <w:iCs w:val="0"/>
        </w:rPr>
        <w:t>Non-Homesteaded Single-Family Residential Properties Growth:</w:t>
      </w:r>
      <w:r w:rsidRPr="7C7AF33B">
        <w:rPr>
          <w:i w:val="0"/>
          <w:iCs w:val="0"/>
        </w:rPr>
        <w:t xml:space="preserve"> </w:t>
      </w:r>
      <w:r w:rsidR="3AF10C35" w:rsidRPr="7C7AF33B">
        <w:rPr>
          <w:i w:val="0"/>
          <w:iCs w:val="0"/>
        </w:rPr>
        <w:t xml:space="preserve">Neighborhoods like Palmetto Park, Campbell Park, and Bartlett Park demonstrate remarkable growth rates in non-homesteaded single-family residential property values, indicating strong investment potential and demand for non-owner-occupied </w:t>
      </w:r>
      <w:r w:rsidR="3AF10C35" w:rsidRPr="7C7AF33B">
        <w:rPr>
          <w:i w:val="0"/>
          <w:iCs w:val="0"/>
        </w:rPr>
        <w:lastRenderedPageBreak/>
        <w:t xml:space="preserve">housing within these areas. Conversely, neighborhoods such as Historic Kenwood and Historic </w:t>
      </w:r>
      <w:proofErr w:type="spellStart"/>
      <w:r w:rsidR="3AF10C35" w:rsidRPr="7C7AF33B">
        <w:rPr>
          <w:i w:val="0"/>
          <w:iCs w:val="0"/>
        </w:rPr>
        <w:t>Roser</w:t>
      </w:r>
      <w:proofErr w:type="spellEnd"/>
      <w:r w:rsidR="3AF10C35" w:rsidRPr="7C7AF33B">
        <w:rPr>
          <w:i w:val="0"/>
          <w:iCs w:val="0"/>
        </w:rPr>
        <w:t xml:space="preserve"> Park exhibit comparatively lower growth rates, suggesting potential challenges or constraints specific to the non-homesteaded single-family residential market in these historic districts. The significant growth observed across various neighborhoods underscores the diverse investment opportunities and market dynamics within the South St. Petersburg CRA, highlighting the importance of targeted strategies to address housing affordability and promote inclusive economic development.</w:t>
      </w:r>
      <w:r w:rsidRPr="7C7AF33B">
        <w:rPr>
          <w:i w:val="0"/>
          <w:iCs w:val="0"/>
        </w:rPr>
        <w:t xml:space="preserve"> </w:t>
      </w:r>
    </w:p>
    <w:p w14:paraId="397F2ABD" w14:textId="5E449E5E" w:rsidR="799B09BD" w:rsidRDefault="799B09BD" w:rsidP="00F730B0">
      <w:pPr>
        <w:pStyle w:val="ListParagraph"/>
        <w:numPr>
          <w:ilvl w:val="0"/>
          <w:numId w:val="2"/>
        </w:numPr>
        <w:jc w:val="both"/>
        <w:rPr>
          <w:i w:val="0"/>
          <w:iCs w:val="0"/>
        </w:rPr>
      </w:pPr>
      <w:r w:rsidRPr="7C7AF33B">
        <w:rPr>
          <w:b/>
          <w:bCs/>
          <w:i w:val="0"/>
          <w:iCs w:val="0"/>
        </w:rPr>
        <w:t>Single-Family Residential and Missing Middle Properties Growth:</w:t>
      </w:r>
      <w:r w:rsidRPr="7C7AF33B">
        <w:rPr>
          <w:i w:val="0"/>
          <w:iCs w:val="0"/>
        </w:rPr>
        <w:t xml:space="preserve"> Robust growth is </w:t>
      </w:r>
      <w:r w:rsidR="7FB18A50" w:rsidRPr="7C7AF33B">
        <w:rPr>
          <w:i w:val="0"/>
          <w:iCs w:val="0"/>
        </w:rPr>
        <w:t>seen</w:t>
      </w:r>
      <w:r w:rsidRPr="7C7AF33B">
        <w:rPr>
          <w:i w:val="0"/>
          <w:iCs w:val="0"/>
        </w:rPr>
        <w:t xml:space="preserve"> in the combined category, emphasizing housing diversity within the CRA. </w:t>
      </w:r>
      <w:r w:rsidR="2B887AE3" w:rsidRPr="7C7AF33B">
        <w:rPr>
          <w:i w:val="0"/>
          <w:iCs w:val="0"/>
        </w:rPr>
        <w:t>Neighborhoods like Palmetto Park, Campbell Park, and Thirteenth St Heights show exceptional growth rates, indicating strong demand for diverse housing options. Conversely, areas like No Association: 26th - 30th Ave S. and No Association: 22nd St S to I275 exhibit lower growth, suggesting potential challenges in stimulating investment.</w:t>
      </w:r>
    </w:p>
    <w:p w14:paraId="2409EA7F" w14:textId="0BD9FCEE" w:rsidR="799B09BD" w:rsidRDefault="3B03A885" w:rsidP="00F730B0">
      <w:pPr>
        <w:pStyle w:val="ListParagraph"/>
        <w:numPr>
          <w:ilvl w:val="0"/>
          <w:numId w:val="2"/>
        </w:numPr>
        <w:jc w:val="both"/>
        <w:rPr>
          <w:b/>
          <w:bCs/>
          <w:i w:val="0"/>
          <w:iCs w:val="0"/>
        </w:rPr>
      </w:pPr>
      <w:r w:rsidRPr="01015ED6">
        <w:rPr>
          <w:b/>
          <w:bCs/>
          <w:i w:val="0"/>
          <w:iCs w:val="0"/>
        </w:rPr>
        <w:t>Impact of Homestead on Property Value Growth Rates:</w:t>
      </w:r>
      <w:r w:rsidRPr="01015ED6">
        <w:rPr>
          <w:i w:val="0"/>
          <w:iCs w:val="0"/>
        </w:rPr>
        <w:t xml:space="preserve"> Properties with homestead exemptions appreciate significantly faster, influencing property value growth rates. Understanding differential growth rates is crucial for fair development and housing affordability policies.</w:t>
      </w:r>
    </w:p>
    <w:p w14:paraId="7C05B3AD" w14:textId="6D2C5AE2" w:rsidR="5AAE26D3" w:rsidRDefault="5AAE26D3" w:rsidP="00F730B0">
      <w:pPr>
        <w:pStyle w:val="ListParagraph"/>
        <w:numPr>
          <w:ilvl w:val="0"/>
          <w:numId w:val="2"/>
        </w:numPr>
        <w:jc w:val="both"/>
        <w:rPr>
          <w:i w:val="0"/>
          <w:iCs w:val="0"/>
        </w:rPr>
      </w:pPr>
      <w:r w:rsidRPr="01015ED6">
        <w:rPr>
          <w:b/>
          <w:bCs/>
          <w:i w:val="0"/>
          <w:iCs w:val="0"/>
        </w:rPr>
        <w:t xml:space="preserve">Median Insights: </w:t>
      </w:r>
      <w:r w:rsidRPr="01015ED6">
        <w:rPr>
          <w:i w:val="0"/>
          <w:iCs w:val="0"/>
        </w:rPr>
        <w:t>Based on the quartile values (median is closer to upper quartile), the distribution of taxable value growth rates exhibits a mild left skew. This suggests that a larger portion of neighborhoods might have experienced lower growth rates compared to a smaller portion with very high growth rates.</w:t>
      </w:r>
    </w:p>
    <w:p w14:paraId="11EC8581" w14:textId="462617E2" w:rsidR="01015ED6" w:rsidRDefault="162CB546" w:rsidP="00F730B0">
      <w:pPr>
        <w:pStyle w:val="ListParagraph"/>
        <w:numPr>
          <w:ilvl w:val="0"/>
          <w:numId w:val="2"/>
        </w:numPr>
        <w:jc w:val="both"/>
        <w:rPr>
          <w:i w:val="0"/>
          <w:iCs w:val="0"/>
        </w:rPr>
      </w:pPr>
      <w:r w:rsidRPr="1F329DB5">
        <w:rPr>
          <w:b/>
          <w:bCs/>
          <w:i w:val="0"/>
          <w:iCs w:val="0"/>
        </w:rPr>
        <w:t>Outliers</w:t>
      </w:r>
      <w:r w:rsidRPr="1F329DB5">
        <w:rPr>
          <w:i w:val="0"/>
          <w:iCs w:val="0"/>
        </w:rPr>
        <w:t>:</w:t>
      </w:r>
      <w:r w:rsidR="00C25677" w:rsidRPr="1F329DB5">
        <w:rPr>
          <w:i w:val="0"/>
          <w:iCs w:val="0"/>
        </w:rPr>
        <w:t xml:space="preserve"> Property values in the South St. Petersburg CRA witnessed a substantial rise in median taxable value between 2015 and 2022. While many outliers were identified, these can be valuable indicators of data discrepancies or the presence of unique, high-value properties within the CRA. Further investigation into these outliers is crucial for a comprehensive and accurate understanding of the complete property value landscape within the CRA.</w:t>
      </w:r>
    </w:p>
    <w:p w14:paraId="46624D55" w14:textId="722D1CDF" w:rsidR="1DCDA743" w:rsidRDefault="1DCDA743" w:rsidP="00F730B0">
      <w:pPr>
        <w:ind w:firstLine="720"/>
        <w:jc w:val="both"/>
        <w:rPr>
          <w:i w:val="0"/>
          <w:iCs w:val="0"/>
        </w:rPr>
      </w:pPr>
      <w:r w:rsidRPr="7C7AF33B">
        <w:rPr>
          <w:b/>
          <w:bCs/>
          <w:i w:val="0"/>
          <w:iCs w:val="0"/>
        </w:rPr>
        <w:t xml:space="preserve">Opportunities for Further Analysis: </w:t>
      </w:r>
    </w:p>
    <w:p w14:paraId="0673DB22" w14:textId="560D78AA" w:rsidR="7A1A53AE" w:rsidRDefault="7A1A53AE" w:rsidP="00F730B0">
      <w:pPr>
        <w:pStyle w:val="ListParagraph"/>
        <w:numPr>
          <w:ilvl w:val="0"/>
          <w:numId w:val="1"/>
        </w:numPr>
        <w:jc w:val="both"/>
        <w:rPr>
          <w:i w:val="0"/>
          <w:iCs w:val="0"/>
        </w:rPr>
      </w:pPr>
      <w:r w:rsidRPr="7C7AF33B">
        <w:rPr>
          <w:i w:val="0"/>
          <w:iCs w:val="0"/>
        </w:rPr>
        <w:t xml:space="preserve">Explore how neighborhood amenities, transportation accessibility, and community development </w:t>
      </w:r>
      <w:bookmarkStart w:id="4" w:name="_GoBack"/>
      <w:bookmarkEnd w:id="4"/>
      <w:r w:rsidRPr="7C7AF33B">
        <w:rPr>
          <w:i w:val="0"/>
          <w:iCs w:val="0"/>
        </w:rPr>
        <w:t>projects influence property values.</w:t>
      </w:r>
    </w:p>
    <w:p w14:paraId="4C207256" w14:textId="45F4A3CA" w:rsidR="7A1A53AE" w:rsidRDefault="7A1A53AE" w:rsidP="00F730B0">
      <w:pPr>
        <w:pStyle w:val="ListParagraph"/>
        <w:numPr>
          <w:ilvl w:val="0"/>
          <w:numId w:val="1"/>
        </w:numPr>
        <w:jc w:val="both"/>
        <w:rPr>
          <w:i w:val="0"/>
          <w:iCs w:val="0"/>
        </w:rPr>
      </w:pPr>
      <w:r w:rsidRPr="1F329DB5">
        <w:rPr>
          <w:i w:val="0"/>
          <w:iCs w:val="0"/>
        </w:rPr>
        <w:t>Analyze the relationship between income levels, employment trends, and housing affordability to understand their impact on the local housing market.</w:t>
      </w:r>
    </w:p>
    <w:p w14:paraId="46BA9A1A" w14:textId="48170EC9" w:rsidR="56DD2BFB" w:rsidRPr="004D6D71" w:rsidRDefault="56DD2BFB" w:rsidP="00F730B0">
      <w:pPr>
        <w:pStyle w:val="ListParagraph"/>
        <w:numPr>
          <w:ilvl w:val="0"/>
          <w:numId w:val="1"/>
        </w:numPr>
        <w:jc w:val="both"/>
        <w:rPr>
          <w:i w:val="0"/>
          <w:iCs w:val="0"/>
        </w:rPr>
      </w:pPr>
      <w:r w:rsidRPr="004D6D71">
        <w:rPr>
          <w:i w:val="0"/>
        </w:rPr>
        <w:t>Explor</w:t>
      </w:r>
      <w:r w:rsidR="518F76AD" w:rsidRPr="004D6D71">
        <w:rPr>
          <w:i w:val="0"/>
        </w:rPr>
        <w:t>e</w:t>
      </w:r>
      <w:r w:rsidRPr="004D6D71">
        <w:rPr>
          <w:i w:val="0"/>
        </w:rPr>
        <w:t xml:space="preserve"> the outliers </w:t>
      </w:r>
      <w:r w:rsidR="3C5B1098" w:rsidRPr="004D6D71">
        <w:rPr>
          <w:i w:val="0"/>
        </w:rPr>
        <w:t xml:space="preserve">which </w:t>
      </w:r>
      <w:r w:rsidRPr="004D6D71">
        <w:rPr>
          <w:i w:val="0"/>
        </w:rPr>
        <w:t>can help determine if they represent data discrepancies or highlight the presence of unique, high-value properties within the CRA. This investigation will contribute to a more comprehensive understanding of the complete property value landscape within the CRA.</w:t>
      </w:r>
    </w:p>
    <w:p w14:paraId="74DFCF7C" w14:textId="37266C79" w:rsidR="005B7277" w:rsidRDefault="005B7277" w:rsidP="00F730B0">
      <w:pPr>
        <w:pStyle w:val="Heading1"/>
        <w:jc w:val="both"/>
      </w:pPr>
      <w:r>
        <w:t>Link to Visualizations</w:t>
      </w:r>
    </w:p>
    <w:p w14:paraId="46731D80" w14:textId="5C2DF86D" w:rsidR="00712B26" w:rsidRDefault="62696185" w:rsidP="00F730B0">
      <w:pPr>
        <w:jc w:val="both"/>
        <w:rPr>
          <w:i w:val="0"/>
          <w:iCs w:val="0"/>
        </w:rPr>
      </w:pPr>
      <w:r w:rsidRPr="7C7AF33B">
        <w:rPr>
          <w:i w:val="0"/>
          <w:iCs w:val="0"/>
        </w:rPr>
        <w:t>Below is the l</w:t>
      </w:r>
      <w:r w:rsidR="55F35A9B" w:rsidRPr="7C7AF33B">
        <w:rPr>
          <w:i w:val="0"/>
          <w:iCs w:val="0"/>
        </w:rPr>
        <w:t xml:space="preserve">ink to our Tableau Workbook on </w:t>
      </w:r>
      <w:r w:rsidR="0041685C">
        <w:rPr>
          <w:i w:val="0"/>
          <w:iCs w:val="0"/>
        </w:rPr>
        <w:t xml:space="preserve">the </w:t>
      </w:r>
      <w:r w:rsidR="55F35A9B" w:rsidRPr="7C7AF33B">
        <w:rPr>
          <w:i w:val="0"/>
          <w:iCs w:val="0"/>
        </w:rPr>
        <w:t>Tableau Public</w:t>
      </w:r>
      <w:r w:rsidR="0041685C">
        <w:rPr>
          <w:i w:val="0"/>
          <w:iCs w:val="0"/>
        </w:rPr>
        <w:t xml:space="preserve"> website</w:t>
      </w:r>
      <w:r w:rsidR="2F2DA1A9" w:rsidRPr="7C7AF33B">
        <w:rPr>
          <w:i w:val="0"/>
          <w:iCs w:val="0"/>
        </w:rPr>
        <w:t>.</w:t>
      </w:r>
    </w:p>
    <w:p w14:paraId="54A01E15" w14:textId="09F1A042" w:rsidR="0041685C" w:rsidRPr="0041685C" w:rsidRDefault="0041685C" w:rsidP="00F730B0">
      <w:pPr>
        <w:jc w:val="both"/>
        <w:rPr>
          <w:i w:val="0"/>
          <w:iCs w:val="0"/>
          <w:color w:val="0070C0"/>
        </w:rPr>
      </w:pPr>
      <w:hyperlink r:id="rId17" w:history="1">
        <w:r w:rsidRPr="0041685C">
          <w:rPr>
            <w:rStyle w:val="Hyperlink"/>
            <w:i w:val="0"/>
            <w:iCs w:val="0"/>
            <w:color w:val="0070C0"/>
          </w:rPr>
          <w:t>https://public.tableau.com/app/profile/eisgroup.3/vizzes</w:t>
        </w:r>
      </w:hyperlink>
    </w:p>
    <w:p w14:paraId="1B3135E3" w14:textId="69BEEC7B" w:rsidR="00287C01" w:rsidRDefault="7C0442DE" w:rsidP="00F730B0">
      <w:pPr>
        <w:pStyle w:val="Heading1"/>
        <w:jc w:val="both"/>
      </w:pPr>
      <w:r>
        <w:t>Appendix</w:t>
      </w:r>
    </w:p>
    <w:p w14:paraId="3C28BB8C" w14:textId="0194BEA3" w:rsidR="2A4F88E5" w:rsidRPr="00364D7A" w:rsidRDefault="2A4F88E5" w:rsidP="00F730B0">
      <w:pPr>
        <w:jc w:val="both"/>
        <w:rPr>
          <w:b/>
          <w:bCs/>
          <w:i w:val="0"/>
          <w:iCs w:val="0"/>
        </w:rPr>
      </w:pPr>
      <w:r w:rsidRPr="01015ED6">
        <w:rPr>
          <w:b/>
          <w:bCs/>
          <w:i w:val="0"/>
          <w:iCs w:val="0"/>
        </w:rPr>
        <w:t xml:space="preserve">Median </w:t>
      </w:r>
      <w:r w:rsidR="6AA00E88" w:rsidRPr="01015ED6">
        <w:rPr>
          <w:b/>
          <w:bCs/>
          <w:i w:val="0"/>
          <w:iCs w:val="0"/>
        </w:rPr>
        <w:t>Visualizations:</w:t>
      </w:r>
      <w:r w:rsidR="58EF06FB" w:rsidRPr="01015ED6">
        <w:rPr>
          <w:b/>
          <w:bCs/>
          <w:i w:val="0"/>
          <w:iCs w:val="0"/>
        </w:rPr>
        <w:t xml:space="preserve"> </w:t>
      </w:r>
    </w:p>
    <w:p w14:paraId="55AD561C" w14:textId="6C8782AD" w:rsidR="092297A4" w:rsidRDefault="092297A4" w:rsidP="00F730B0">
      <w:pPr>
        <w:jc w:val="both"/>
      </w:pPr>
    </w:p>
    <w:p w14:paraId="18A86E3B" w14:textId="4A0BAAA1" w:rsidR="2C0C07BF" w:rsidRDefault="2C0C07BF" w:rsidP="00F730B0">
      <w:pPr>
        <w:jc w:val="both"/>
        <w:rPr>
          <w:b/>
          <w:bCs/>
          <w:i w:val="0"/>
          <w:iCs w:val="0"/>
        </w:rPr>
      </w:pPr>
      <w:r w:rsidRPr="01015ED6">
        <w:rPr>
          <w:b/>
          <w:bCs/>
          <w:i w:val="0"/>
          <w:iCs w:val="0"/>
        </w:rPr>
        <w:lastRenderedPageBreak/>
        <w:t>For all strictly residential properties:</w:t>
      </w:r>
    </w:p>
    <w:p w14:paraId="23CA68E6" w14:textId="473F0E79" w:rsidR="092297A4" w:rsidRDefault="092297A4" w:rsidP="00F730B0">
      <w:pPr>
        <w:jc w:val="both"/>
      </w:pPr>
      <w:r>
        <w:rPr>
          <w:noProof/>
        </w:rPr>
        <w:drawing>
          <wp:inline distT="0" distB="0" distL="0" distR="0" wp14:anchorId="638E40F9" wp14:editId="64377894">
            <wp:extent cx="4027588" cy="2233246"/>
            <wp:effectExtent l="0" t="0" r="0" b="0"/>
            <wp:docPr id="1002437964" name="Picture 100243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588" cy="2233246"/>
                    </a:xfrm>
                    <a:prstGeom prst="rect">
                      <a:avLst/>
                    </a:prstGeom>
                  </pic:spPr>
                </pic:pic>
              </a:graphicData>
            </a:graphic>
          </wp:inline>
        </w:drawing>
      </w:r>
    </w:p>
    <w:p w14:paraId="106B3D47" w14:textId="77777777" w:rsidR="00F730B0" w:rsidRDefault="00F730B0" w:rsidP="00F730B0">
      <w:pPr>
        <w:jc w:val="both"/>
        <w:rPr>
          <w:b/>
          <w:bCs/>
          <w:i w:val="0"/>
          <w:iCs w:val="0"/>
        </w:rPr>
      </w:pPr>
    </w:p>
    <w:p w14:paraId="642677D5" w14:textId="0B31C9F9" w:rsidR="03A3495B" w:rsidRDefault="03A3495B" w:rsidP="00F730B0">
      <w:pPr>
        <w:jc w:val="both"/>
        <w:rPr>
          <w:b/>
          <w:bCs/>
          <w:i w:val="0"/>
          <w:iCs w:val="0"/>
        </w:rPr>
      </w:pPr>
      <w:r w:rsidRPr="01015ED6">
        <w:rPr>
          <w:b/>
          <w:bCs/>
          <w:i w:val="0"/>
          <w:iCs w:val="0"/>
        </w:rPr>
        <w:t xml:space="preserve">For all single-family residential properties: </w:t>
      </w:r>
    </w:p>
    <w:p w14:paraId="2EA1093B" w14:textId="3917B209" w:rsidR="092297A4" w:rsidRDefault="092297A4" w:rsidP="00F730B0">
      <w:pPr>
        <w:jc w:val="both"/>
      </w:pPr>
      <w:r>
        <w:rPr>
          <w:noProof/>
        </w:rPr>
        <w:drawing>
          <wp:inline distT="0" distB="0" distL="0" distR="0" wp14:anchorId="5DBB376F" wp14:editId="23CC0062">
            <wp:extent cx="3989236" cy="2009775"/>
            <wp:effectExtent l="0" t="0" r="0" b="0"/>
            <wp:docPr id="1827821448" name="Picture 182782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9236" cy="2009775"/>
                    </a:xfrm>
                    <a:prstGeom prst="rect">
                      <a:avLst/>
                    </a:prstGeom>
                  </pic:spPr>
                </pic:pic>
              </a:graphicData>
            </a:graphic>
          </wp:inline>
        </w:drawing>
      </w:r>
    </w:p>
    <w:p w14:paraId="14328950" w14:textId="6E2C4942" w:rsidR="01015ED6" w:rsidRPr="00F730B0" w:rsidRDefault="011AE025" w:rsidP="00F730B0">
      <w:pPr>
        <w:jc w:val="both"/>
        <w:rPr>
          <w:b/>
          <w:bCs/>
          <w:i w:val="0"/>
          <w:iCs w:val="0"/>
        </w:rPr>
      </w:pPr>
      <w:r w:rsidRPr="01015ED6">
        <w:rPr>
          <w:b/>
          <w:bCs/>
          <w:i w:val="0"/>
          <w:iCs w:val="0"/>
        </w:rPr>
        <w:t>For single-family residential properties that are NOT homesteaded:</w:t>
      </w:r>
    </w:p>
    <w:p w14:paraId="675558E8" w14:textId="63B9F919" w:rsidR="092297A4" w:rsidRDefault="092297A4" w:rsidP="00F730B0">
      <w:pPr>
        <w:jc w:val="both"/>
      </w:pPr>
      <w:r>
        <w:rPr>
          <w:noProof/>
        </w:rPr>
        <w:drawing>
          <wp:inline distT="0" distB="0" distL="0" distR="0" wp14:anchorId="19666A49" wp14:editId="655FB5BD">
            <wp:extent cx="3971925" cy="2342418"/>
            <wp:effectExtent l="0" t="0" r="0" b="0"/>
            <wp:docPr id="1986154929" name="Picture 198615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1925" cy="2342418"/>
                    </a:xfrm>
                    <a:prstGeom prst="rect">
                      <a:avLst/>
                    </a:prstGeom>
                  </pic:spPr>
                </pic:pic>
              </a:graphicData>
            </a:graphic>
          </wp:inline>
        </w:drawing>
      </w:r>
    </w:p>
    <w:p w14:paraId="077CF916" w14:textId="7E57A460" w:rsidR="5096C8D4" w:rsidRDefault="5096C8D4" w:rsidP="00F730B0">
      <w:pPr>
        <w:jc w:val="both"/>
        <w:rPr>
          <w:b/>
          <w:bCs/>
          <w:i w:val="0"/>
          <w:iCs w:val="0"/>
        </w:rPr>
      </w:pPr>
      <w:r w:rsidRPr="01015ED6">
        <w:rPr>
          <w:b/>
          <w:bCs/>
          <w:i w:val="0"/>
          <w:iCs w:val="0"/>
        </w:rPr>
        <w:lastRenderedPageBreak/>
        <w:t xml:space="preserve">For single-family residential properties and missing middle properties: </w:t>
      </w:r>
    </w:p>
    <w:p w14:paraId="5DA4EAB2" w14:textId="61B1A690" w:rsidR="092297A4" w:rsidRDefault="092297A4" w:rsidP="00F730B0">
      <w:pPr>
        <w:jc w:val="both"/>
      </w:pPr>
      <w:r>
        <w:rPr>
          <w:noProof/>
        </w:rPr>
        <w:drawing>
          <wp:inline distT="0" distB="0" distL="0" distR="0" wp14:anchorId="1BCEB026" wp14:editId="4A93F53C">
            <wp:extent cx="4206240" cy="2547620"/>
            <wp:effectExtent l="0" t="0" r="0" b="5080"/>
            <wp:docPr id="1177767445" name="Picture 11777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043" cy="2555980"/>
                    </a:xfrm>
                    <a:prstGeom prst="rect">
                      <a:avLst/>
                    </a:prstGeom>
                  </pic:spPr>
                </pic:pic>
              </a:graphicData>
            </a:graphic>
          </wp:inline>
        </w:drawing>
      </w:r>
    </w:p>
    <w:p w14:paraId="47D4E939" w14:textId="77777777" w:rsidR="00364D7A" w:rsidRDefault="00364D7A" w:rsidP="00F730B0">
      <w:pPr>
        <w:jc w:val="both"/>
      </w:pPr>
    </w:p>
    <w:p w14:paraId="2E818BE0" w14:textId="4535A605" w:rsidR="472893FC" w:rsidRDefault="472893FC" w:rsidP="00F730B0">
      <w:pPr>
        <w:jc w:val="both"/>
      </w:pPr>
      <w:r>
        <w:rPr>
          <w:noProof/>
        </w:rPr>
        <w:drawing>
          <wp:inline distT="0" distB="0" distL="0" distR="0" wp14:anchorId="153E1FEB" wp14:editId="41C665F9">
            <wp:extent cx="4286252" cy="2143125"/>
            <wp:effectExtent l="0" t="0" r="0" b="0"/>
            <wp:docPr id="1462243253" name="Picture 146224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6252" cy="2143125"/>
                    </a:xfrm>
                    <a:prstGeom prst="rect">
                      <a:avLst/>
                    </a:prstGeom>
                  </pic:spPr>
                </pic:pic>
              </a:graphicData>
            </a:graphic>
          </wp:inline>
        </w:drawing>
      </w:r>
    </w:p>
    <w:p w14:paraId="5DC357EF" w14:textId="1ECCFE94" w:rsidR="472893FC" w:rsidRDefault="472893FC" w:rsidP="00F730B0">
      <w:pPr>
        <w:jc w:val="both"/>
      </w:pPr>
      <w:r>
        <w:rPr>
          <w:noProof/>
        </w:rPr>
        <w:drawing>
          <wp:inline distT="0" distB="0" distL="0" distR="0" wp14:anchorId="7F513B40" wp14:editId="03CC2AD6">
            <wp:extent cx="4425696" cy="2446020"/>
            <wp:effectExtent l="0" t="0" r="0" b="5080"/>
            <wp:docPr id="25929299" name="Picture 2592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5142" cy="2451241"/>
                    </a:xfrm>
                    <a:prstGeom prst="rect">
                      <a:avLst/>
                    </a:prstGeom>
                  </pic:spPr>
                </pic:pic>
              </a:graphicData>
            </a:graphic>
          </wp:inline>
        </w:drawing>
      </w:r>
    </w:p>
    <w:p w14:paraId="30B48747" w14:textId="79FAC2E6" w:rsidR="55FD5C04" w:rsidRDefault="55FD5C04" w:rsidP="00F730B0">
      <w:pPr>
        <w:jc w:val="both"/>
      </w:pPr>
      <w:r>
        <w:rPr>
          <w:noProof/>
        </w:rPr>
        <w:lastRenderedPageBreak/>
        <w:drawing>
          <wp:inline distT="0" distB="0" distL="0" distR="0" wp14:anchorId="69718B5F" wp14:editId="5CC3B60D">
            <wp:extent cx="4305300" cy="2421731"/>
            <wp:effectExtent l="0" t="0" r="0" b="0"/>
            <wp:docPr id="2020647449" name="Picture 202064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5300" cy="2421731"/>
                    </a:xfrm>
                    <a:prstGeom prst="rect">
                      <a:avLst/>
                    </a:prstGeom>
                  </pic:spPr>
                </pic:pic>
              </a:graphicData>
            </a:graphic>
          </wp:inline>
        </w:drawing>
      </w:r>
    </w:p>
    <w:sectPr w:rsidR="55FD5C0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5583A" w14:textId="77777777" w:rsidR="00B45AE7" w:rsidRDefault="00B45AE7" w:rsidP="00712B26">
      <w:pPr>
        <w:spacing w:after="0" w:line="240" w:lineRule="auto"/>
      </w:pPr>
      <w:r>
        <w:separator/>
      </w:r>
    </w:p>
  </w:endnote>
  <w:endnote w:type="continuationSeparator" w:id="0">
    <w:p w14:paraId="550F00D9" w14:textId="77777777" w:rsidR="00B45AE7" w:rsidRDefault="00B45AE7" w:rsidP="00712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D424" w14:textId="77777777" w:rsidR="00364D7A" w:rsidRDefault="00364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1CDAF" w14:textId="74EC58AC" w:rsidR="707AE7F3" w:rsidRPr="0041685C" w:rsidRDefault="707AE7F3" w:rsidP="707AE7F3">
    <w:pPr>
      <w:pStyle w:val="Footer"/>
      <w:rPr>
        <w:color w:val="FF0000"/>
        <w:lang w:val="sv-SE"/>
      </w:rPr>
    </w:pPr>
    <w:r w:rsidRPr="0041685C">
      <w:rPr>
        <w:color w:val="FF0000"/>
        <w:lang w:val="sv-SE"/>
      </w:rPr>
      <w:t>Prathyusha Thummalapalli ,Safrin Patil, Alexandra Harde, Venkata Sai Satvik Reddy Tanuboddi, Sudeep Kakarla</w:t>
    </w:r>
  </w:p>
  <w:p w14:paraId="751F7A8D" w14:textId="361FA8DA" w:rsidR="707AE7F3" w:rsidRPr="0041685C" w:rsidRDefault="707AE7F3" w:rsidP="707AE7F3">
    <w:pPr>
      <w:pStyle w:val="Footer"/>
      <w:rPr>
        <w:color w:val="FF0000"/>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53194" w14:textId="77777777" w:rsidR="00364D7A" w:rsidRDefault="00364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AEB54" w14:textId="77777777" w:rsidR="00B45AE7" w:rsidRDefault="00B45AE7" w:rsidP="00712B26">
      <w:pPr>
        <w:spacing w:after="0" w:line="240" w:lineRule="auto"/>
      </w:pPr>
      <w:r>
        <w:separator/>
      </w:r>
    </w:p>
  </w:footnote>
  <w:footnote w:type="continuationSeparator" w:id="0">
    <w:p w14:paraId="20B08157" w14:textId="77777777" w:rsidR="00B45AE7" w:rsidRDefault="00B45AE7" w:rsidP="00712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589C" w14:textId="77777777" w:rsidR="00364D7A" w:rsidRDefault="00364D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A6C68" w14:textId="77777777" w:rsidR="00364D7A" w:rsidRDefault="00364D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6636F" w14:textId="77777777" w:rsidR="00364D7A" w:rsidRDefault="00364D7A">
    <w:pPr>
      <w:pStyle w:val="Header"/>
    </w:pPr>
  </w:p>
</w:hdr>
</file>

<file path=word/intelligence2.xml><?xml version="1.0" encoding="utf-8"?>
<int2:intelligence xmlns:int2="http://schemas.microsoft.com/office/intelligence/2020/intelligence" xmlns:oel="http://schemas.microsoft.com/office/2019/extlst">
  <int2:observations>
    <int2:textHash int2:hashCode="AEsDcr+OhpalWv" int2:id="fubbMGQK">
      <int2:state int2:value="Rejected" int2:type="AugLoop_Text_Critique"/>
    </int2:textHash>
    <int2:textHash int2:hashCode="oTGxwwJ9aVDsOk" int2:id="RDpZ9o4c">
      <int2:state int2:value="Rejected" int2:type="AugLoop_Text_Critique"/>
    </int2:textHash>
    <int2:bookmark int2:bookmarkName="_Int_CbSvYPVA" int2:invalidationBookmarkName="" int2:hashCode="JhoM56oiDNYlw2" int2:id="ijxCLISt">
      <int2:state int2:value="Rejected" int2:type="AugLoop_Text_Critique"/>
    </int2:bookmark>
    <int2:bookmark int2:bookmarkName="_Int_vyyGavJg" int2:invalidationBookmarkName="" int2:hashCode="maS+KK4PEzqNKd" int2:id="ecdV3j7J">
      <int2:state int2:value="Rejected" int2:type="AugLoop_Text_Critique"/>
    </int2:bookmark>
    <int2:bookmark int2:bookmarkName="_Int_eeyI3jdj" int2:invalidationBookmarkName="" int2:hashCode="6250ymz+lgWVoO" int2:id="paAF4JGW">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5E50"/>
    <w:multiLevelType w:val="hybridMultilevel"/>
    <w:tmpl w:val="30D01588"/>
    <w:lvl w:ilvl="0" w:tplc="7B863402">
      <w:start w:val="1"/>
      <w:numFmt w:val="bullet"/>
      <w:lvlText w:val=""/>
      <w:lvlJc w:val="left"/>
      <w:pPr>
        <w:ind w:left="720" w:hanging="360"/>
      </w:pPr>
      <w:rPr>
        <w:rFonts w:ascii="Wingdings" w:hAnsi="Wingdings" w:hint="default"/>
      </w:rPr>
    </w:lvl>
    <w:lvl w:ilvl="1" w:tplc="77567C7E">
      <w:start w:val="1"/>
      <w:numFmt w:val="bullet"/>
      <w:lvlText w:val="o"/>
      <w:lvlJc w:val="left"/>
      <w:pPr>
        <w:ind w:left="1440" w:hanging="360"/>
      </w:pPr>
      <w:rPr>
        <w:rFonts w:ascii="Courier New" w:hAnsi="Courier New" w:hint="default"/>
      </w:rPr>
    </w:lvl>
    <w:lvl w:ilvl="2" w:tplc="6B564450">
      <w:start w:val="1"/>
      <w:numFmt w:val="bullet"/>
      <w:lvlText w:val=""/>
      <w:lvlJc w:val="left"/>
      <w:pPr>
        <w:ind w:left="2160" w:hanging="360"/>
      </w:pPr>
      <w:rPr>
        <w:rFonts w:ascii="Wingdings" w:hAnsi="Wingdings" w:hint="default"/>
      </w:rPr>
    </w:lvl>
    <w:lvl w:ilvl="3" w:tplc="451EEFDE">
      <w:start w:val="1"/>
      <w:numFmt w:val="bullet"/>
      <w:lvlText w:val=""/>
      <w:lvlJc w:val="left"/>
      <w:pPr>
        <w:ind w:left="2880" w:hanging="360"/>
      </w:pPr>
      <w:rPr>
        <w:rFonts w:ascii="Symbol" w:hAnsi="Symbol" w:hint="default"/>
      </w:rPr>
    </w:lvl>
    <w:lvl w:ilvl="4" w:tplc="C896D488">
      <w:start w:val="1"/>
      <w:numFmt w:val="bullet"/>
      <w:lvlText w:val="o"/>
      <w:lvlJc w:val="left"/>
      <w:pPr>
        <w:ind w:left="3600" w:hanging="360"/>
      </w:pPr>
      <w:rPr>
        <w:rFonts w:ascii="Courier New" w:hAnsi="Courier New" w:hint="default"/>
      </w:rPr>
    </w:lvl>
    <w:lvl w:ilvl="5" w:tplc="0EA2D2E0">
      <w:start w:val="1"/>
      <w:numFmt w:val="bullet"/>
      <w:lvlText w:val=""/>
      <w:lvlJc w:val="left"/>
      <w:pPr>
        <w:ind w:left="4320" w:hanging="360"/>
      </w:pPr>
      <w:rPr>
        <w:rFonts w:ascii="Wingdings" w:hAnsi="Wingdings" w:hint="default"/>
      </w:rPr>
    </w:lvl>
    <w:lvl w:ilvl="6" w:tplc="87122380">
      <w:start w:val="1"/>
      <w:numFmt w:val="bullet"/>
      <w:lvlText w:val=""/>
      <w:lvlJc w:val="left"/>
      <w:pPr>
        <w:ind w:left="5040" w:hanging="360"/>
      </w:pPr>
      <w:rPr>
        <w:rFonts w:ascii="Symbol" w:hAnsi="Symbol" w:hint="default"/>
      </w:rPr>
    </w:lvl>
    <w:lvl w:ilvl="7" w:tplc="2D3A54D0">
      <w:start w:val="1"/>
      <w:numFmt w:val="bullet"/>
      <w:lvlText w:val="o"/>
      <w:lvlJc w:val="left"/>
      <w:pPr>
        <w:ind w:left="5760" w:hanging="360"/>
      </w:pPr>
      <w:rPr>
        <w:rFonts w:ascii="Courier New" w:hAnsi="Courier New" w:hint="default"/>
      </w:rPr>
    </w:lvl>
    <w:lvl w:ilvl="8" w:tplc="0682E2BA">
      <w:start w:val="1"/>
      <w:numFmt w:val="bullet"/>
      <w:lvlText w:val=""/>
      <w:lvlJc w:val="left"/>
      <w:pPr>
        <w:ind w:left="6480" w:hanging="360"/>
      </w:pPr>
      <w:rPr>
        <w:rFonts w:ascii="Wingdings" w:hAnsi="Wingdings" w:hint="default"/>
      </w:rPr>
    </w:lvl>
  </w:abstractNum>
  <w:abstractNum w:abstractNumId="1" w15:restartNumberingAfterBreak="0">
    <w:nsid w:val="11F269AE"/>
    <w:multiLevelType w:val="hybridMultilevel"/>
    <w:tmpl w:val="EC96DCC6"/>
    <w:lvl w:ilvl="0" w:tplc="37B2F452">
      <w:start w:val="1"/>
      <w:numFmt w:val="decimal"/>
      <w:lvlText w:val="%1)"/>
      <w:lvlJc w:val="left"/>
      <w:pPr>
        <w:ind w:left="720" w:hanging="360"/>
      </w:pPr>
    </w:lvl>
    <w:lvl w:ilvl="1" w:tplc="AB9AAB22">
      <w:start w:val="1"/>
      <w:numFmt w:val="lowerLetter"/>
      <w:lvlText w:val="%2."/>
      <w:lvlJc w:val="left"/>
      <w:pPr>
        <w:ind w:left="1440" w:hanging="360"/>
      </w:pPr>
    </w:lvl>
    <w:lvl w:ilvl="2" w:tplc="A5F40FC4">
      <w:start w:val="1"/>
      <w:numFmt w:val="lowerRoman"/>
      <w:lvlText w:val="%3."/>
      <w:lvlJc w:val="right"/>
      <w:pPr>
        <w:ind w:left="2160" w:hanging="180"/>
      </w:pPr>
    </w:lvl>
    <w:lvl w:ilvl="3" w:tplc="4A3EB642">
      <w:start w:val="1"/>
      <w:numFmt w:val="decimal"/>
      <w:lvlText w:val="%4."/>
      <w:lvlJc w:val="left"/>
      <w:pPr>
        <w:ind w:left="2880" w:hanging="360"/>
      </w:pPr>
    </w:lvl>
    <w:lvl w:ilvl="4" w:tplc="BAF27692">
      <w:start w:val="1"/>
      <w:numFmt w:val="lowerLetter"/>
      <w:lvlText w:val="%5."/>
      <w:lvlJc w:val="left"/>
      <w:pPr>
        <w:ind w:left="3600" w:hanging="360"/>
      </w:pPr>
    </w:lvl>
    <w:lvl w:ilvl="5" w:tplc="50AEA274">
      <w:start w:val="1"/>
      <w:numFmt w:val="lowerRoman"/>
      <w:lvlText w:val="%6."/>
      <w:lvlJc w:val="right"/>
      <w:pPr>
        <w:ind w:left="4320" w:hanging="180"/>
      </w:pPr>
    </w:lvl>
    <w:lvl w:ilvl="6" w:tplc="DA36F33C">
      <w:start w:val="1"/>
      <w:numFmt w:val="decimal"/>
      <w:lvlText w:val="%7."/>
      <w:lvlJc w:val="left"/>
      <w:pPr>
        <w:ind w:left="5040" w:hanging="360"/>
      </w:pPr>
    </w:lvl>
    <w:lvl w:ilvl="7" w:tplc="CECA973A">
      <w:start w:val="1"/>
      <w:numFmt w:val="lowerLetter"/>
      <w:lvlText w:val="%8."/>
      <w:lvlJc w:val="left"/>
      <w:pPr>
        <w:ind w:left="5760" w:hanging="360"/>
      </w:pPr>
    </w:lvl>
    <w:lvl w:ilvl="8" w:tplc="39944FD6">
      <w:start w:val="1"/>
      <w:numFmt w:val="lowerRoman"/>
      <w:lvlText w:val="%9."/>
      <w:lvlJc w:val="right"/>
      <w:pPr>
        <w:ind w:left="6480" w:hanging="180"/>
      </w:pPr>
    </w:lvl>
  </w:abstractNum>
  <w:abstractNum w:abstractNumId="2" w15:restartNumberingAfterBreak="0">
    <w:nsid w:val="123708B7"/>
    <w:multiLevelType w:val="hybridMultilevel"/>
    <w:tmpl w:val="427C07E2"/>
    <w:lvl w:ilvl="0" w:tplc="DD021A1E">
      <w:start w:val="1"/>
      <w:numFmt w:val="bullet"/>
      <w:lvlText w:val=""/>
      <w:lvlJc w:val="left"/>
      <w:pPr>
        <w:ind w:left="720" w:hanging="360"/>
      </w:pPr>
      <w:rPr>
        <w:rFonts w:ascii="Wingdings" w:hAnsi="Wingdings" w:hint="default"/>
      </w:rPr>
    </w:lvl>
    <w:lvl w:ilvl="1" w:tplc="43FA3E64">
      <w:start w:val="1"/>
      <w:numFmt w:val="bullet"/>
      <w:lvlText w:val="o"/>
      <w:lvlJc w:val="left"/>
      <w:pPr>
        <w:ind w:left="1440" w:hanging="360"/>
      </w:pPr>
      <w:rPr>
        <w:rFonts w:ascii="Courier New" w:hAnsi="Courier New" w:hint="default"/>
      </w:rPr>
    </w:lvl>
    <w:lvl w:ilvl="2" w:tplc="0B5AD9F4">
      <w:start w:val="1"/>
      <w:numFmt w:val="bullet"/>
      <w:lvlText w:val=""/>
      <w:lvlJc w:val="left"/>
      <w:pPr>
        <w:ind w:left="2160" w:hanging="360"/>
      </w:pPr>
      <w:rPr>
        <w:rFonts w:ascii="Wingdings" w:hAnsi="Wingdings" w:hint="default"/>
      </w:rPr>
    </w:lvl>
    <w:lvl w:ilvl="3" w:tplc="FB42CD44">
      <w:start w:val="1"/>
      <w:numFmt w:val="bullet"/>
      <w:lvlText w:val=""/>
      <w:lvlJc w:val="left"/>
      <w:pPr>
        <w:ind w:left="2880" w:hanging="360"/>
      </w:pPr>
      <w:rPr>
        <w:rFonts w:ascii="Symbol" w:hAnsi="Symbol" w:hint="default"/>
      </w:rPr>
    </w:lvl>
    <w:lvl w:ilvl="4" w:tplc="5C242BA6">
      <w:start w:val="1"/>
      <w:numFmt w:val="bullet"/>
      <w:lvlText w:val="o"/>
      <w:lvlJc w:val="left"/>
      <w:pPr>
        <w:ind w:left="3600" w:hanging="360"/>
      </w:pPr>
      <w:rPr>
        <w:rFonts w:ascii="Courier New" w:hAnsi="Courier New" w:hint="default"/>
      </w:rPr>
    </w:lvl>
    <w:lvl w:ilvl="5" w:tplc="E1AAD048">
      <w:start w:val="1"/>
      <w:numFmt w:val="bullet"/>
      <w:lvlText w:val=""/>
      <w:lvlJc w:val="left"/>
      <w:pPr>
        <w:ind w:left="4320" w:hanging="360"/>
      </w:pPr>
      <w:rPr>
        <w:rFonts w:ascii="Wingdings" w:hAnsi="Wingdings" w:hint="default"/>
      </w:rPr>
    </w:lvl>
    <w:lvl w:ilvl="6" w:tplc="F8CC5C78">
      <w:start w:val="1"/>
      <w:numFmt w:val="bullet"/>
      <w:lvlText w:val=""/>
      <w:lvlJc w:val="left"/>
      <w:pPr>
        <w:ind w:left="5040" w:hanging="360"/>
      </w:pPr>
      <w:rPr>
        <w:rFonts w:ascii="Symbol" w:hAnsi="Symbol" w:hint="default"/>
      </w:rPr>
    </w:lvl>
    <w:lvl w:ilvl="7" w:tplc="D916C60A">
      <w:start w:val="1"/>
      <w:numFmt w:val="bullet"/>
      <w:lvlText w:val="o"/>
      <w:lvlJc w:val="left"/>
      <w:pPr>
        <w:ind w:left="5760" w:hanging="360"/>
      </w:pPr>
      <w:rPr>
        <w:rFonts w:ascii="Courier New" w:hAnsi="Courier New" w:hint="default"/>
      </w:rPr>
    </w:lvl>
    <w:lvl w:ilvl="8" w:tplc="0B5AC89C">
      <w:start w:val="1"/>
      <w:numFmt w:val="bullet"/>
      <w:lvlText w:val=""/>
      <w:lvlJc w:val="left"/>
      <w:pPr>
        <w:ind w:left="6480" w:hanging="360"/>
      </w:pPr>
      <w:rPr>
        <w:rFonts w:ascii="Wingdings" w:hAnsi="Wingdings" w:hint="default"/>
      </w:rPr>
    </w:lvl>
  </w:abstractNum>
  <w:abstractNum w:abstractNumId="3" w15:restartNumberingAfterBreak="0">
    <w:nsid w:val="3098332D"/>
    <w:multiLevelType w:val="hybridMultilevel"/>
    <w:tmpl w:val="64FA65EE"/>
    <w:lvl w:ilvl="0" w:tplc="C7663446">
      <w:start w:val="1"/>
      <w:numFmt w:val="bullet"/>
      <w:lvlText w:val=""/>
      <w:lvlJc w:val="left"/>
      <w:pPr>
        <w:ind w:left="1080" w:hanging="360"/>
      </w:pPr>
      <w:rPr>
        <w:rFonts w:ascii="Wingdings" w:hAnsi="Wingdings" w:hint="default"/>
      </w:rPr>
    </w:lvl>
    <w:lvl w:ilvl="1" w:tplc="DBF4A2C8">
      <w:start w:val="1"/>
      <w:numFmt w:val="bullet"/>
      <w:lvlText w:val="o"/>
      <w:lvlJc w:val="left"/>
      <w:pPr>
        <w:ind w:left="1800" w:hanging="360"/>
      </w:pPr>
      <w:rPr>
        <w:rFonts w:ascii="Courier New" w:hAnsi="Courier New" w:hint="default"/>
      </w:rPr>
    </w:lvl>
    <w:lvl w:ilvl="2" w:tplc="4AF2A596">
      <w:start w:val="1"/>
      <w:numFmt w:val="bullet"/>
      <w:lvlText w:val=""/>
      <w:lvlJc w:val="left"/>
      <w:pPr>
        <w:ind w:left="2520" w:hanging="360"/>
      </w:pPr>
      <w:rPr>
        <w:rFonts w:ascii="Wingdings" w:hAnsi="Wingdings" w:hint="default"/>
      </w:rPr>
    </w:lvl>
    <w:lvl w:ilvl="3" w:tplc="07489E9E">
      <w:start w:val="1"/>
      <w:numFmt w:val="bullet"/>
      <w:lvlText w:val=""/>
      <w:lvlJc w:val="left"/>
      <w:pPr>
        <w:ind w:left="3240" w:hanging="360"/>
      </w:pPr>
      <w:rPr>
        <w:rFonts w:ascii="Symbol" w:hAnsi="Symbol" w:hint="default"/>
      </w:rPr>
    </w:lvl>
    <w:lvl w:ilvl="4" w:tplc="B2C4BA4E">
      <w:start w:val="1"/>
      <w:numFmt w:val="bullet"/>
      <w:lvlText w:val="o"/>
      <w:lvlJc w:val="left"/>
      <w:pPr>
        <w:ind w:left="3960" w:hanging="360"/>
      </w:pPr>
      <w:rPr>
        <w:rFonts w:ascii="Courier New" w:hAnsi="Courier New" w:hint="default"/>
      </w:rPr>
    </w:lvl>
    <w:lvl w:ilvl="5" w:tplc="DB028112">
      <w:start w:val="1"/>
      <w:numFmt w:val="bullet"/>
      <w:lvlText w:val=""/>
      <w:lvlJc w:val="left"/>
      <w:pPr>
        <w:ind w:left="4680" w:hanging="360"/>
      </w:pPr>
      <w:rPr>
        <w:rFonts w:ascii="Wingdings" w:hAnsi="Wingdings" w:hint="default"/>
      </w:rPr>
    </w:lvl>
    <w:lvl w:ilvl="6" w:tplc="36FCBD4C">
      <w:start w:val="1"/>
      <w:numFmt w:val="bullet"/>
      <w:lvlText w:val=""/>
      <w:lvlJc w:val="left"/>
      <w:pPr>
        <w:ind w:left="5400" w:hanging="360"/>
      </w:pPr>
      <w:rPr>
        <w:rFonts w:ascii="Symbol" w:hAnsi="Symbol" w:hint="default"/>
      </w:rPr>
    </w:lvl>
    <w:lvl w:ilvl="7" w:tplc="9168BDA0">
      <w:start w:val="1"/>
      <w:numFmt w:val="bullet"/>
      <w:lvlText w:val="o"/>
      <w:lvlJc w:val="left"/>
      <w:pPr>
        <w:ind w:left="6120" w:hanging="360"/>
      </w:pPr>
      <w:rPr>
        <w:rFonts w:ascii="Courier New" w:hAnsi="Courier New" w:hint="default"/>
      </w:rPr>
    </w:lvl>
    <w:lvl w:ilvl="8" w:tplc="1BA26F54">
      <w:start w:val="1"/>
      <w:numFmt w:val="bullet"/>
      <w:lvlText w:val=""/>
      <w:lvlJc w:val="left"/>
      <w:pPr>
        <w:ind w:left="6840" w:hanging="360"/>
      </w:pPr>
      <w:rPr>
        <w:rFonts w:ascii="Wingdings" w:hAnsi="Wingdings" w:hint="default"/>
      </w:rPr>
    </w:lvl>
  </w:abstractNum>
  <w:abstractNum w:abstractNumId="4" w15:restartNumberingAfterBreak="0">
    <w:nsid w:val="3CB3FBCC"/>
    <w:multiLevelType w:val="hybridMultilevel"/>
    <w:tmpl w:val="0DB8B40A"/>
    <w:lvl w:ilvl="0" w:tplc="7116FD9E">
      <w:start w:val="1"/>
      <w:numFmt w:val="bullet"/>
      <w:lvlText w:val=""/>
      <w:lvlJc w:val="left"/>
      <w:pPr>
        <w:ind w:left="720" w:hanging="360"/>
      </w:pPr>
      <w:rPr>
        <w:rFonts w:ascii="Wingdings" w:hAnsi="Wingdings" w:hint="default"/>
      </w:rPr>
    </w:lvl>
    <w:lvl w:ilvl="1" w:tplc="54825D6A">
      <w:start w:val="1"/>
      <w:numFmt w:val="bullet"/>
      <w:lvlText w:val="o"/>
      <w:lvlJc w:val="left"/>
      <w:pPr>
        <w:ind w:left="1440" w:hanging="360"/>
      </w:pPr>
      <w:rPr>
        <w:rFonts w:ascii="Courier New" w:hAnsi="Courier New" w:hint="default"/>
      </w:rPr>
    </w:lvl>
    <w:lvl w:ilvl="2" w:tplc="105287E4">
      <w:start w:val="1"/>
      <w:numFmt w:val="bullet"/>
      <w:lvlText w:val=""/>
      <w:lvlJc w:val="left"/>
      <w:pPr>
        <w:ind w:left="2160" w:hanging="360"/>
      </w:pPr>
      <w:rPr>
        <w:rFonts w:ascii="Wingdings" w:hAnsi="Wingdings" w:hint="default"/>
      </w:rPr>
    </w:lvl>
    <w:lvl w:ilvl="3" w:tplc="DF288AF8">
      <w:start w:val="1"/>
      <w:numFmt w:val="bullet"/>
      <w:lvlText w:val=""/>
      <w:lvlJc w:val="left"/>
      <w:pPr>
        <w:ind w:left="2880" w:hanging="360"/>
      </w:pPr>
      <w:rPr>
        <w:rFonts w:ascii="Symbol" w:hAnsi="Symbol" w:hint="default"/>
      </w:rPr>
    </w:lvl>
    <w:lvl w:ilvl="4" w:tplc="B4B04974">
      <w:start w:val="1"/>
      <w:numFmt w:val="bullet"/>
      <w:lvlText w:val="o"/>
      <w:lvlJc w:val="left"/>
      <w:pPr>
        <w:ind w:left="3600" w:hanging="360"/>
      </w:pPr>
      <w:rPr>
        <w:rFonts w:ascii="Courier New" w:hAnsi="Courier New" w:hint="default"/>
      </w:rPr>
    </w:lvl>
    <w:lvl w:ilvl="5" w:tplc="678CEE56">
      <w:start w:val="1"/>
      <w:numFmt w:val="bullet"/>
      <w:lvlText w:val=""/>
      <w:lvlJc w:val="left"/>
      <w:pPr>
        <w:ind w:left="4320" w:hanging="360"/>
      </w:pPr>
      <w:rPr>
        <w:rFonts w:ascii="Wingdings" w:hAnsi="Wingdings" w:hint="default"/>
      </w:rPr>
    </w:lvl>
    <w:lvl w:ilvl="6" w:tplc="1AD6C996">
      <w:start w:val="1"/>
      <w:numFmt w:val="bullet"/>
      <w:lvlText w:val=""/>
      <w:lvlJc w:val="left"/>
      <w:pPr>
        <w:ind w:left="5040" w:hanging="360"/>
      </w:pPr>
      <w:rPr>
        <w:rFonts w:ascii="Symbol" w:hAnsi="Symbol" w:hint="default"/>
      </w:rPr>
    </w:lvl>
    <w:lvl w:ilvl="7" w:tplc="1E20181E">
      <w:start w:val="1"/>
      <w:numFmt w:val="bullet"/>
      <w:lvlText w:val="o"/>
      <w:lvlJc w:val="left"/>
      <w:pPr>
        <w:ind w:left="5760" w:hanging="360"/>
      </w:pPr>
      <w:rPr>
        <w:rFonts w:ascii="Courier New" w:hAnsi="Courier New" w:hint="default"/>
      </w:rPr>
    </w:lvl>
    <w:lvl w:ilvl="8" w:tplc="99A49B8E">
      <w:start w:val="1"/>
      <w:numFmt w:val="bullet"/>
      <w:lvlText w:val=""/>
      <w:lvlJc w:val="left"/>
      <w:pPr>
        <w:ind w:left="6480" w:hanging="360"/>
      </w:pPr>
      <w:rPr>
        <w:rFonts w:ascii="Wingdings" w:hAnsi="Wingdings" w:hint="default"/>
      </w:rPr>
    </w:lvl>
  </w:abstractNum>
  <w:abstractNum w:abstractNumId="5" w15:restartNumberingAfterBreak="0">
    <w:nsid w:val="3D4B072C"/>
    <w:multiLevelType w:val="hybridMultilevel"/>
    <w:tmpl w:val="257C6558"/>
    <w:lvl w:ilvl="0" w:tplc="518AB110">
      <w:start w:val="1"/>
      <w:numFmt w:val="bullet"/>
      <w:lvlText w:val=""/>
      <w:lvlJc w:val="left"/>
      <w:pPr>
        <w:ind w:left="720" w:hanging="360"/>
      </w:pPr>
      <w:rPr>
        <w:rFonts w:ascii="Wingdings" w:hAnsi="Wingdings" w:hint="default"/>
      </w:rPr>
    </w:lvl>
    <w:lvl w:ilvl="1" w:tplc="511ADBD2">
      <w:start w:val="1"/>
      <w:numFmt w:val="bullet"/>
      <w:lvlText w:val="o"/>
      <w:lvlJc w:val="left"/>
      <w:pPr>
        <w:ind w:left="1440" w:hanging="360"/>
      </w:pPr>
      <w:rPr>
        <w:rFonts w:ascii="Courier New" w:hAnsi="Courier New" w:hint="default"/>
      </w:rPr>
    </w:lvl>
    <w:lvl w:ilvl="2" w:tplc="7FD239AC">
      <w:start w:val="1"/>
      <w:numFmt w:val="bullet"/>
      <w:lvlText w:val=""/>
      <w:lvlJc w:val="left"/>
      <w:pPr>
        <w:ind w:left="2160" w:hanging="360"/>
      </w:pPr>
      <w:rPr>
        <w:rFonts w:ascii="Wingdings" w:hAnsi="Wingdings" w:hint="default"/>
      </w:rPr>
    </w:lvl>
    <w:lvl w:ilvl="3" w:tplc="F504579C">
      <w:start w:val="1"/>
      <w:numFmt w:val="bullet"/>
      <w:lvlText w:val=""/>
      <w:lvlJc w:val="left"/>
      <w:pPr>
        <w:ind w:left="2880" w:hanging="360"/>
      </w:pPr>
      <w:rPr>
        <w:rFonts w:ascii="Symbol" w:hAnsi="Symbol" w:hint="default"/>
      </w:rPr>
    </w:lvl>
    <w:lvl w:ilvl="4" w:tplc="4F3E66F6">
      <w:start w:val="1"/>
      <w:numFmt w:val="bullet"/>
      <w:lvlText w:val="o"/>
      <w:lvlJc w:val="left"/>
      <w:pPr>
        <w:ind w:left="3600" w:hanging="360"/>
      </w:pPr>
      <w:rPr>
        <w:rFonts w:ascii="Courier New" w:hAnsi="Courier New" w:hint="default"/>
      </w:rPr>
    </w:lvl>
    <w:lvl w:ilvl="5" w:tplc="481CAB60">
      <w:start w:val="1"/>
      <w:numFmt w:val="bullet"/>
      <w:lvlText w:val=""/>
      <w:lvlJc w:val="left"/>
      <w:pPr>
        <w:ind w:left="4320" w:hanging="360"/>
      </w:pPr>
      <w:rPr>
        <w:rFonts w:ascii="Wingdings" w:hAnsi="Wingdings" w:hint="default"/>
      </w:rPr>
    </w:lvl>
    <w:lvl w:ilvl="6" w:tplc="298AEC2A">
      <w:start w:val="1"/>
      <w:numFmt w:val="bullet"/>
      <w:lvlText w:val=""/>
      <w:lvlJc w:val="left"/>
      <w:pPr>
        <w:ind w:left="5040" w:hanging="360"/>
      </w:pPr>
      <w:rPr>
        <w:rFonts w:ascii="Symbol" w:hAnsi="Symbol" w:hint="default"/>
      </w:rPr>
    </w:lvl>
    <w:lvl w:ilvl="7" w:tplc="C44E7C68">
      <w:start w:val="1"/>
      <w:numFmt w:val="bullet"/>
      <w:lvlText w:val="o"/>
      <w:lvlJc w:val="left"/>
      <w:pPr>
        <w:ind w:left="5760" w:hanging="360"/>
      </w:pPr>
      <w:rPr>
        <w:rFonts w:ascii="Courier New" w:hAnsi="Courier New" w:hint="default"/>
      </w:rPr>
    </w:lvl>
    <w:lvl w:ilvl="8" w:tplc="27D47936">
      <w:start w:val="1"/>
      <w:numFmt w:val="bullet"/>
      <w:lvlText w:val=""/>
      <w:lvlJc w:val="left"/>
      <w:pPr>
        <w:ind w:left="6480" w:hanging="360"/>
      </w:pPr>
      <w:rPr>
        <w:rFonts w:ascii="Wingdings" w:hAnsi="Wingdings" w:hint="default"/>
      </w:rPr>
    </w:lvl>
  </w:abstractNum>
  <w:abstractNum w:abstractNumId="6" w15:restartNumberingAfterBreak="0">
    <w:nsid w:val="45FF3D52"/>
    <w:multiLevelType w:val="hybridMultilevel"/>
    <w:tmpl w:val="8BA25AFE"/>
    <w:lvl w:ilvl="0" w:tplc="4E243A18">
      <w:start w:val="1"/>
      <w:numFmt w:val="decimal"/>
      <w:lvlText w:val="%1."/>
      <w:lvlJc w:val="left"/>
      <w:pPr>
        <w:ind w:left="720" w:hanging="360"/>
      </w:pPr>
    </w:lvl>
    <w:lvl w:ilvl="1" w:tplc="1076E136">
      <w:start w:val="1"/>
      <w:numFmt w:val="lowerLetter"/>
      <w:lvlText w:val="%2."/>
      <w:lvlJc w:val="left"/>
      <w:pPr>
        <w:ind w:left="1440" w:hanging="360"/>
      </w:pPr>
    </w:lvl>
    <w:lvl w:ilvl="2" w:tplc="9A683640">
      <w:start w:val="1"/>
      <w:numFmt w:val="lowerRoman"/>
      <w:lvlText w:val="%3."/>
      <w:lvlJc w:val="right"/>
      <w:pPr>
        <w:ind w:left="2160" w:hanging="180"/>
      </w:pPr>
    </w:lvl>
    <w:lvl w:ilvl="3" w:tplc="9390A832">
      <w:start w:val="1"/>
      <w:numFmt w:val="decimal"/>
      <w:lvlText w:val="%4."/>
      <w:lvlJc w:val="left"/>
      <w:pPr>
        <w:ind w:left="2880" w:hanging="360"/>
      </w:pPr>
    </w:lvl>
    <w:lvl w:ilvl="4" w:tplc="1206D836">
      <w:start w:val="1"/>
      <w:numFmt w:val="lowerLetter"/>
      <w:lvlText w:val="%5."/>
      <w:lvlJc w:val="left"/>
      <w:pPr>
        <w:ind w:left="3600" w:hanging="360"/>
      </w:pPr>
    </w:lvl>
    <w:lvl w:ilvl="5" w:tplc="08026D8E">
      <w:start w:val="1"/>
      <w:numFmt w:val="lowerRoman"/>
      <w:lvlText w:val="%6."/>
      <w:lvlJc w:val="right"/>
      <w:pPr>
        <w:ind w:left="4320" w:hanging="180"/>
      </w:pPr>
    </w:lvl>
    <w:lvl w:ilvl="6" w:tplc="585EA522">
      <w:start w:val="1"/>
      <w:numFmt w:val="decimal"/>
      <w:lvlText w:val="%7."/>
      <w:lvlJc w:val="left"/>
      <w:pPr>
        <w:ind w:left="5040" w:hanging="360"/>
      </w:pPr>
    </w:lvl>
    <w:lvl w:ilvl="7" w:tplc="950C6628">
      <w:start w:val="1"/>
      <w:numFmt w:val="lowerLetter"/>
      <w:lvlText w:val="%8."/>
      <w:lvlJc w:val="left"/>
      <w:pPr>
        <w:ind w:left="5760" w:hanging="360"/>
      </w:pPr>
    </w:lvl>
    <w:lvl w:ilvl="8" w:tplc="8E060646">
      <w:start w:val="1"/>
      <w:numFmt w:val="lowerRoman"/>
      <w:lvlText w:val="%9."/>
      <w:lvlJc w:val="right"/>
      <w:pPr>
        <w:ind w:left="6480" w:hanging="180"/>
      </w:pPr>
    </w:lvl>
  </w:abstractNum>
  <w:abstractNum w:abstractNumId="7" w15:restartNumberingAfterBreak="0">
    <w:nsid w:val="493F97CE"/>
    <w:multiLevelType w:val="hybridMultilevel"/>
    <w:tmpl w:val="34A857C2"/>
    <w:lvl w:ilvl="0" w:tplc="07C2DD9E">
      <w:start w:val="1"/>
      <w:numFmt w:val="bullet"/>
      <w:lvlText w:val=""/>
      <w:lvlJc w:val="left"/>
      <w:pPr>
        <w:ind w:left="720" w:hanging="360"/>
      </w:pPr>
      <w:rPr>
        <w:rFonts w:ascii="Wingdings" w:hAnsi="Wingdings" w:hint="default"/>
      </w:rPr>
    </w:lvl>
    <w:lvl w:ilvl="1" w:tplc="86D87678">
      <w:start w:val="1"/>
      <w:numFmt w:val="bullet"/>
      <w:lvlText w:val="o"/>
      <w:lvlJc w:val="left"/>
      <w:pPr>
        <w:ind w:left="1440" w:hanging="360"/>
      </w:pPr>
      <w:rPr>
        <w:rFonts w:ascii="Courier New" w:hAnsi="Courier New" w:hint="default"/>
      </w:rPr>
    </w:lvl>
    <w:lvl w:ilvl="2" w:tplc="425E67B4">
      <w:start w:val="1"/>
      <w:numFmt w:val="bullet"/>
      <w:lvlText w:val=""/>
      <w:lvlJc w:val="left"/>
      <w:pPr>
        <w:ind w:left="2160" w:hanging="360"/>
      </w:pPr>
      <w:rPr>
        <w:rFonts w:ascii="Wingdings" w:hAnsi="Wingdings" w:hint="default"/>
      </w:rPr>
    </w:lvl>
    <w:lvl w:ilvl="3" w:tplc="BB72B9D2">
      <w:start w:val="1"/>
      <w:numFmt w:val="bullet"/>
      <w:lvlText w:val=""/>
      <w:lvlJc w:val="left"/>
      <w:pPr>
        <w:ind w:left="2880" w:hanging="360"/>
      </w:pPr>
      <w:rPr>
        <w:rFonts w:ascii="Symbol" w:hAnsi="Symbol" w:hint="default"/>
      </w:rPr>
    </w:lvl>
    <w:lvl w:ilvl="4" w:tplc="601C9230">
      <w:start w:val="1"/>
      <w:numFmt w:val="bullet"/>
      <w:lvlText w:val="o"/>
      <w:lvlJc w:val="left"/>
      <w:pPr>
        <w:ind w:left="3600" w:hanging="360"/>
      </w:pPr>
      <w:rPr>
        <w:rFonts w:ascii="Courier New" w:hAnsi="Courier New" w:hint="default"/>
      </w:rPr>
    </w:lvl>
    <w:lvl w:ilvl="5" w:tplc="C100ADE6">
      <w:start w:val="1"/>
      <w:numFmt w:val="bullet"/>
      <w:lvlText w:val=""/>
      <w:lvlJc w:val="left"/>
      <w:pPr>
        <w:ind w:left="4320" w:hanging="360"/>
      </w:pPr>
      <w:rPr>
        <w:rFonts w:ascii="Wingdings" w:hAnsi="Wingdings" w:hint="default"/>
      </w:rPr>
    </w:lvl>
    <w:lvl w:ilvl="6" w:tplc="DACE8FFE">
      <w:start w:val="1"/>
      <w:numFmt w:val="bullet"/>
      <w:lvlText w:val=""/>
      <w:lvlJc w:val="left"/>
      <w:pPr>
        <w:ind w:left="5040" w:hanging="360"/>
      </w:pPr>
      <w:rPr>
        <w:rFonts w:ascii="Symbol" w:hAnsi="Symbol" w:hint="default"/>
      </w:rPr>
    </w:lvl>
    <w:lvl w:ilvl="7" w:tplc="6B2623D4">
      <w:start w:val="1"/>
      <w:numFmt w:val="bullet"/>
      <w:lvlText w:val="o"/>
      <w:lvlJc w:val="left"/>
      <w:pPr>
        <w:ind w:left="5760" w:hanging="360"/>
      </w:pPr>
      <w:rPr>
        <w:rFonts w:ascii="Courier New" w:hAnsi="Courier New" w:hint="default"/>
      </w:rPr>
    </w:lvl>
    <w:lvl w:ilvl="8" w:tplc="C1F2DB8E">
      <w:start w:val="1"/>
      <w:numFmt w:val="bullet"/>
      <w:lvlText w:val=""/>
      <w:lvlJc w:val="left"/>
      <w:pPr>
        <w:ind w:left="6480" w:hanging="360"/>
      </w:pPr>
      <w:rPr>
        <w:rFonts w:ascii="Wingdings" w:hAnsi="Wingdings" w:hint="default"/>
      </w:rPr>
    </w:lvl>
  </w:abstractNum>
  <w:abstractNum w:abstractNumId="8" w15:restartNumberingAfterBreak="0">
    <w:nsid w:val="4D884F27"/>
    <w:multiLevelType w:val="hybridMultilevel"/>
    <w:tmpl w:val="FF58844A"/>
    <w:lvl w:ilvl="0" w:tplc="7570BC02">
      <w:start w:val="1"/>
      <w:numFmt w:val="bullet"/>
      <w:lvlText w:val=""/>
      <w:lvlJc w:val="left"/>
      <w:pPr>
        <w:ind w:left="720" w:hanging="360"/>
      </w:pPr>
      <w:rPr>
        <w:rFonts w:ascii="Wingdings" w:hAnsi="Wingdings" w:hint="default"/>
      </w:rPr>
    </w:lvl>
    <w:lvl w:ilvl="1" w:tplc="2904D9EC">
      <w:start w:val="1"/>
      <w:numFmt w:val="bullet"/>
      <w:lvlText w:val="o"/>
      <w:lvlJc w:val="left"/>
      <w:pPr>
        <w:ind w:left="1440" w:hanging="360"/>
      </w:pPr>
      <w:rPr>
        <w:rFonts w:ascii="Courier New" w:hAnsi="Courier New" w:hint="default"/>
      </w:rPr>
    </w:lvl>
    <w:lvl w:ilvl="2" w:tplc="AC84DC38">
      <w:start w:val="1"/>
      <w:numFmt w:val="bullet"/>
      <w:lvlText w:val=""/>
      <w:lvlJc w:val="left"/>
      <w:pPr>
        <w:ind w:left="2160" w:hanging="360"/>
      </w:pPr>
      <w:rPr>
        <w:rFonts w:ascii="Wingdings" w:hAnsi="Wingdings" w:hint="default"/>
      </w:rPr>
    </w:lvl>
    <w:lvl w:ilvl="3" w:tplc="14F099A8">
      <w:start w:val="1"/>
      <w:numFmt w:val="bullet"/>
      <w:lvlText w:val=""/>
      <w:lvlJc w:val="left"/>
      <w:pPr>
        <w:ind w:left="2880" w:hanging="360"/>
      </w:pPr>
      <w:rPr>
        <w:rFonts w:ascii="Symbol" w:hAnsi="Symbol" w:hint="default"/>
      </w:rPr>
    </w:lvl>
    <w:lvl w:ilvl="4" w:tplc="50727AD8">
      <w:start w:val="1"/>
      <w:numFmt w:val="bullet"/>
      <w:lvlText w:val="o"/>
      <w:lvlJc w:val="left"/>
      <w:pPr>
        <w:ind w:left="3600" w:hanging="360"/>
      </w:pPr>
      <w:rPr>
        <w:rFonts w:ascii="Courier New" w:hAnsi="Courier New" w:hint="default"/>
      </w:rPr>
    </w:lvl>
    <w:lvl w:ilvl="5" w:tplc="2A3CA3E2">
      <w:start w:val="1"/>
      <w:numFmt w:val="bullet"/>
      <w:lvlText w:val=""/>
      <w:lvlJc w:val="left"/>
      <w:pPr>
        <w:ind w:left="4320" w:hanging="360"/>
      </w:pPr>
      <w:rPr>
        <w:rFonts w:ascii="Wingdings" w:hAnsi="Wingdings" w:hint="default"/>
      </w:rPr>
    </w:lvl>
    <w:lvl w:ilvl="6" w:tplc="A0322066">
      <w:start w:val="1"/>
      <w:numFmt w:val="bullet"/>
      <w:lvlText w:val=""/>
      <w:lvlJc w:val="left"/>
      <w:pPr>
        <w:ind w:left="5040" w:hanging="360"/>
      </w:pPr>
      <w:rPr>
        <w:rFonts w:ascii="Symbol" w:hAnsi="Symbol" w:hint="default"/>
      </w:rPr>
    </w:lvl>
    <w:lvl w:ilvl="7" w:tplc="65E680F4">
      <w:start w:val="1"/>
      <w:numFmt w:val="bullet"/>
      <w:lvlText w:val="o"/>
      <w:lvlJc w:val="left"/>
      <w:pPr>
        <w:ind w:left="5760" w:hanging="360"/>
      </w:pPr>
      <w:rPr>
        <w:rFonts w:ascii="Courier New" w:hAnsi="Courier New" w:hint="default"/>
      </w:rPr>
    </w:lvl>
    <w:lvl w:ilvl="8" w:tplc="865032BC">
      <w:start w:val="1"/>
      <w:numFmt w:val="bullet"/>
      <w:lvlText w:val=""/>
      <w:lvlJc w:val="left"/>
      <w:pPr>
        <w:ind w:left="6480" w:hanging="360"/>
      </w:pPr>
      <w:rPr>
        <w:rFonts w:ascii="Wingdings" w:hAnsi="Wingdings" w:hint="default"/>
      </w:rPr>
    </w:lvl>
  </w:abstractNum>
  <w:abstractNum w:abstractNumId="9" w15:restartNumberingAfterBreak="0">
    <w:nsid w:val="57C457B9"/>
    <w:multiLevelType w:val="hybridMultilevel"/>
    <w:tmpl w:val="F552D6D2"/>
    <w:lvl w:ilvl="0" w:tplc="BF9E9E30">
      <w:start w:val="1"/>
      <w:numFmt w:val="bullet"/>
      <w:lvlText w:val=""/>
      <w:lvlJc w:val="left"/>
      <w:pPr>
        <w:ind w:left="720" w:hanging="360"/>
      </w:pPr>
      <w:rPr>
        <w:rFonts w:ascii="Wingdings" w:hAnsi="Wingdings" w:hint="default"/>
      </w:rPr>
    </w:lvl>
    <w:lvl w:ilvl="1" w:tplc="360E3552">
      <w:start w:val="1"/>
      <w:numFmt w:val="bullet"/>
      <w:lvlText w:val="o"/>
      <w:lvlJc w:val="left"/>
      <w:pPr>
        <w:ind w:left="1440" w:hanging="360"/>
      </w:pPr>
      <w:rPr>
        <w:rFonts w:ascii="Courier New" w:hAnsi="Courier New" w:hint="default"/>
      </w:rPr>
    </w:lvl>
    <w:lvl w:ilvl="2" w:tplc="E73A4FA6">
      <w:start w:val="1"/>
      <w:numFmt w:val="bullet"/>
      <w:lvlText w:val=""/>
      <w:lvlJc w:val="left"/>
      <w:pPr>
        <w:ind w:left="2160" w:hanging="360"/>
      </w:pPr>
      <w:rPr>
        <w:rFonts w:ascii="Wingdings" w:hAnsi="Wingdings" w:hint="default"/>
      </w:rPr>
    </w:lvl>
    <w:lvl w:ilvl="3" w:tplc="12C2F91A">
      <w:start w:val="1"/>
      <w:numFmt w:val="bullet"/>
      <w:lvlText w:val=""/>
      <w:lvlJc w:val="left"/>
      <w:pPr>
        <w:ind w:left="2880" w:hanging="360"/>
      </w:pPr>
      <w:rPr>
        <w:rFonts w:ascii="Symbol" w:hAnsi="Symbol" w:hint="default"/>
      </w:rPr>
    </w:lvl>
    <w:lvl w:ilvl="4" w:tplc="0D4C8FF8">
      <w:start w:val="1"/>
      <w:numFmt w:val="bullet"/>
      <w:lvlText w:val="o"/>
      <w:lvlJc w:val="left"/>
      <w:pPr>
        <w:ind w:left="3600" w:hanging="360"/>
      </w:pPr>
      <w:rPr>
        <w:rFonts w:ascii="Courier New" w:hAnsi="Courier New" w:hint="default"/>
      </w:rPr>
    </w:lvl>
    <w:lvl w:ilvl="5" w:tplc="C97ACA34">
      <w:start w:val="1"/>
      <w:numFmt w:val="bullet"/>
      <w:lvlText w:val=""/>
      <w:lvlJc w:val="left"/>
      <w:pPr>
        <w:ind w:left="4320" w:hanging="360"/>
      </w:pPr>
      <w:rPr>
        <w:rFonts w:ascii="Wingdings" w:hAnsi="Wingdings" w:hint="default"/>
      </w:rPr>
    </w:lvl>
    <w:lvl w:ilvl="6" w:tplc="DBEC9F7C">
      <w:start w:val="1"/>
      <w:numFmt w:val="bullet"/>
      <w:lvlText w:val=""/>
      <w:lvlJc w:val="left"/>
      <w:pPr>
        <w:ind w:left="5040" w:hanging="360"/>
      </w:pPr>
      <w:rPr>
        <w:rFonts w:ascii="Symbol" w:hAnsi="Symbol" w:hint="default"/>
      </w:rPr>
    </w:lvl>
    <w:lvl w:ilvl="7" w:tplc="DB0874EC">
      <w:start w:val="1"/>
      <w:numFmt w:val="bullet"/>
      <w:lvlText w:val="o"/>
      <w:lvlJc w:val="left"/>
      <w:pPr>
        <w:ind w:left="5760" w:hanging="360"/>
      </w:pPr>
      <w:rPr>
        <w:rFonts w:ascii="Courier New" w:hAnsi="Courier New" w:hint="default"/>
      </w:rPr>
    </w:lvl>
    <w:lvl w:ilvl="8" w:tplc="F3E416FE">
      <w:start w:val="1"/>
      <w:numFmt w:val="bullet"/>
      <w:lvlText w:val=""/>
      <w:lvlJc w:val="left"/>
      <w:pPr>
        <w:ind w:left="6480" w:hanging="360"/>
      </w:pPr>
      <w:rPr>
        <w:rFonts w:ascii="Wingdings" w:hAnsi="Wingdings" w:hint="default"/>
      </w:rPr>
    </w:lvl>
  </w:abstractNum>
  <w:abstractNum w:abstractNumId="10" w15:restartNumberingAfterBreak="0">
    <w:nsid w:val="724B6799"/>
    <w:multiLevelType w:val="hybridMultilevel"/>
    <w:tmpl w:val="C4EC1002"/>
    <w:lvl w:ilvl="0" w:tplc="736C66A0">
      <w:start w:val="1"/>
      <w:numFmt w:val="bullet"/>
      <w:lvlText w:val=""/>
      <w:lvlJc w:val="left"/>
      <w:pPr>
        <w:ind w:left="720" w:hanging="360"/>
      </w:pPr>
      <w:rPr>
        <w:rFonts w:ascii="Wingdings" w:hAnsi="Wingdings" w:hint="default"/>
      </w:rPr>
    </w:lvl>
    <w:lvl w:ilvl="1" w:tplc="9A36A0F4">
      <w:start w:val="1"/>
      <w:numFmt w:val="bullet"/>
      <w:lvlText w:val="o"/>
      <w:lvlJc w:val="left"/>
      <w:pPr>
        <w:ind w:left="1440" w:hanging="360"/>
      </w:pPr>
      <w:rPr>
        <w:rFonts w:ascii="Courier New" w:hAnsi="Courier New" w:hint="default"/>
      </w:rPr>
    </w:lvl>
    <w:lvl w:ilvl="2" w:tplc="37CC1D7C">
      <w:start w:val="1"/>
      <w:numFmt w:val="bullet"/>
      <w:lvlText w:val=""/>
      <w:lvlJc w:val="left"/>
      <w:pPr>
        <w:ind w:left="2160" w:hanging="360"/>
      </w:pPr>
      <w:rPr>
        <w:rFonts w:ascii="Wingdings" w:hAnsi="Wingdings" w:hint="default"/>
      </w:rPr>
    </w:lvl>
    <w:lvl w:ilvl="3" w:tplc="8488B3AA">
      <w:start w:val="1"/>
      <w:numFmt w:val="bullet"/>
      <w:lvlText w:val=""/>
      <w:lvlJc w:val="left"/>
      <w:pPr>
        <w:ind w:left="2880" w:hanging="360"/>
      </w:pPr>
      <w:rPr>
        <w:rFonts w:ascii="Symbol" w:hAnsi="Symbol" w:hint="default"/>
      </w:rPr>
    </w:lvl>
    <w:lvl w:ilvl="4" w:tplc="332C9468">
      <w:start w:val="1"/>
      <w:numFmt w:val="bullet"/>
      <w:lvlText w:val="o"/>
      <w:lvlJc w:val="left"/>
      <w:pPr>
        <w:ind w:left="3600" w:hanging="360"/>
      </w:pPr>
      <w:rPr>
        <w:rFonts w:ascii="Courier New" w:hAnsi="Courier New" w:hint="default"/>
      </w:rPr>
    </w:lvl>
    <w:lvl w:ilvl="5" w:tplc="D4FEA996">
      <w:start w:val="1"/>
      <w:numFmt w:val="bullet"/>
      <w:lvlText w:val=""/>
      <w:lvlJc w:val="left"/>
      <w:pPr>
        <w:ind w:left="4320" w:hanging="360"/>
      </w:pPr>
      <w:rPr>
        <w:rFonts w:ascii="Wingdings" w:hAnsi="Wingdings" w:hint="default"/>
      </w:rPr>
    </w:lvl>
    <w:lvl w:ilvl="6" w:tplc="543A9B08">
      <w:start w:val="1"/>
      <w:numFmt w:val="bullet"/>
      <w:lvlText w:val=""/>
      <w:lvlJc w:val="left"/>
      <w:pPr>
        <w:ind w:left="5040" w:hanging="360"/>
      </w:pPr>
      <w:rPr>
        <w:rFonts w:ascii="Symbol" w:hAnsi="Symbol" w:hint="default"/>
      </w:rPr>
    </w:lvl>
    <w:lvl w:ilvl="7" w:tplc="29AE5366">
      <w:start w:val="1"/>
      <w:numFmt w:val="bullet"/>
      <w:lvlText w:val="o"/>
      <w:lvlJc w:val="left"/>
      <w:pPr>
        <w:ind w:left="5760" w:hanging="360"/>
      </w:pPr>
      <w:rPr>
        <w:rFonts w:ascii="Courier New" w:hAnsi="Courier New" w:hint="default"/>
      </w:rPr>
    </w:lvl>
    <w:lvl w:ilvl="8" w:tplc="D018AB1E">
      <w:start w:val="1"/>
      <w:numFmt w:val="bullet"/>
      <w:lvlText w:val=""/>
      <w:lvlJc w:val="left"/>
      <w:pPr>
        <w:ind w:left="6480" w:hanging="360"/>
      </w:pPr>
      <w:rPr>
        <w:rFonts w:ascii="Wingdings" w:hAnsi="Wingdings" w:hint="default"/>
      </w:rPr>
    </w:lvl>
  </w:abstractNum>
  <w:abstractNum w:abstractNumId="11" w15:restartNumberingAfterBreak="0">
    <w:nsid w:val="7B26F8B1"/>
    <w:multiLevelType w:val="hybridMultilevel"/>
    <w:tmpl w:val="DC7E62FE"/>
    <w:lvl w:ilvl="0" w:tplc="24DA21C6">
      <w:start w:val="1"/>
      <w:numFmt w:val="bullet"/>
      <w:lvlText w:val=""/>
      <w:lvlJc w:val="left"/>
      <w:pPr>
        <w:ind w:left="720" w:hanging="360"/>
      </w:pPr>
      <w:rPr>
        <w:rFonts w:ascii="Wingdings" w:hAnsi="Wingdings" w:hint="default"/>
      </w:rPr>
    </w:lvl>
    <w:lvl w:ilvl="1" w:tplc="F33AAFFC">
      <w:start w:val="1"/>
      <w:numFmt w:val="bullet"/>
      <w:lvlText w:val="o"/>
      <w:lvlJc w:val="left"/>
      <w:pPr>
        <w:ind w:left="1440" w:hanging="360"/>
      </w:pPr>
      <w:rPr>
        <w:rFonts w:ascii="Courier New" w:hAnsi="Courier New" w:hint="default"/>
      </w:rPr>
    </w:lvl>
    <w:lvl w:ilvl="2" w:tplc="C5C6EB0E">
      <w:start w:val="1"/>
      <w:numFmt w:val="bullet"/>
      <w:lvlText w:val=""/>
      <w:lvlJc w:val="left"/>
      <w:pPr>
        <w:ind w:left="2160" w:hanging="360"/>
      </w:pPr>
      <w:rPr>
        <w:rFonts w:ascii="Wingdings" w:hAnsi="Wingdings" w:hint="default"/>
      </w:rPr>
    </w:lvl>
    <w:lvl w:ilvl="3" w:tplc="F5EAC750">
      <w:start w:val="1"/>
      <w:numFmt w:val="bullet"/>
      <w:lvlText w:val=""/>
      <w:lvlJc w:val="left"/>
      <w:pPr>
        <w:ind w:left="2880" w:hanging="360"/>
      </w:pPr>
      <w:rPr>
        <w:rFonts w:ascii="Symbol" w:hAnsi="Symbol" w:hint="default"/>
      </w:rPr>
    </w:lvl>
    <w:lvl w:ilvl="4" w:tplc="FBDCED3A">
      <w:start w:val="1"/>
      <w:numFmt w:val="bullet"/>
      <w:lvlText w:val="o"/>
      <w:lvlJc w:val="left"/>
      <w:pPr>
        <w:ind w:left="3600" w:hanging="360"/>
      </w:pPr>
      <w:rPr>
        <w:rFonts w:ascii="Courier New" w:hAnsi="Courier New" w:hint="default"/>
      </w:rPr>
    </w:lvl>
    <w:lvl w:ilvl="5" w:tplc="530A38F4">
      <w:start w:val="1"/>
      <w:numFmt w:val="bullet"/>
      <w:lvlText w:val=""/>
      <w:lvlJc w:val="left"/>
      <w:pPr>
        <w:ind w:left="4320" w:hanging="360"/>
      </w:pPr>
      <w:rPr>
        <w:rFonts w:ascii="Wingdings" w:hAnsi="Wingdings" w:hint="default"/>
      </w:rPr>
    </w:lvl>
    <w:lvl w:ilvl="6" w:tplc="6444FFDA">
      <w:start w:val="1"/>
      <w:numFmt w:val="bullet"/>
      <w:lvlText w:val=""/>
      <w:lvlJc w:val="left"/>
      <w:pPr>
        <w:ind w:left="5040" w:hanging="360"/>
      </w:pPr>
      <w:rPr>
        <w:rFonts w:ascii="Symbol" w:hAnsi="Symbol" w:hint="default"/>
      </w:rPr>
    </w:lvl>
    <w:lvl w:ilvl="7" w:tplc="FB5E083A">
      <w:start w:val="1"/>
      <w:numFmt w:val="bullet"/>
      <w:lvlText w:val="o"/>
      <w:lvlJc w:val="left"/>
      <w:pPr>
        <w:ind w:left="5760" w:hanging="360"/>
      </w:pPr>
      <w:rPr>
        <w:rFonts w:ascii="Courier New" w:hAnsi="Courier New" w:hint="default"/>
      </w:rPr>
    </w:lvl>
    <w:lvl w:ilvl="8" w:tplc="EF88CE34">
      <w:start w:val="1"/>
      <w:numFmt w:val="bullet"/>
      <w:lvlText w:val=""/>
      <w:lvlJc w:val="left"/>
      <w:pPr>
        <w:ind w:left="6480" w:hanging="360"/>
      </w:pPr>
      <w:rPr>
        <w:rFonts w:ascii="Wingdings" w:hAnsi="Wingdings" w:hint="default"/>
      </w:rPr>
    </w:lvl>
  </w:abstractNum>
  <w:abstractNum w:abstractNumId="12" w15:restartNumberingAfterBreak="0">
    <w:nsid w:val="7E6056B8"/>
    <w:multiLevelType w:val="hybridMultilevel"/>
    <w:tmpl w:val="A2366888"/>
    <w:lvl w:ilvl="0" w:tplc="92E285C2">
      <w:start w:val="1"/>
      <w:numFmt w:val="bullet"/>
      <w:lvlText w:val=""/>
      <w:lvlJc w:val="left"/>
      <w:pPr>
        <w:ind w:left="720" w:hanging="360"/>
      </w:pPr>
      <w:rPr>
        <w:rFonts w:ascii="Wingdings" w:hAnsi="Wingdings" w:hint="default"/>
      </w:rPr>
    </w:lvl>
    <w:lvl w:ilvl="1" w:tplc="0DA83D66">
      <w:start w:val="1"/>
      <w:numFmt w:val="bullet"/>
      <w:lvlText w:val="o"/>
      <w:lvlJc w:val="left"/>
      <w:pPr>
        <w:ind w:left="1440" w:hanging="360"/>
      </w:pPr>
      <w:rPr>
        <w:rFonts w:ascii="Courier New" w:hAnsi="Courier New" w:hint="default"/>
      </w:rPr>
    </w:lvl>
    <w:lvl w:ilvl="2" w:tplc="0076121A">
      <w:start w:val="1"/>
      <w:numFmt w:val="bullet"/>
      <w:lvlText w:val=""/>
      <w:lvlJc w:val="left"/>
      <w:pPr>
        <w:ind w:left="2160" w:hanging="360"/>
      </w:pPr>
      <w:rPr>
        <w:rFonts w:ascii="Wingdings" w:hAnsi="Wingdings" w:hint="default"/>
      </w:rPr>
    </w:lvl>
    <w:lvl w:ilvl="3" w:tplc="CF8A9174">
      <w:start w:val="1"/>
      <w:numFmt w:val="bullet"/>
      <w:lvlText w:val=""/>
      <w:lvlJc w:val="left"/>
      <w:pPr>
        <w:ind w:left="2880" w:hanging="360"/>
      </w:pPr>
      <w:rPr>
        <w:rFonts w:ascii="Symbol" w:hAnsi="Symbol" w:hint="default"/>
      </w:rPr>
    </w:lvl>
    <w:lvl w:ilvl="4" w:tplc="AA7CED6E">
      <w:start w:val="1"/>
      <w:numFmt w:val="bullet"/>
      <w:lvlText w:val="o"/>
      <w:lvlJc w:val="left"/>
      <w:pPr>
        <w:ind w:left="3600" w:hanging="360"/>
      </w:pPr>
      <w:rPr>
        <w:rFonts w:ascii="Courier New" w:hAnsi="Courier New" w:hint="default"/>
      </w:rPr>
    </w:lvl>
    <w:lvl w:ilvl="5" w:tplc="232EF56C">
      <w:start w:val="1"/>
      <w:numFmt w:val="bullet"/>
      <w:lvlText w:val=""/>
      <w:lvlJc w:val="left"/>
      <w:pPr>
        <w:ind w:left="4320" w:hanging="360"/>
      </w:pPr>
      <w:rPr>
        <w:rFonts w:ascii="Wingdings" w:hAnsi="Wingdings" w:hint="default"/>
      </w:rPr>
    </w:lvl>
    <w:lvl w:ilvl="6" w:tplc="FAD0C830">
      <w:start w:val="1"/>
      <w:numFmt w:val="bullet"/>
      <w:lvlText w:val=""/>
      <w:lvlJc w:val="left"/>
      <w:pPr>
        <w:ind w:left="5040" w:hanging="360"/>
      </w:pPr>
      <w:rPr>
        <w:rFonts w:ascii="Symbol" w:hAnsi="Symbol" w:hint="default"/>
      </w:rPr>
    </w:lvl>
    <w:lvl w:ilvl="7" w:tplc="645CB7DE">
      <w:start w:val="1"/>
      <w:numFmt w:val="bullet"/>
      <w:lvlText w:val="o"/>
      <w:lvlJc w:val="left"/>
      <w:pPr>
        <w:ind w:left="5760" w:hanging="360"/>
      </w:pPr>
      <w:rPr>
        <w:rFonts w:ascii="Courier New" w:hAnsi="Courier New" w:hint="default"/>
      </w:rPr>
    </w:lvl>
    <w:lvl w:ilvl="8" w:tplc="53AE9224">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2"/>
  </w:num>
  <w:num w:numId="6">
    <w:abstractNumId w:val="8"/>
  </w:num>
  <w:num w:numId="7">
    <w:abstractNumId w:val="10"/>
  </w:num>
  <w:num w:numId="8">
    <w:abstractNumId w:val="4"/>
  </w:num>
  <w:num w:numId="9">
    <w:abstractNumId w:val="2"/>
  </w:num>
  <w:num w:numId="10">
    <w:abstractNumId w:val="5"/>
  </w:num>
  <w:num w:numId="11">
    <w:abstractNumId w:val="11"/>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tjA1NTUwMLQ0MzFQ0lEKTi0uzszPAykwqgUAp5kt1CwAAAA="/>
  </w:docVars>
  <w:rsids>
    <w:rsidRoot w:val="0060136A"/>
    <w:rsid w:val="000C58EB"/>
    <w:rsid w:val="00134744"/>
    <w:rsid w:val="00160921"/>
    <w:rsid w:val="001D663F"/>
    <w:rsid w:val="001E1278"/>
    <w:rsid w:val="00287C01"/>
    <w:rsid w:val="002E049A"/>
    <w:rsid w:val="00364D7A"/>
    <w:rsid w:val="003A5D67"/>
    <w:rsid w:val="0041685C"/>
    <w:rsid w:val="0041CCE3"/>
    <w:rsid w:val="00463741"/>
    <w:rsid w:val="004B080F"/>
    <w:rsid w:val="004D155E"/>
    <w:rsid w:val="004D6D71"/>
    <w:rsid w:val="00591E29"/>
    <w:rsid w:val="005B7277"/>
    <w:rsid w:val="005C7E47"/>
    <w:rsid w:val="0060136A"/>
    <w:rsid w:val="00684A1B"/>
    <w:rsid w:val="00712B26"/>
    <w:rsid w:val="00723A7D"/>
    <w:rsid w:val="00745D34"/>
    <w:rsid w:val="0082326C"/>
    <w:rsid w:val="008F79F7"/>
    <w:rsid w:val="009438B2"/>
    <w:rsid w:val="00A048D2"/>
    <w:rsid w:val="00A24790"/>
    <w:rsid w:val="00AB0B55"/>
    <w:rsid w:val="00AC5409"/>
    <w:rsid w:val="00B45AE7"/>
    <w:rsid w:val="00BA05C3"/>
    <w:rsid w:val="00C058FF"/>
    <w:rsid w:val="00C1952E"/>
    <w:rsid w:val="00C25677"/>
    <w:rsid w:val="00C44C70"/>
    <w:rsid w:val="00C7117E"/>
    <w:rsid w:val="00D12B4E"/>
    <w:rsid w:val="00D23BE8"/>
    <w:rsid w:val="00D26A63"/>
    <w:rsid w:val="00D34188"/>
    <w:rsid w:val="00DC4165"/>
    <w:rsid w:val="00F730B0"/>
    <w:rsid w:val="00FDBF7A"/>
    <w:rsid w:val="01015ED6"/>
    <w:rsid w:val="0102ACA9"/>
    <w:rsid w:val="011AE025"/>
    <w:rsid w:val="01521AA7"/>
    <w:rsid w:val="01C07D5B"/>
    <w:rsid w:val="01D62DC8"/>
    <w:rsid w:val="01F7FE87"/>
    <w:rsid w:val="01FC170A"/>
    <w:rsid w:val="024CE7D6"/>
    <w:rsid w:val="02679A6B"/>
    <w:rsid w:val="03570D59"/>
    <w:rsid w:val="03A3495B"/>
    <w:rsid w:val="03BD6836"/>
    <w:rsid w:val="03C991EE"/>
    <w:rsid w:val="03D436BF"/>
    <w:rsid w:val="03DE4DFF"/>
    <w:rsid w:val="0482ED23"/>
    <w:rsid w:val="04E69EB1"/>
    <w:rsid w:val="052956E2"/>
    <w:rsid w:val="05403C87"/>
    <w:rsid w:val="058B3DCF"/>
    <w:rsid w:val="05B80840"/>
    <w:rsid w:val="05C9AEBD"/>
    <w:rsid w:val="05D4BBDD"/>
    <w:rsid w:val="070132B0"/>
    <w:rsid w:val="071D3363"/>
    <w:rsid w:val="0789FCD5"/>
    <w:rsid w:val="07AB12D7"/>
    <w:rsid w:val="07DA0D2E"/>
    <w:rsid w:val="083FAE0E"/>
    <w:rsid w:val="089FDB67"/>
    <w:rsid w:val="08E37190"/>
    <w:rsid w:val="092297A4"/>
    <w:rsid w:val="094158D9"/>
    <w:rsid w:val="09B69B01"/>
    <w:rsid w:val="09F9EB60"/>
    <w:rsid w:val="0B2C43B3"/>
    <w:rsid w:val="0B7BD7BF"/>
    <w:rsid w:val="0C3F180B"/>
    <w:rsid w:val="0C5EAD03"/>
    <w:rsid w:val="0CBFF726"/>
    <w:rsid w:val="0CC27279"/>
    <w:rsid w:val="0CC7D3AF"/>
    <w:rsid w:val="0CD62653"/>
    <w:rsid w:val="0D2E52FD"/>
    <w:rsid w:val="0D5127FD"/>
    <w:rsid w:val="0D9D591A"/>
    <w:rsid w:val="0DCC2DA9"/>
    <w:rsid w:val="0E2D2D42"/>
    <w:rsid w:val="0E2E9F18"/>
    <w:rsid w:val="0EA0F6D0"/>
    <w:rsid w:val="0F2CF516"/>
    <w:rsid w:val="0F652F74"/>
    <w:rsid w:val="0F7CCB84"/>
    <w:rsid w:val="0FC29086"/>
    <w:rsid w:val="106569B2"/>
    <w:rsid w:val="10DCB543"/>
    <w:rsid w:val="11308A24"/>
    <w:rsid w:val="11945282"/>
    <w:rsid w:val="11E17459"/>
    <w:rsid w:val="11E8D43A"/>
    <w:rsid w:val="125B8B1C"/>
    <w:rsid w:val="127885A4"/>
    <w:rsid w:val="1298A7F7"/>
    <w:rsid w:val="12A7A39D"/>
    <w:rsid w:val="12B78846"/>
    <w:rsid w:val="14288725"/>
    <w:rsid w:val="1494BB24"/>
    <w:rsid w:val="14C450F9"/>
    <w:rsid w:val="1509C49C"/>
    <w:rsid w:val="162CB546"/>
    <w:rsid w:val="16A06A64"/>
    <w:rsid w:val="171F4400"/>
    <w:rsid w:val="1814BBE3"/>
    <w:rsid w:val="181713FC"/>
    <w:rsid w:val="18793FC7"/>
    <w:rsid w:val="190ADBAB"/>
    <w:rsid w:val="196D7BD2"/>
    <w:rsid w:val="19997D89"/>
    <w:rsid w:val="19AF57C0"/>
    <w:rsid w:val="1B58EED9"/>
    <w:rsid w:val="1B76817E"/>
    <w:rsid w:val="1C6DCE6E"/>
    <w:rsid w:val="1C8860CB"/>
    <w:rsid w:val="1C939F54"/>
    <w:rsid w:val="1CA2655C"/>
    <w:rsid w:val="1CBAFC1C"/>
    <w:rsid w:val="1D03F336"/>
    <w:rsid w:val="1D7953FE"/>
    <w:rsid w:val="1D7EA14C"/>
    <w:rsid w:val="1DCDA743"/>
    <w:rsid w:val="1EA634BA"/>
    <w:rsid w:val="1EC0FB46"/>
    <w:rsid w:val="1F01853B"/>
    <w:rsid w:val="1F1E0A4A"/>
    <w:rsid w:val="1F329DB5"/>
    <w:rsid w:val="205CC2B2"/>
    <w:rsid w:val="2104D915"/>
    <w:rsid w:val="21696E57"/>
    <w:rsid w:val="21C71AB9"/>
    <w:rsid w:val="220FE782"/>
    <w:rsid w:val="223185B4"/>
    <w:rsid w:val="22486B6C"/>
    <w:rsid w:val="225C0BB9"/>
    <w:rsid w:val="2260B383"/>
    <w:rsid w:val="23039D7A"/>
    <w:rsid w:val="23762EBE"/>
    <w:rsid w:val="247B7F43"/>
    <w:rsid w:val="24BB1693"/>
    <w:rsid w:val="24F42B18"/>
    <w:rsid w:val="2515763E"/>
    <w:rsid w:val="2517546C"/>
    <w:rsid w:val="251E2520"/>
    <w:rsid w:val="25B80F51"/>
    <w:rsid w:val="25F87C15"/>
    <w:rsid w:val="265DE1F8"/>
    <w:rsid w:val="278C5FAE"/>
    <w:rsid w:val="27972C86"/>
    <w:rsid w:val="27B2879F"/>
    <w:rsid w:val="27F97632"/>
    <w:rsid w:val="284107EE"/>
    <w:rsid w:val="284CC209"/>
    <w:rsid w:val="28550486"/>
    <w:rsid w:val="287237F5"/>
    <w:rsid w:val="28D0D289"/>
    <w:rsid w:val="29389776"/>
    <w:rsid w:val="29854C53"/>
    <w:rsid w:val="2A4F88E5"/>
    <w:rsid w:val="2A4FC5D1"/>
    <w:rsid w:val="2B054071"/>
    <w:rsid w:val="2B39CAAE"/>
    <w:rsid w:val="2B4A7B78"/>
    <w:rsid w:val="2B887AE3"/>
    <w:rsid w:val="2C0C07BF"/>
    <w:rsid w:val="2CCF7D32"/>
    <w:rsid w:val="2CD59B0F"/>
    <w:rsid w:val="2CF0F585"/>
    <w:rsid w:val="2D1A5E05"/>
    <w:rsid w:val="2D62B74C"/>
    <w:rsid w:val="2D67D681"/>
    <w:rsid w:val="2DA2ABF7"/>
    <w:rsid w:val="2E601286"/>
    <w:rsid w:val="2E60BEB2"/>
    <w:rsid w:val="2EDFE9BC"/>
    <w:rsid w:val="2F2A29A8"/>
    <w:rsid w:val="2F2DA1A9"/>
    <w:rsid w:val="2F9EE0A0"/>
    <w:rsid w:val="2FC9065A"/>
    <w:rsid w:val="304CE988"/>
    <w:rsid w:val="30813936"/>
    <w:rsid w:val="30932107"/>
    <w:rsid w:val="30BA0F03"/>
    <w:rsid w:val="30E4C0A2"/>
    <w:rsid w:val="30EAAFDF"/>
    <w:rsid w:val="3171C9C6"/>
    <w:rsid w:val="318F03F6"/>
    <w:rsid w:val="3214E1C8"/>
    <w:rsid w:val="324E9B7D"/>
    <w:rsid w:val="32A1D184"/>
    <w:rsid w:val="32D68162"/>
    <w:rsid w:val="33D33CAF"/>
    <w:rsid w:val="33E88CB5"/>
    <w:rsid w:val="342F62C2"/>
    <w:rsid w:val="3472BAE7"/>
    <w:rsid w:val="347DC946"/>
    <w:rsid w:val="347F2F62"/>
    <w:rsid w:val="34913065"/>
    <w:rsid w:val="34C3F679"/>
    <w:rsid w:val="353E4CB2"/>
    <w:rsid w:val="35B2F7E4"/>
    <w:rsid w:val="36DCFBBA"/>
    <w:rsid w:val="37131FEE"/>
    <w:rsid w:val="371BC416"/>
    <w:rsid w:val="3778A114"/>
    <w:rsid w:val="386B2850"/>
    <w:rsid w:val="3913F4D0"/>
    <w:rsid w:val="39874361"/>
    <w:rsid w:val="39C4CEE1"/>
    <w:rsid w:val="3A08E28B"/>
    <w:rsid w:val="3AF10C35"/>
    <w:rsid w:val="3B03A885"/>
    <w:rsid w:val="3B3AB3B8"/>
    <w:rsid w:val="3BD5563A"/>
    <w:rsid w:val="3BFDF9C4"/>
    <w:rsid w:val="3C5B1098"/>
    <w:rsid w:val="3CC5FB77"/>
    <w:rsid w:val="3CD6CAB6"/>
    <w:rsid w:val="3CF1ACA7"/>
    <w:rsid w:val="3CF3AC5F"/>
    <w:rsid w:val="3CF61FC0"/>
    <w:rsid w:val="3D064A70"/>
    <w:rsid w:val="3D48A410"/>
    <w:rsid w:val="3D529148"/>
    <w:rsid w:val="3E2C2EB3"/>
    <w:rsid w:val="3E59CADD"/>
    <w:rsid w:val="3E8F7CC0"/>
    <w:rsid w:val="3F1545C0"/>
    <w:rsid w:val="3FA6F77F"/>
    <w:rsid w:val="3FB5046A"/>
    <w:rsid w:val="3FD61C42"/>
    <w:rsid w:val="3FDBB7AD"/>
    <w:rsid w:val="400E6FAA"/>
    <w:rsid w:val="40675AB8"/>
    <w:rsid w:val="40C38738"/>
    <w:rsid w:val="410EAAFB"/>
    <w:rsid w:val="41704DA6"/>
    <w:rsid w:val="4242053C"/>
    <w:rsid w:val="42D9315A"/>
    <w:rsid w:val="433A9E4F"/>
    <w:rsid w:val="436BB127"/>
    <w:rsid w:val="43FDC51F"/>
    <w:rsid w:val="446A4B06"/>
    <w:rsid w:val="44803310"/>
    <w:rsid w:val="44FEEA6E"/>
    <w:rsid w:val="450C3156"/>
    <w:rsid w:val="4647C6CE"/>
    <w:rsid w:val="465FCB70"/>
    <w:rsid w:val="4669AC1C"/>
    <w:rsid w:val="472893FC"/>
    <w:rsid w:val="4760F81E"/>
    <w:rsid w:val="476449D8"/>
    <w:rsid w:val="4799011B"/>
    <w:rsid w:val="47EA710C"/>
    <w:rsid w:val="48A70989"/>
    <w:rsid w:val="4919BCE0"/>
    <w:rsid w:val="4A039F27"/>
    <w:rsid w:val="4A7A4945"/>
    <w:rsid w:val="4AF7B711"/>
    <w:rsid w:val="4B0F9CEB"/>
    <w:rsid w:val="4BD3382E"/>
    <w:rsid w:val="4CFECD72"/>
    <w:rsid w:val="4CFFB668"/>
    <w:rsid w:val="4DDDA2CA"/>
    <w:rsid w:val="4DEDBC6A"/>
    <w:rsid w:val="4E4EE3BC"/>
    <w:rsid w:val="4E8FB182"/>
    <w:rsid w:val="4EBFE118"/>
    <w:rsid w:val="4EC7C899"/>
    <w:rsid w:val="4ED0CD8B"/>
    <w:rsid w:val="4ED51CAD"/>
    <w:rsid w:val="4F0A6E4C"/>
    <w:rsid w:val="4F1569EC"/>
    <w:rsid w:val="4F26DAD2"/>
    <w:rsid w:val="4FB1FFD7"/>
    <w:rsid w:val="5007CB17"/>
    <w:rsid w:val="501149B4"/>
    <w:rsid w:val="501EB810"/>
    <w:rsid w:val="5029DB04"/>
    <w:rsid w:val="5096C8D4"/>
    <w:rsid w:val="51363995"/>
    <w:rsid w:val="516060E4"/>
    <w:rsid w:val="518F76AD"/>
    <w:rsid w:val="52CA1080"/>
    <w:rsid w:val="52D1D787"/>
    <w:rsid w:val="52D673B6"/>
    <w:rsid w:val="5327780B"/>
    <w:rsid w:val="533456A6"/>
    <w:rsid w:val="53AF0544"/>
    <w:rsid w:val="53CF56A1"/>
    <w:rsid w:val="53DD638C"/>
    <w:rsid w:val="545ECA61"/>
    <w:rsid w:val="547012D6"/>
    <w:rsid w:val="549D4A7A"/>
    <w:rsid w:val="549E9957"/>
    <w:rsid w:val="54FD93B6"/>
    <w:rsid w:val="5569DE26"/>
    <w:rsid w:val="556DEF70"/>
    <w:rsid w:val="55E069E4"/>
    <w:rsid w:val="55EA8C43"/>
    <w:rsid w:val="55F35A9B"/>
    <w:rsid w:val="55FD5C04"/>
    <w:rsid w:val="56690A81"/>
    <w:rsid w:val="56809633"/>
    <w:rsid w:val="569916EB"/>
    <w:rsid w:val="56DD2BFB"/>
    <w:rsid w:val="57293218"/>
    <w:rsid w:val="5751613D"/>
    <w:rsid w:val="5782D572"/>
    <w:rsid w:val="578FC2CE"/>
    <w:rsid w:val="57B1E874"/>
    <w:rsid w:val="580F7A88"/>
    <w:rsid w:val="583A6DDF"/>
    <w:rsid w:val="5878FC77"/>
    <w:rsid w:val="58921175"/>
    <w:rsid w:val="58EF06FB"/>
    <w:rsid w:val="58F595B9"/>
    <w:rsid w:val="59B93D08"/>
    <w:rsid w:val="59BCA00D"/>
    <w:rsid w:val="5A0DE212"/>
    <w:rsid w:val="5A14CCD8"/>
    <w:rsid w:val="5A273A21"/>
    <w:rsid w:val="5A549296"/>
    <w:rsid w:val="5A582978"/>
    <w:rsid w:val="5A676B9C"/>
    <w:rsid w:val="5A95F09E"/>
    <w:rsid w:val="5AA83A7A"/>
    <w:rsid w:val="5AAE26D3"/>
    <w:rsid w:val="5AD9AEE5"/>
    <w:rsid w:val="5AF4B27E"/>
    <w:rsid w:val="5BA64BA1"/>
    <w:rsid w:val="5BE87571"/>
    <w:rsid w:val="5BF3F6B7"/>
    <w:rsid w:val="5C5EBE28"/>
    <w:rsid w:val="5C987065"/>
    <w:rsid w:val="5D494457"/>
    <w:rsid w:val="5D84581D"/>
    <w:rsid w:val="5DAFE678"/>
    <w:rsid w:val="5DB7EC1B"/>
    <w:rsid w:val="5DF216F6"/>
    <w:rsid w:val="5E10A475"/>
    <w:rsid w:val="5E2BFE49"/>
    <w:rsid w:val="5E302804"/>
    <w:rsid w:val="5E3440C6"/>
    <w:rsid w:val="5E8A14A3"/>
    <w:rsid w:val="5E909F13"/>
    <w:rsid w:val="5EA6088B"/>
    <w:rsid w:val="5EB34CC1"/>
    <w:rsid w:val="5EB5D140"/>
    <w:rsid w:val="5F0CE950"/>
    <w:rsid w:val="5F2803B9"/>
    <w:rsid w:val="5F5DA9DC"/>
    <w:rsid w:val="5F7061AF"/>
    <w:rsid w:val="5FA70FB4"/>
    <w:rsid w:val="5FF34A54"/>
    <w:rsid w:val="6030662C"/>
    <w:rsid w:val="612840C0"/>
    <w:rsid w:val="61A64E23"/>
    <w:rsid w:val="61AAF2D1"/>
    <w:rsid w:val="623400E4"/>
    <w:rsid w:val="62696185"/>
    <w:rsid w:val="62C15D82"/>
    <w:rsid w:val="6346F87E"/>
    <w:rsid w:val="63DE2932"/>
    <w:rsid w:val="63FB74DC"/>
    <w:rsid w:val="6477431F"/>
    <w:rsid w:val="649E0671"/>
    <w:rsid w:val="64BAD9C8"/>
    <w:rsid w:val="6525B1DB"/>
    <w:rsid w:val="652CD3FB"/>
    <w:rsid w:val="657CF6E1"/>
    <w:rsid w:val="658B4243"/>
    <w:rsid w:val="66212824"/>
    <w:rsid w:val="6629F487"/>
    <w:rsid w:val="662C2825"/>
    <w:rsid w:val="663F52AB"/>
    <w:rsid w:val="66522BB1"/>
    <w:rsid w:val="66757266"/>
    <w:rsid w:val="66CFB4DF"/>
    <w:rsid w:val="6733159E"/>
    <w:rsid w:val="6749DD8F"/>
    <w:rsid w:val="68075527"/>
    <w:rsid w:val="6881F653"/>
    <w:rsid w:val="696FC4F9"/>
    <w:rsid w:val="69756694"/>
    <w:rsid w:val="69AD0A92"/>
    <w:rsid w:val="69AEF4A9"/>
    <w:rsid w:val="69DE5F6B"/>
    <w:rsid w:val="69F2E374"/>
    <w:rsid w:val="69F4D807"/>
    <w:rsid w:val="6A288C90"/>
    <w:rsid w:val="6A6A956A"/>
    <w:rsid w:val="6A706CA5"/>
    <w:rsid w:val="6AA00E88"/>
    <w:rsid w:val="6ACB1185"/>
    <w:rsid w:val="6B48ED44"/>
    <w:rsid w:val="6BC634DA"/>
    <w:rsid w:val="6BF879D6"/>
    <w:rsid w:val="6C110B3C"/>
    <w:rsid w:val="6C12433B"/>
    <w:rsid w:val="6C57CF42"/>
    <w:rsid w:val="6C699209"/>
    <w:rsid w:val="6C6C6A5F"/>
    <w:rsid w:val="6C892D2D"/>
    <w:rsid w:val="6CB95953"/>
    <w:rsid w:val="6D602D52"/>
    <w:rsid w:val="6D7AC91D"/>
    <w:rsid w:val="6D9A5201"/>
    <w:rsid w:val="6E266E53"/>
    <w:rsid w:val="6E2ACD87"/>
    <w:rsid w:val="6F413BC9"/>
    <w:rsid w:val="6FD94808"/>
    <w:rsid w:val="707AE7F3"/>
    <w:rsid w:val="70C0CF87"/>
    <w:rsid w:val="70DFB640"/>
    <w:rsid w:val="7100AB27"/>
    <w:rsid w:val="718371AB"/>
    <w:rsid w:val="7190B482"/>
    <w:rsid w:val="7217A080"/>
    <w:rsid w:val="7245360D"/>
    <w:rsid w:val="72B75E86"/>
    <w:rsid w:val="7366EBF2"/>
    <w:rsid w:val="73858CBF"/>
    <w:rsid w:val="74039710"/>
    <w:rsid w:val="743B10C3"/>
    <w:rsid w:val="745EE5D1"/>
    <w:rsid w:val="74777C44"/>
    <w:rsid w:val="74BB4443"/>
    <w:rsid w:val="74EC51E4"/>
    <w:rsid w:val="74F6BB69"/>
    <w:rsid w:val="758633BF"/>
    <w:rsid w:val="7595589E"/>
    <w:rsid w:val="759D9196"/>
    <w:rsid w:val="75B6BAF4"/>
    <w:rsid w:val="75E363ED"/>
    <w:rsid w:val="7615D124"/>
    <w:rsid w:val="76D1F2BA"/>
    <w:rsid w:val="77924D57"/>
    <w:rsid w:val="77D9E00B"/>
    <w:rsid w:val="78083DDC"/>
    <w:rsid w:val="78885A17"/>
    <w:rsid w:val="7893AF50"/>
    <w:rsid w:val="78A790E2"/>
    <w:rsid w:val="78B95798"/>
    <w:rsid w:val="78D1DCE6"/>
    <w:rsid w:val="7949AEB9"/>
    <w:rsid w:val="79648E5D"/>
    <w:rsid w:val="799B09BD"/>
    <w:rsid w:val="79F63E75"/>
    <w:rsid w:val="7A18857A"/>
    <w:rsid w:val="7A1A53AE"/>
    <w:rsid w:val="7B1CBAF8"/>
    <w:rsid w:val="7B342777"/>
    <w:rsid w:val="7C0442DE"/>
    <w:rsid w:val="7C2A4E56"/>
    <w:rsid w:val="7C70CCB9"/>
    <w:rsid w:val="7C731846"/>
    <w:rsid w:val="7C7AF33B"/>
    <w:rsid w:val="7CB38477"/>
    <w:rsid w:val="7CF076F4"/>
    <w:rsid w:val="7D33005D"/>
    <w:rsid w:val="7D3BCD11"/>
    <w:rsid w:val="7E1B424B"/>
    <w:rsid w:val="7E78F075"/>
    <w:rsid w:val="7E97241A"/>
    <w:rsid w:val="7EB07282"/>
    <w:rsid w:val="7FA1C63F"/>
    <w:rsid w:val="7FB18A50"/>
    <w:rsid w:val="7FDE53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41700"/>
  <w15:chartTrackingRefBased/>
  <w15:docId w15:val="{594A83CF-CD7A-1245-A00D-2D14F345D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744"/>
    <w:rPr>
      <w:i/>
      <w:iCs/>
      <w:sz w:val="20"/>
      <w:szCs w:val="20"/>
    </w:rPr>
  </w:style>
  <w:style w:type="paragraph" w:styleId="Heading1">
    <w:name w:val="heading 1"/>
    <w:basedOn w:val="Normal"/>
    <w:next w:val="Normal"/>
    <w:link w:val="Heading1Char"/>
    <w:uiPriority w:val="9"/>
    <w:qFormat/>
    <w:rsid w:val="00134744"/>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134744"/>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134744"/>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134744"/>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134744"/>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134744"/>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134744"/>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134744"/>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134744"/>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744"/>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134744"/>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134744"/>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134744"/>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134744"/>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semiHidden/>
    <w:unhideWhenUsed/>
    <w:qFormat/>
    <w:rsid w:val="00134744"/>
    <w:rPr>
      <w:b/>
      <w:bCs/>
      <w:color w:val="858585" w:themeColor="accent2" w:themeShade="BF"/>
      <w:sz w:val="18"/>
      <w:szCs w:val="18"/>
    </w:rPr>
  </w:style>
  <w:style w:type="paragraph" w:styleId="Title">
    <w:name w:val="Title"/>
    <w:basedOn w:val="Normal"/>
    <w:next w:val="Normal"/>
    <w:link w:val="TitleChar"/>
    <w:uiPriority w:val="10"/>
    <w:qFormat/>
    <w:rsid w:val="00134744"/>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34744"/>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134744"/>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134744"/>
    <w:rPr>
      <w:rFonts w:asciiTheme="majorHAnsi" w:eastAsiaTheme="majorEastAsia" w:hAnsiTheme="majorHAnsi" w:cstheme="majorBidi"/>
      <w:i/>
      <w:iCs/>
      <w:color w:val="585858" w:themeColor="accent2" w:themeShade="7F"/>
      <w:sz w:val="24"/>
      <w:szCs w:val="24"/>
    </w:rPr>
  </w:style>
  <w:style w:type="character" w:styleId="Strong">
    <w:name w:val="Strong"/>
    <w:uiPriority w:val="22"/>
    <w:qFormat/>
    <w:rsid w:val="00134744"/>
    <w:rPr>
      <w:b/>
      <w:bCs/>
      <w:spacing w:val="0"/>
    </w:rPr>
  </w:style>
  <w:style w:type="character" w:styleId="Emphasis">
    <w:name w:val="Emphasis"/>
    <w:uiPriority w:val="20"/>
    <w:qFormat/>
    <w:rsid w:val="00134744"/>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uiPriority w:val="1"/>
    <w:qFormat/>
    <w:rsid w:val="00134744"/>
    <w:pPr>
      <w:spacing w:after="0" w:line="240" w:lineRule="auto"/>
    </w:pPr>
  </w:style>
  <w:style w:type="paragraph" w:styleId="ListParagraph">
    <w:name w:val="List Paragraph"/>
    <w:basedOn w:val="Normal"/>
    <w:uiPriority w:val="34"/>
    <w:qFormat/>
    <w:rsid w:val="00134744"/>
    <w:pPr>
      <w:ind w:left="720"/>
      <w:contextualSpacing/>
    </w:pPr>
  </w:style>
  <w:style w:type="paragraph" w:styleId="Quote">
    <w:name w:val="Quote"/>
    <w:basedOn w:val="Normal"/>
    <w:next w:val="Normal"/>
    <w:link w:val="QuoteChar"/>
    <w:uiPriority w:val="29"/>
    <w:qFormat/>
    <w:rsid w:val="00134744"/>
    <w:rPr>
      <w:i w:val="0"/>
      <w:iCs w:val="0"/>
      <w:color w:val="858585" w:themeColor="accent2" w:themeShade="BF"/>
    </w:rPr>
  </w:style>
  <w:style w:type="character" w:customStyle="1" w:styleId="QuoteChar">
    <w:name w:val="Quote Char"/>
    <w:basedOn w:val="DefaultParagraphFont"/>
    <w:link w:val="Quote"/>
    <w:uiPriority w:val="29"/>
    <w:rsid w:val="00134744"/>
    <w:rPr>
      <w:color w:val="858585" w:themeColor="accent2" w:themeShade="BF"/>
      <w:sz w:val="20"/>
      <w:szCs w:val="20"/>
    </w:rPr>
  </w:style>
  <w:style w:type="paragraph" w:styleId="IntenseQuote">
    <w:name w:val="Intense Quote"/>
    <w:basedOn w:val="Normal"/>
    <w:next w:val="Normal"/>
    <w:link w:val="IntenseQuoteChar"/>
    <w:uiPriority w:val="30"/>
    <w:qFormat/>
    <w:rsid w:val="00134744"/>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134744"/>
    <w:rPr>
      <w:rFonts w:asciiTheme="majorHAnsi" w:eastAsiaTheme="majorEastAsia" w:hAnsiTheme="majorHAnsi" w:cstheme="majorBidi"/>
      <w:b/>
      <w:bCs/>
      <w:i/>
      <w:iCs/>
      <w:color w:val="B2B2B2" w:themeColor="accent2"/>
      <w:sz w:val="20"/>
      <w:szCs w:val="20"/>
    </w:rPr>
  </w:style>
  <w:style w:type="character" w:styleId="SubtleEmphasis">
    <w:name w:val="Subtle Emphasis"/>
    <w:uiPriority w:val="19"/>
    <w:qFormat/>
    <w:rsid w:val="00134744"/>
    <w:rPr>
      <w:rFonts w:asciiTheme="majorHAnsi" w:eastAsiaTheme="majorEastAsia" w:hAnsiTheme="majorHAnsi" w:cstheme="majorBidi"/>
      <w:i/>
      <w:iCs/>
      <w:color w:val="B2B2B2" w:themeColor="accent2"/>
    </w:rPr>
  </w:style>
  <w:style w:type="character" w:styleId="IntenseEmphasis">
    <w:name w:val="Intense Emphasis"/>
    <w:uiPriority w:val="21"/>
    <w:qFormat/>
    <w:rsid w:val="00134744"/>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SubtleReference">
    <w:name w:val="Subtle Reference"/>
    <w:uiPriority w:val="31"/>
    <w:qFormat/>
    <w:rsid w:val="00134744"/>
    <w:rPr>
      <w:i/>
      <w:iCs/>
      <w:smallCaps/>
      <w:color w:val="B2B2B2" w:themeColor="accent2"/>
      <w:u w:color="B2B2B2" w:themeColor="accent2"/>
    </w:rPr>
  </w:style>
  <w:style w:type="character" w:styleId="IntenseReference">
    <w:name w:val="Intense Reference"/>
    <w:uiPriority w:val="32"/>
    <w:qFormat/>
    <w:rsid w:val="00134744"/>
    <w:rPr>
      <w:b/>
      <w:bCs/>
      <w:i/>
      <w:iCs/>
      <w:smallCaps/>
      <w:color w:val="B2B2B2" w:themeColor="accent2"/>
      <w:u w:color="B2B2B2" w:themeColor="accent2"/>
    </w:rPr>
  </w:style>
  <w:style w:type="character" w:styleId="BookTitle">
    <w:name w:val="Book Title"/>
    <w:uiPriority w:val="33"/>
    <w:qFormat/>
    <w:rsid w:val="00134744"/>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134744"/>
    <w:pPr>
      <w:outlineLvl w:val="9"/>
    </w:pPr>
  </w:style>
  <w:style w:type="paragraph" w:styleId="Header">
    <w:name w:val="header"/>
    <w:basedOn w:val="Normal"/>
    <w:link w:val="HeaderChar"/>
    <w:uiPriority w:val="99"/>
    <w:unhideWhenUsed/>
    <w:rsid w:val="00712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B26"/>
    <w:rPr>
      <w:i/>
      <w:iCs/>
      <w:sz w:val="20"/>
      <w:szCs w:val="20"/>
    </w:rPr>
  </w:style>
  <w:style w:type="paragraph" w:styleId="Footer">
    <w:name w:val="footer"/>
    <w:basedOn w:val="Normal"/>
    <w:link w:val="FooterChar"/>
    <w:uiPriority w:val="99"/>
    <w:unhideWhenUsed/>
    <w:rsid w:val="00712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B26"/>
    <w:rPr>
      <w:i/>
      <w:iCs/>
      <w:sz w:val="20"/>
      <w:szCs w:val="20"/>
    </w:rPr>
  </w:style>
  <w:style w:type="character" w:styleId="Hyperlink">
    <w:name w:val="Hyperlink"/>
    <w:basedOn w:val="DefaultParagraphFont"/>
    <w:uiPriority w:val="99"/>
    <w:unhideWhenUsed/>
    <w:rsid w:val="0041685C"/>
    <w:rPr>
      <w:color w:val="5F5F5F" w:themeColor="hyperlink"/>
      <w:u w:val="single"/>
    </w:rPr>
  </w:style>
  <w:style w:type="character" w:styleId="UnresolvedMention">
    <w:name w:val="Unresolved Mention"/>
    <w:basedOn w:val="DefaultParagraphFont"/>
    <w:uiPriority w:val="99"/>
    <w:semiHidden/>
    <w:unhideWhenUsed/>
    <w:rsid w:val="00416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5226">
      <w:bodyDiv w:val="1"/>
      <w:marLeft w:val="0"/>
      <w:marRight w:val="0"/>
      <w:marTop w:val="0"/>
      <w:marBottom w:val="0"/>
      <w:divBdr>
        <w:top w:val="none" w:sz="0" w:space="0" w:color="auto"/>
        <w:left w:val="none" w:sz="0" w:space="0" w:color="auto"/>
        <w:bottom w:val="none" w:sz="0" w:space="0" w:color="auto"/>
        <w:right w:val="none" w:sz="0" w:space="0" w:color="auto"/>
      </w:divBdr>
    </w:div>
    <w:div w:id="941693099">
      <w:bodyDiv w:val="1"/>
      <w:marLeft w:val="0"/>
      <w:marRight w:val="0"/>
      <w:marTop w:val="0"/>
      <w:marBottom w:val="0"/>
      <w:divBdr>
        <w:top w:val="none" w:sz="0" w:space="0" w:color="auto"/>
        <w:left w:val="none" w:sz="0" w:space="0" w:color="auto"/>
        <w:bottom w:val="none" w:sz="0" w:space="0" w:color="auto"/>
        <w:right w:val="none" w:sz="0" w:space="0" w:color="auto"/>
      </w:divBdr>
    </w:div>
    <w:div w:id="193439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ublic.tableau.com/app/profile/eisgroup.3/vizzes" TargetMode="External"/><Relationship Id="rId25" Type="http://schemas.openxmlformats.org/officeDocument/2006/relationships/header" Target="header1.xm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1703</Words>
  <Characters>11973</Characters>
  <Application>Microsoft Office Word</Application>
  <DocSecurity>0</DocSecurity>
  <Lines>427</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Negi</dc:creator>
  <cp:keywords/>
  <dc:description/>
  <cp:lastModifiedBy>Alexandra Harde</cp:lastModifiedBy>
  <cp:revision>2</cp:revision>
  <dcterms:created xsi:type="dcterms:W3CDTF">2024-04-25T22:36:00Z</dcterms:created>
  <dcterms:modified xsi:type="dcterms:W3CDTF">2024-04-25T22:36:00Z</dcterms:modified>
</cp:coreProperties>
</file>