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A1D6" w14:textId="77777777" w:rsidR="00602EBB" w:rsidRDefault="00602EBB" w:rsidP="0064609C">
      <w:pPr>
        <w:pStyle w:val="Title"/>
      </w:pPr>
      <w:r>
        <w:t>Orthopaedic Guidance Hub — Project Overview</w:t>
      </w:r>
    </w:p>
    <w:p w14:paraId="14659EF3" w14:textId="77777777" w:rsidR="00602EBB" w:rsidRPr="00602EBB" w:rsidRDefault="00602EBB" w:rsidP="0064609C">
      <w:pPr>
        <w:pStyle w:val="Heading2"/>
      </w:pPr>
      <w:r w:rsidRPr="00602EBB">
        <w:t>Introduction</w:t>
      </w:r>
    </w:p>
    <w:p w14:paraId="2A6029E0" w14:textId="77777777" w:rsidR="0064609C" w:rsidRDefault="0064609C" w:rsidP="00602EBB">
      <w:pPr>
        <w:rPr>
          <w:rFonts w:ascii="Aptos" w:hAnsi="Aptos"/>
          <w:sz w:val="20"/>
          <w:szCs w:val="20"/>
        </w:rPr>
      </w:pPr>
      <w:r w:rsidRPr="0064609C">
        <w:rPr>
          <w:rFonts w:ascii="Aptos" w:hAnsi="Aptos"/>
          <w:sz w:val="20"/>
          <w:szCs w:val="20"/>
        </w:rPr>
        <w:t>The Orthopaedic Guidance Hub is an early-stage prototype digital tool developed with the PRUH orthopaedic team in mind to make orthopaedic guidance easier to find and use in day-to-day clinical practice. It provides a simple, mobile-friendly, searchable front door to relevant national and specialist-society guidance for use in ward, clinic, and on-call settings. This helps clinicians navigate guidance that is currently spread across multiple organisations, websites, and document types.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88"/>
        <w:gridCol w:w="4688"/>
      </w:tblGrid>
      <w:tr w:rsidR="0064609C" w:rsidRPr="0064609C" w14:paraId="7EF31D74" w14:textId="77777777" w:rsidTr="0064609C">
        <w:tc>
          <w:tcPr>
            <w:tcW w:w="4688" w:type="dxa"/>
          </w:tcPr>
          <w:p w14:paraId="5E7C2148" w14:textId="77777777" w:rsidR="0064609C" w:rsidRPr="0064609C" w:rsidRDefault="0064609C" w:rsidP="0064609C">
            <w:pPr>
              <w:jc w:val="center"/>
              <w:rPr>
                <w:i/>
                <w:sz w:val="16"/>
              </w:rPr>
            </w:pPr>
            <w:r w:rsidRPr="0064609C">
              <w:rPr>
                <w:i/>
                <w:sz w:val="16"/>
              </w:rPr>
              <w:drawing>
                <wp:inline distT="0" distB="0" distL="0" distR="0" wp14:anchorId="65E4B0D0" wp14:editId="26773AA2">
                  <wp:extent cx="2794000" cy="2632957"/>
                  <wp:effectExtent l="0" t="0" r="6350" b="0"/>
                  <wp:docPr id="19613394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3948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63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609C">
              <w:rPr>
                <w:i/>
                <w:sz w:val="16"/>
              </w:rPr>
              <w:t>Fig 1: Guidelines library — grouped by clinical section, searchable, with source links and version tracking.</w:t>
            </w:r>
          </w:p>
          <w:p w14:paraId="18FA1070" w14:textId="53257165" w:rsidR="0064609C" w:rsidRPr="0064609C" w:rsidRDefault="0064609C" w:rsidP="0064609C">
            <w:pPr>
              <w:jc w:val="center"/>
            </w:pPr>
          </w:p>
        </w:tc>
        <w:tc>
          <w:tcPr>
            <w:tcW w:w="4688" w:type="dxa"/>
          </w:tcPr>
          <w:p w14:paraId="57CB6DB9" w14:textId="77777777" w:rsidR="0064609C" w:rsidRPr="0064609C" w:rsidRDefault="0064609C" w:rsidP="0064609C">
            <w:pPr>
              <w:jc w:val="center"/>
              <w:rPr>
                <w:i/>
                <w:sz w:val="16"/>
              </w:rPr>
            </w:pPr>
            <w:r w:rsidRPr="0064609C">
              <w:rPr>
                <w:i/>
                <w:sz w:val="16"/>
              </w:rPr>
              <w:drawing>
                <wp:inline distT="0" distB="0" distL="0" distR="0" wp14:anchorId="66A2FB88" wp14:editId="32CE1137">
                  <wp:extent cx="2794000" cy="2639803"/>
                  <wp:effectExtent l="0" t="0" r="6350" b="8255"/>
                  <wp:docPr id="11502941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9411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63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609C">
              <w:rPr>
                <w:i/>
                <w:sz w:val="16"/>
              </w:rPr>
              <w:t>Fig 2: Guideline entry detail — source, summary, review status, and linked versions.</w:t>
            </w:r>
          </w:p>
          <w:p w14:paraId="4C55498A" w14:textId="4045FB6D" w:rsidR="0064609C" w:rsidRPr="0064609C" w:rsidRDefault="0064609C" w:rsidP="0064609C">
            <w:pPr>
              <w:jc w:val="center"/>
            </w:pPr>
          </w:p>
        </w:tc>
      </w:tr>
    </w:tbl>
    <w:p w14:paraId="1852FB54" w14:textId="77777777" w:rsidR="00602EBB" w:rsidRPr="00602EBB" w:rsidRDefault="00602EBB" w:rsidP="0064609C">
      <w:pPr>
        <w:pStyle w:val="Heading2"/>
      </w:pPr>
      <w:r w:rsidRPr="00602EBB">
        <w:t>What the prototype currently offers</w:t>
      </w:r>
    </w:p>
    <w:p w14:paraId="55248027" w14:textId="77777777" w:rsidR="00602EBB" w:rsidRPr="00602EBB" w:rsidRDefault="00602EBB" w:rsidP="00602EBB">
      <w:pPr>
        <w:rPr>
          <w:sz w:val="20"/>
          <w:szCs w:val="20"/>
        </w:rPr>
      </w:pPr>
      <w:r w:rsidRPr="00602EBB">
        <w:rPr>
          <w:sz w:val="20"/>
          <w:szCs w:val="20"/>
        </w:rPr>
        <w:t>The current version of the hub:</w:t>
      </w:r>
    </w:p>
    <w:p w14:paraId="4C7CE65A" w14:textId="4D4B8C3B" w:rsidR="00602EBB" w:rsidRPr="00602EBB" w:rsidRDefault="00602EBB" w:rsidP="0064609C">
      <w:pPr>
        <w:pStyle w:val="ListBullet"/>
      </w:pPr>
      <w:r w:rsidRPr="00602EBB">
        <w:t>groups guidance by relevant clinical section and topi</w:t>
      </w:r>
      <w:r w:rsidRPr="00602EBB">
        <w:t>c</w:t>
      </w:r>
    </w:p>
    <w:p w14:paraId="3CBF31A3" w14:textId="664F9224" w:rsidR="00602EBB" w:rsidRPr="00602EBB" w:rsidRDefault="00602EBB" w:rsidP="0064609C">
      <w:pPr>
        <w:pStyle w:val="ListBullet"/>
      </w:pPr>
      <w:r w:rsidRPr="00602EBB">
        <w:t>allows quick browsing and search</w:t>
      </w:r>
    </w:p>
    <w:p w14:paraId="67D2F5BD" w14:textId="04CC997B" w:rsidR="00602EBB" w:rsidRPr="00602EBB" w:rsidRDefault="00602EBB" w:rsidP="0064609C">
      <w:pPr>
        <w:pStyle w:val="ListBullet"/>
      </w:pPr>
      <w:r w:rsidRPr="00602EBB">
        <w:t>links directly to original source documents</w:t>
      </w:r>
    </w:p>
    <w:p w14:paraId="28A9A4ED" w14:textId="2AB209BB" w:rsidR="00602EBB" w:rsidRPr="00602EBB" w:rsidRDefault="00602EBB" w:rsidP="0064609C">
      <w:pPr>
        <w:pStyle w:val="ListBullet"/>
      </w:pPr>
      <w:r w:rsidRPr="00602EBB">
        <w:t>creates a more coherent and accessible navigation layer across multiple guidance providers</w:t>
      </w:r>
    </w:p>
    <w:p w14:paraId="0F28E234" w14:textId="39B66076" w:rsidR="00602EBB" w:rsidRPr="00602EBB" w:rsidRDefault="00602EBB" w:rsidP="00602EBB">
      <w:pPr>
        <w:rPr>
          <w:sz w:val="20"/>
          <w:szCs w:val="20"/>
        </w:rPr>
      </w:pPr>
      <w:r w:rsidRPr="00602EBB">
        <w:rPr>
          <w:sz w:val="20"/>
          <w:szCs w:val="20"/>
        </w:rPr>
        <w:t>Th</w:t>
      </w:r>
      <w:r w:rsidR="0064609C" w:rsidRPr="0064609C">
        <w:rPr>
          <w:rFonts w:ascii="Aptos" w:hAnsi="Aptos"/>
          <w:sz w:val="20"/>
          <w:szCs w:val="20"/>
        </w:rPr>
        <w:t>e tool is intended to help clinicians reach relevant guidance more efficiently, rather than replace</w:t>
      </w:r>
      <w:r w:rsidRPr="00602EBB">
        <w:rPr>
          <w:sz w:val="20"/>
          <w:szCs w:val="20"/>
        </w:rPr>
        <w:t xml:space="preserve"> the source material itself.</w:t>
      </w:r>
    </w:p>
    <w:p w14:paraId="33E5D546" w14:textId="523C58D8" w:rsidR="00602EBB" w:rsidRPr="00602EBB" w:rsidRDefault="00602EBB" w:rsidP="0064609C">
      <w:pPr>
        <w:pStyle w:val="Heading2"/>
      </w:pPr>
      <w:r w:rsidRPr="00602EBB">
        <w:t xml:space="preserve">Why </w:t>
      </w:r>
      <w:r w:rsidR="0064609C" w:rsidRPr="0064609C">
        <w:rPr>
          <w:rFonts w:ascii="Aptos Display" w:hAnsi="Aptos Display"/>
        </w:rPr>
        <w:t>it is useful</w:t>
      </w:r>
    </w:p>
    <w:p w14:paraId="4028B826" w14:textId="20EBA88F" w:rsidR="00602EBB" w:rsidRPr="00602EBB" w:rsidRDefault="00602EBB" w:rsidP="00602EBB">
      <w:pPr>
        <w:rPr>
          <w:sz w:val="20"/>
          <w:szCs w:val="20"/>
        </w:rPr>
      </w:pPr>
      <w:r w:rsidRPr="00602EBB">
        <w:rPr>
          <w:sz w:val="20"/>
          <w:szCs w:val="20"/>
        </w:rPr>
        <w:t xml:space="preserve">In busy clinical environments, guidance </w:t>
      </w:r>
      <w:r w:rsidR="0064609C" w:rsidRPr="0064609C">
        <w:rPr>
          <w:rFonts w:ascii="Aptos" w:hAnsi="Aptos"/>
          <w:sz w:val="20"/>
          <w:szCs w:val="20"/>
        </w:rPr>
        <w:t>can be difficult to locate quickly despite already existing</w:t>
      </w:r>
      <w:r w:rsidRPr="00602EBB">
        <w:rPr>
          <w:sz w:val="20"/>
          <w:szCs w:val="20"/>
        </w:rPr>
        <w:t>. A tool that improves access, visibility, and organisation has the potential to make day-to-day practice more efficient and more consistent, particularly for junior clinicians and teams working across different settings.</w:t>
      </w:r>
    </w:p>
    <w:p w14:paraId="6610083F" w14:textId="77777777" w:rsidR="00602EBB" w:rsidRPr="00602EBB" w:rsidRDefault="00602EBB" w:rsidP="0064609C">
      <w:pPr>
        <w:pStyle w:val="Heading2"/>
      </w:pPr>
      <w:r w:rsidRPr="00602EBB">
        <w:t>Current position</w:t>
      </w:r>
    </w:p>
    <w:p w14:paraId="6E36CF1E" w14:textId="77777777" w:rsidR="0064609C" w:rsidRDefault="00602EBB" w:rsidP="00602EBB">
      <w:pPr>
        <w:rPr>
          <w:sz w:val="20"/>
          <w:szCs w:val="20"/>
        </w:rPr>
      </w:pPr>
      <w:r w:rsidRPr="00602EBB">
        <w:rPr>
          <w:sz w:val="20"/>
          <w:szCs w:val="20"/>
        </w:rPr>
        <w:t>The project is currently a first-draft prototype and has been shared locally for early feedback. The response so far has been encouraging, and the next step is to refine it into a stronger final draft while clarifying the appropriate governance, licensing, and maintenance arrangements needed before any wider rollout is considered.</w:t>
      </w:r>
    </w:p>
    <w:p w14:paraId="332BCAB1" w14:textId="49055FBE" w:rsidR="00602EBB" w:rsidRPr="0064609C" w:rsidRDefault="0064609C" w:rsidP="0064609C">
      <w:pPr>
        <w:rPr>
          <w:sz w:val="20"/>
        </w:rPr>
      </w:pPr>
      <w:r w:rsidRPr="0064609C">
        <w:rPr>
          <w:sz w:val="20"/>
        </w:rPr>
        <w:t>Following this initial feedback, I have also been encouraged to explore what an app-based or more formal mobile version of the tool could look like in the future, once the core web-based model has been refined.</w:t>
      </w:r>
    </w:p>
    <w:p w14:paraId="39F0ECE5" w14:textId="63145AFE" w:rsidR="00602EBB" w:rsidRPr="0064609C" w:rsidRDefault="00602EBB" w:rsidP="0064609C">
      <w:pPr>
        <w:rPr>
          <w:sz w:val="20"/>
          <w:szCs w:val="20"/>
        </w:rPr>
      </w:pPr>
      <w:r w:rsidRPr="00602EBB">
        <w:rPr>
          <w:sz w:val="20"/>
          <w:szCs w:val="20"/>
        </w:rPr>
        <w:t xml:space="preserve">The project is being </w:t>
      </w:r>
      <w:r w:rsidRPr="0064609C">
        <w:rPr>
          <w:sz w:val="20"/>
          <w:szCs w:val="20"/>
        </w:rPr>
        <w:t xml:space="preserve">shaped </w:t>
      </w:r>
      <w:r w:rsidR="0064609C" w:rsidRPr="0064609C">
        <w:rPr>
          <w:sz w:val="20"/>
          <w:szCs w:val="20"/>
        </w:rPr>
        <w:t xml:space="preserve">to </w:t>
      </w:r>
      <w:r w:rsidRPr="0064609C">
        <w:rPr>
          <w:sz w:val="20"/>
          <w:szCs w:val="20"/>
        </w:rPr>
        <w:t>ensure any future expansion is supported by appropriate governance, licensing, and maintenance arrangements</w:t>
      </w:r>
    </w:p>
    <w:p w14:paraId="6B489777" w14:textId="77777777" w:rsidR="00602EBB" w:rsidRPr="00602EBB" w:rsidRDefault="00602EBB" w:rsidP="0064609C">
      <w:pPr>
        <w:pStyle w:val="Heading2"/>
      </w:pPr>
      <w:r w:rsidRPr="00602EBB">
        <w:lastRenderedPageBreak/>
        <w:t>Next steps</w:t>
      </w:r>
    </w:p>
    <w:p w14:paraId="562DD2B8" w14:textId="14DFCB3D" w:rsidR="00602EBB" w:rsidRPr="00602EBB" w:rsidRDefault="00602EBB" w:rsidP="00602EBB">
      <w:pPr>
        <w:rPr>
          <w:sz w:val="20"/>
          <w:szCs w:val="20"/>
        </w:rPr>
      </w:pPr>
      <w:r w:rsidRPr="00602EBB">
        <w:rPr>
          <w:sz w:val="20"/>
          <w:szCs w:val="20"/>
        </w:rPr>
        <w:t>The next stage of work is focused on:</w:t>
      </w:r>
    </w:p>
    <w:p w14:paraId="2732659C" w14:textId="0D1C61C7" w:rsidR="00602EBB" w:rsidRPr="00602EBB" w:rsidRDefault="00602EBB" w:rsidP="0064609C">
      <w:pPr>
        <w:pStyle w:val="ListBullet"/>
      </w:pPr>
      <w:r w:rsidRPr="00602EBB">
        <w:t>refining the prototype into a stronger final draft</w:t>
      </w:r>
    </w:p>
    <w:p w14:paraId="2BDD0B39" w14:textId="05A459F9" w:rsidR="00602EBB" w:rsidRPr="00602EBB" w:rsidRDefault="00602EBB" w:rsidP="0064609C">
      <w:pPr>
        <w:pStyle w:val="ListBullet"/>
      </w:pPr>
      <w:r w:rsidRPr="00602EBB">
        <w:t>clarifying IP, licensing, and publication considerations</w:t>
      </w:r>
    </w:p>
    <w:p w14:paraId="73D0B606" w14:textId="4ACBC07D" w:rsidR="00602EBB" w:rsidRPr="00602EBB" w:rsidRDefault="00602EBB" w:rsidP="0064609C">
      <w:pPr>
        <w:pStyle w:val="ListBullet"/>
      </w:pPr>
      <w:r w:rsidRPr="00602EBB">
        <w:t>defining a realistic maintenance and ownership model</w:t>
      </w:r>
    </w:p>
    <w:p w14:paraId="4CA6DEAB" w14:textId="77777777" w:rsidR="0064609C" w:rsidRDefault="00602EBB" w:rsidP="0064609C">
      <w:pPr>
        <w:pStyle w:val="ListBullet"/>
      </w:pPr>
      <w:r w:rsidRPr="00602EBB">
        <w:t>gathering more detailed feedback on what would make the tool most useful in practice</w:t>
      </w:r>
    </w:p>
    <w:p w14:paraId="00964C0F" w14:textId="7260B299" w:rsidR="00602EBB" w:rsidRDefault="0064609C" w:rsidP="0064609C">
      <w:pPr>
        <w:pStyle w:val="ListBullet"/>
      </w:pPr>
      <w:r>
        <w:t>exploring whether a mobile app or app-like version would be appropriate at a later stage</w:t>
      </w:r>
    </w:p>
    <w:p w14:paraId="4C7C632D" w14:textId="77777777" w:rsidR="0064609C" w:rsidRDefault="0064609C" w:rsidP="0064609C">
      <w:pPr>
        <w:pStyle w:val="ListBullet"/>
        <w:numPr>
          <w:ilvl w:val="0"/>
          <w:numId w:val="0"/>
        </w:numPr>
        <w:ind w:left="360" w:hanging="360"/>
      </w:pPr>
    </w:p>
    <w:p w14:paraId="35774595" w14:textId="77777777" w:rsidR="0064609C" w:rsidRPr="0064609C" w:rsidRDefault="0064609C" w:rsidP="0064609C">
      <w:pPr>
        <w:pStyle w:val="ListBullet"/>
        <w:numPr>
          <w:ilvl w:val="0"/>
          <w:numId w:val="0"/>
        </w:numPr>
        <w:ind w:left="360" w:hanging="360"/>
        <w:rPr>
          <w:color w:val="0F4761" w:themeColor="accent1" w:themeShade="BF"/>
        </w:rPr>
      </w:pPr>
      <w:r w:rsidRPr="0064609C">
        <w:rPr>
          <w:color w:val="0F4761" w:themeColor="accent1" w:themeShade="BF"/>
        </w:rPr>
        <w:t>About the project lead</w:t>
      </w:r>
    </w:p>
    <w:p w14:paraId="1B746FC6" w14:textId="6C22E0E5" w:rsidR="0064609C" w:rsidRPr="0064609C" w:rsidRDefault="0064609C" w:rsidP="0064609C">
      <w:pPr>
        <w:pStyle w:val="ListBullet"/>
        <w:numPr>
          <w:ilvl w:val="0"/>
          <w:numId w:val="0"/>
        </w:numPr>
        <w:ind w:left="360"/>
      </w:pPr>
      <w:r w:rsidRPr="0064609C">
        <w:t xml:space="preserve">Safa </w:t>
      </w:r>
      <w:r>
        <w:t>Saheer,</w:t>
      </w:r>
      <w:r w:rsidRPr="0064609C">
        <w:t xml:space="preserve"> a Biomedical Science student and the originator of the Orthopaedic Guidance Hub, developed as an early-stage digital project to improve access to orthopaedic guidance </w:t>
      </w:r>
      <w:r>
        <w:t>at PRUH</w:t>
      </w:r>
    </w:p>
    <w:p w14:paraId="1A6622E6" w14:textId="77777777" w:rsidR="0064609C" w:rsidRPr="00602EBB" w:rsidRDefault="0064609C" w:rsidP="0064609C">
      <w:pPr>
        <w:pStyle w:val="ListBullet"/>
        <w:numPr>
          <w:ilvl w:val="0"/>
          <w:numId w:val="0"/>
        </w:numPr>
        <w:ind w:left="360" w:hanging="360"/>
      </w:pPr>
    </w:p>
    <w:sectPr w:rsidR="0064609C" w:rsidRPr="00602EBB" w:rsidSect="006460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80" w:right="1260" w:bottom="108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EF79" w14:textId="77777777" w:rsidR="0007375F" w:rsidRDefault="0007375F" w:rsidP="0064609C">
      <w:pPr>
        <w:spacing w:after="0" w:line="240" w:lineRule="auto"/>
      </w:pPr>
      <w:r>
        <w:separator/>
      </w:r>
    </w:p>
  </w:endnote>
  <w:endnote w:type="continuationSeparator" w:id="0">
    <w:p w14:paraId="5EBEC8BA" w14:textId="77777777" w:rsidR="0007375F" w:rsidRDefault="0007375F" w:rsidP="00646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AE33" w14:textId="77777777" w:rsidR="0064609C" w:rsidRDefault="00646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7F8D" w14:textId="77777777" w:rsidR="0064609C" w:rsidRDefault="006460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6D74" w14:textId="77777777" w:rsidR="0064609C" w:rsidRDefault="00646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62CD" w14:textId="77777777" w:rsidR="0007375F" w:rsidRDefault="0007375F" w:rsidP="0064609C">
      <w:pPr>
        <w:spacing w:after="0" w:line="240" w:lineRule="auto"/>
      </w:pPr>
      <w:r>
        <w:separator/>
      </w:r>
    </w:p>
  </w:footnote>
  <w:footnote w:type="continuationSeparator" w:id="0">
    <w:p w14:paraId="306BB640" w14:textId="77777777" w:rsidR="0007375F" w:rsidRDefault="0007375F" w:rsidP="00646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1F7A" w14:textId="77777777" w:rsidR="0064609C" w:rsidRDefault="00646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72BE" w14:textId="77777777" w:rsidR="0064609C" w:rsidRDefault="006460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E054" w14:textId="77777777" w:rsidR="0064609C" w:rsidRDefault="00646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40E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63AF"/>
    <w:multiLevelType w:val="multilevel"/>
    <w:tmpl w:val="F4B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93BF6"/>
    <w:multiLevelType w:val="multilevel"/>
    <w:tmpl w:val="0C8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6573A"/>
    <w:multiLevelType w:val="multilevel"/>
    <w:tmpl w:val="1C7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31272">
    <w:abstractNumId w:val="1"/>
  </w:num>
  <w:num w:numId="2" w16cid:durableId="1206717077">
    <w:abstractNumId w:val="3"/>
  </w:num>
  <w:num w:numId="3" w16cid:durableId="630861224">
    <w:abstractNumId w:val="2"/>
  </w:num>
  <w:num w:numId="4" w16cid:durableId="79102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BB"/>
    <w:rsid w:val="0007375F"/>
    <w:rsid w:val="00602EBB"/>
    <w:rsid w:val="0064609C"/>
    <w:rsid w:val="00D9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11FD"/>
  <w15:chartTrackingRefBased/>
  <w15:docId w15:val="{446D4FA9-B339-4ADA-B768-28B868A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EBB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EBB"/>
    <w:rPr>
      <w:rFonts w:asciiTheme="majorHAnsi" w:eastAsiaTheme="majorEastAsia" w:hAnsiTheme="majorHAnsi" w:cstheme="majorBidi"/>
      <w:color w:val="0F4761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BB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EBB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09C"/>
  </w:style>
  <w:style w:type="paragraph" w:styleId="Footer">
    <w:name w:val="footer"/>
    <w:basedOn w:val="Normal"/>
    <w:link w:val="FooterChar"/>
    <w:uiPriority w:val="99"/>
    <w:unhideWhenUsed/>
    <w:rsid w:val="00646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09C"/>
  </w:style>
  <w:style w:type="paragraph" w:styleId="ListBullet">
    <w:name w:val="List Bullet"/>
    <w:basedOn w:val="Normal"/>
    <w:uiPriority w:val="99"/>
    <w:unhideWhenUsed/>
    <w:rsid w:val="0064609C"/>
    <w:pPr>
      <w:numPr>
        <w:numId w:val="4"/>
      </w:numPr>
      <w:spacing w:after="40"/>
      <w:contextualSpacing/>
    </w:pPr>
    <w:rPr>
      <w:sz w:val="20"/>
    </w:rPr>
  </w:style>
  <w:style w:type="table" w:styleId="TableGrid">
    <w:name w:val="Table Grid"/>
    <w:basedOn w:val="TableNormal"/>
    <w:uiPriority w:val="39"/>
    <w:rsid w:val="00646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2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0A1CC6-B1F1-4A7C-A583-DDF980168CE7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75da3355-37e9-46ee-81fc-08054c03c5a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406</Words>
  <Characters>2397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paravakkal</dc:creator>
  <cp:keywords/>
  <dc:description/>
  <cp:lastModifiedBy>safa paravakkal</cp:lastModifiedBy>
  <cp:revision>1</cp:revision>
  <cp:lastPrinted>2026-07-24T14:59:00Z</cp:lastPrinted>
  <dcterms:created xsi:type="dcterms:W3CDTF">2026-07-24T11:52:00Z</dcterms:created>
  <dcterms:modified xsi:type="dcterms:W3CDTF">2026-07-24T15:05:00Z</dcterms:modified>
</cp:coreProperties>
</file>