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>300430</w:t>
      </w:r>
      <w:r>
        <w:rPr>
          <w:rFonts w:ascii="Cambria" w:hAnsi="Cambria"/>
          <w:b/>
          <w:color w:val="ED7D31" w:themeColor="accent2"/>
        </w:rPr>
        <w:t>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>Cognizant: Expose RentTrack Subscription Status</w:t>
      </w:r>
    </w:p>
    <w:p>
      <w:pPr>
        <w:pStyle w:val="Normal"/>
        <w:spacing w:lineRule="auto" w:line="240" w:before="0" w:after="0"/>
        <w:rPr>
          <w:rFonts w:ascii="Cambria" w:hAnsi="Cambria" w:eastAsia="NSimSun" w:cs="Arial"/>
          <w:b/>
          <w:b/>
          <w:i w:val="false"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is enhanced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to get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the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</w:t>
      </w:r>
      <w:bookmarkStart w:id="0" w:name="__DdeLink__40_3275065324"/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enrollment</w:t>
      </w:r>
      <w:bookmarkEnd w:id="0"/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status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of the tenant user.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will provide the below service to get the enrollment status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/v1/customer/{ucid}/{brand} </w:t>
      </w:r>
    </w:p>
    <w:p>
      <w:pPr>
        <w:pStyle w:val="Normal"/>
        <w:widowControl/>
        <w:bidi w:val="0"/>
        <w:spacing w:lineRule="auto" w:line="240" w:before="0" w:after="0"/>
        <w:ind w:left="720" w:right="0" w:firstLine="720"/>
        <w:jc w:val="left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APIs Involved: N/A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N/A</w:t>
      </w:r>
    </w:p>
    <w:p>
      <w:pPr>
        <w:pStyle w:val="Normal"/>
        <w:numPr>
          <w:ilvl w:val="2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Customer_data and Customer_subscription table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 N/A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2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 N /A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 N/A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1: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BCM will receive the get user status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request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from RSP(UI)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2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 BCM will fetch the latest customer_subscription data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based on the ucid and brand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/>
          <w:b/>
          <w:bCs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Step 3: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BCM will respond back to the invoker with any on of the below status based on the subscription status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ACTIVE </w:t>
        <w:tab/>
        <w:t xml:space="preserve">  -  </w:t>
        <w:tab/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User is actively subscribed user.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NACTIVE </w:t>
        <w:tab/>
        <w:t xml:space="preserve">  - </w:t>
        <w:tab/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User subscription is Inactive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NOT CREATED -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  <w:tab/>
        <w:t>User is not yet created in BCM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Symbol"/>
      <w:sz w:val="24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ascii="Cambria" w:hAnsi="Cambria" w:cs="Courier New"/>
      <w:b w:val="false"/>
      <w:sz w:val="24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OpenSymbol"/>
      <w:b w:val="false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Symbol"/>
      <w:sz w:val="24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ascii="Cambria" w:hAnsi="Cambria" w:cs="Courier New"/>
      <w:b w:val="false"/>
      <w:sz w:val="24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OpenSymbol"/>
      <w:b w:val="false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Symbol"/>
      <w:sz w:val="24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ascii="Cambria" w:hAnsi="Cambria" w:cs="Courier New"/>
      <w:b w:val="false"/>
      <w:sz w:val="24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OpenSymbol"/>
      <w:b w:val="false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Symbol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Symbol"/>
      <w:sz w:val="24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ascii="Cambria" w:hAnsi="Cambria" w:cs="Courier New"/>
      <w:b w:val="false"/>
      <w:sz w:val="24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OpenSymbol"/>
      <w:b w:val="false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  <w:b w:val="false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OpenSymbol"/>
      <w:b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ascii="Cambria" w:hAnsi="Cambria" w:cs="OpenSymbol"/>
      <w:b w:val="false"/>
      <w:sz w:val="24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Symbol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Symbol"/>
    </w:rPr>
  </w:style>
  <w:style w:type="character" w:styleId="ListLabel603">
    <w:name w:val="ListLabel 603"/>
    <w:qFormat/>
    <w:rPr>
      <w:rFonts w:cs="Symbol"/>
    </w:rPr>
  </w:style>
  <w:style w:type="character" w:styleId="ListLabel604">
    <w:name w:val="ListLabel 60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LibreOffice/6.1.5.2$Windows_X86_64 LibreOffice_project/90f8dcf33c87b3705e78202e3df5142b201bd805</Application>
  <Pages>1</Pages>
  <Words>161</Words>
  <Characters>856</Characters>
  <CharactersWithSpaces>1003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2019-12-17T17:58:39Z</dcterms:modified>
  <cp:revision>109</cp:revision>
  <dc:subject/>
  <dc:title/>
</cp:coreProperties>
</file>