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Intelligence — 2026-06-20</w:t>
      </w:r>
    </w:p>
    <w:p>
      <w:pPr>
        <w:pStyle w:val="Heading2"/>
      </w:pPr>
      <w:r>
        <w:t>1. What Happened This Week</w:t>
      </w:r>
    </w:p>
    <w:p>
      <w:r>
        <w:t xml:space="preserve">Nifty 50 finished the week at </w:t>
      </w:r>
      <w:r>
        <w:rPr>
          <w:b/>
        </w:rPr>
        <w:t>24,042.85, up +1.7%</w:t>
      </w:r>
      <w:r>
        <w:t xml:space="preserve"> from last Friday's 23,633, with four green sessions in a row (Mon–Thu) before a mild Friday pullback. The driver wasn't subtle: the </w:t>
      </w:r>
      <w:r>
        <w:rPr>
          <w:b/>
        </w:rPr>
        <w:t>US-Iran peace deal sent Brent crude down 9% to $80.37</w:t>
      </w:r>
      <w:r>
        <w:t xml:space="preserve">, a 3-month low, which simultaneously fixed the rupee's oil-import math and lit a fire under aviation. Layered on top, the </w:t>
      </w:r>
      <w:r>
        <w:rPr>
          <w:b/>
        </w:rPr>
        <w:t>RBI opened listed Indian equities to foreign investors directly</w:t>
      </w:r>
      <w:r>
        <w:t xml:space="preserve"> and </w:t>
      </w:r>
      <w:r>
        <w:rPr>
          <w:b/>
        </w:rPr>
        <w:t>Citi flagged ~$80bn in incoming flows</w:t>
      </w:r>
      <w:r>
        <w:t xml:space="preserve"> — a structural bullish setup that the market took straight to the EMA20 and EMA50. The one offset was the </w:t>
      </w:r>
      <w:r>
        <w:rPr>
          <w:b/>
        </w:rPr>
        <w:t>US Fed holding rates but signalling tighter policy ahead</w:t>
      </w:r>
      <w:r>
        <w:t>, which hammered IT on Friday and explains why Nifty couldn't close above 24,180 Thursday's high.</w:t>
      </w:r>
    </w:p>
    <w:p>
      <w:pPr>
        <w:pStyle w:val="Heading2"/>
      </w:pPr>
      <w:r>
        <w:t>2. The Trend Picture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EMA</w:t>
            </w:r>
          </w:p>
        </w:tc>
        <w:tc>
          <w:tcPr>
            <w:tcW w:type="dxa" w:w="2880"/>
          </w:tcPr>
          <w:p>
            <w:r/>
            <w:r>
              <w:rPr>
                <w:b/>
                <w:sz w:val="20"/>
              </w:rPr>
              <w:t>Level</w:t>
            </w:r>
          </w:p>
        </w:tc>
        <w:tc>
          <w:tcPr>
            <w:tcW w:type="dxa" w:w="2880"/>
          </w:tcPr>
          <w:p>
            <w:r/>
            <w:r>
              <w:rPr>
                <w:b/>
                <w:sz w:val="20"/>
              </w:rPr>
              <w:t>Nifty vs</w:t>
            </w:r>
          </w:p>
        </w:tc>
      </w:tr>
      <w:tr>
        <w:tc>
          <w:tcPr>
            <w:tcW w:type="dxa" w:w="2880"/>
          </w:tcPr>
          <w:p>
            <w:r>
              <w:rPr>
                <w:sz w:val="20"/>
              </w:rPr>
            </w:r>
            <w:r>
              <w:rPr>
                <w:sz w:val="20"/>
              </w:rPr>
              <w:t>20-day</w:t>
            </w:r>
          </w:p>
        </w:tc>
        <w:tc>
          <w:tcPr>
            <w:tcW w:type="dxa" w:w="2880"/>
          </w:tcPr>
          <w:p>
            <w:r>
              <w:rPr>
                <w:sz w:val="20"/>
              </w:rPr>
            </w:r>
            <w:r>
              <w:rPr>
                <w:sz w:val="20"/>
              </w:rPr>
              <w:t>23,654.85</w:t>
            </w:r>
          </w:p>
        </w:tc>
        <w:tc>
          <w:tcPr>
            <w:tcW w:type="dxa" w:w="2880"/>
          </w:tcPr>
          <w:p>
            <w:r>
              <w:rPr>
                <w:sz w:val="20"/>
              </w:rPr>
            </w:r>
            <w:r>
              <w:rPr>
                <w:b/>
                <w:sz w:val="20"/>
              </w:rPr>
              <w:t>ABOVE +1.6%</w:t>
            </w:r>
          </w:p>
        </w:tc>
      </w:tr>
      <w:tr>
        <w:tc>
          <w:tcPr>
            <w:tcW w:type="dxa" w:w="2880"/>
          </w:tcPr>
          <w:p>
            <w:r>
              <w:rPr>
                <w:sz w:val="20"/>
              </w:rPr>
            </w:r>
            <w:r>
              <w:rPr>
                <w:sz w:val="20"/>
              </w:rPr>
              <w:t>50-day</w:t>
            </w:r>
          </w:p>
        </w:tc>
        <w:tc>
          <w:tcPr>
            <w:tcW w:type="dxa" w:w="2880"/>
          </w:tcPr>
          <w:p>
            <w:r>
              <w:rPr>
                <w:sz w:val="20"/>
              </w:rPr>
            </w:r>
            <w:r>
              <w:rPr>
                <w:sz w:val="20"/>
              </w:rPr>
              <w:t>23,761.50</w:t>
            </w:r>
          </w:p>
        </w:tc>
        <w:tc>
          <w:tcPr>
            <w:tcW w:type="dxa" w:w="2880"/>
          </w:tcPr>
          <w:p>
            <w:r>
              <w:rPr>
                <w:sz w:val="20"/>
              </w:rPr>
            </w:r>
            <w:r>
              <w:rPr>
                <w:b/>
                <w:sz w:val="20"/>
              </w:rPr>
              <w:t>ABOVE +1.2%</w:t>
            </w:r>
          </w:p>
        </w:tc>
      </w:tr>
      <w:tr>
        <w:tc>
          <w:tcPr>
            <w:tcW w:type="dxa" w:w="2880"/>
          </w:tcPr>
          <w:p>
            <w:r>
              <w:rPr>
                <w:sz w:val="20"/>
              </w:rPr>
            </w:r>
            <w:r>
              <w:rPr>
                <w:sz w:val="20"/>
              </w:rPr>
              <w:t>200-day</w:t>
            </w:r>
          </w:p>
        </w:tc>
        <w:tc>
          <w:tcPr>
            <w:tcW w:type="dxa" w:w="2880"/>
          </w:tcPr>
          <w:p>
            <w:r>
              <w:rPr>
                <w:sz w:val="20"/>
              </w:rPr>
            </w:r>
            <w:r>
              <w:rPr>
                <w:sz w:val="20"/>
              </w:rPr>
              <w:t>24,488.51</w:t>
            </w:r>
          </w:p>
        </w:tc>
        <w:tc>
          <w:tcPr>
            <w:tcW w:type="dxa" w:w="2880"/>
          </w:tcPr>
          <w:p>
            <w:r>
              <w:rPr>
                <w:sz w:val="20"/>
              </w:rPr>
            </w:r>
            <w:r>
              <w:rPr>
                <w:b/>
                <w:sz w:val="20"/>
              </w:rPr>
              <w:t>BELOW -1.8%</w:t>
            </w:r>
          </w:p>
        </w:tc>
      </w:tr>
    </w:tbl>
    <w:p/>
    <w:p>
      <w:r>
        <w:t xml:space="preserve">Nifty has reclaimed both its short-term EMAs (Exponential Moving Average — a smoothed average of recent closes used as trend reference), which is a meaningful improvement from a week ago, but the </w:t>
      </w:r>
      <w:r>
        <w:rPr>
          <w:b/>
        </w:rPr>
        <w:t>200-day at 24,488 remains the gatekeeper</w:t>
      </w:r>
      <w:r>
        <w:t xml:space="preserve"> — roughly 450 points overhead. That's the line separating "tactical bounce" from "real trend repair."</w:t>
      </w:r>
    </w:p>
    <w:p>
      <w:r>
        <w:t xml:space="preserve">Breadth confirms the rebound but with caveats. </w:t>
      </w:r>
      <w:r>
        <w:rPr>
          <w:b/>
        </w:rPr>
        <w:t>Stocks above the 200-EMA climbed from 38% on Jun-11 to 53% by Friday</w:t>
      </w:r>
      <w:r>
        <w:t xml:space="preserve"> — fifteen percentage points in seven sessions, textbook recovery breadth. Advances beat declines every session this week, with </w:t>
      </w:r>
      <w:r>
        <w:rPr>
          <w:b/>
        </w:rPr>
        <w:t>Monday's 452/134 A/D (advance-decline) split the strongest</w:t>
      </w:r>
      <w:r>
        <w:t xml:space="preserve">. But fresh 52-week highs stayed in single digits all week (just 1 on Friday vs. 2 new lows), telling you this is </w:t>
      </w:r>
      <w:r>
        <w:rPr>
          <w:b/>
        </w:rPr>
        <w:t>mean-reversion breadth, not breakout breadth</w:t>
      </w:r>
      <w:r>
        <w:t>. The trend is broadening, not yet exploding.</w:t>
      </w:r>
    </w:p>
    <w:p>
      <w:pPr>
        <w:pStyle w:val="Heading2"/>
      </w:pPr>
      <w:r>
        <w:t>3. Sector Rotation — Where Money Is Flowing</w:t>
      </w:r>
    </w:p>
    <w:p>
      <w:r>
        <w:rPr>
          <w:b/>
        </w:rPr>
        <w:t>Top 3 sectors (5D median):</w:t>
      </w:r>
      <w:r>
        <w:t xml:space="preserve"> Trading +9.9%, Textiles +7.3%, Aviation +6.6%. </w:t>
      </w:r>
      <w:r>
        <w:rPr>
          <w:b/>
        </w:rPr>
        <w:t>Bottom 3:</w:t>
      </w:r>
      <w:r>
        <w:t xml:space="preserve"> ETF -2.6%, Agriculture -0.8%, FMCG +0.7%.</w:t>
      </w:r>
    </w:p>
    <w:p>
      <w:r>
        <w:t>The rotation map is unusually clean this week:</w:t>
      </w:r>
    </w:p>
    <w:p>
      <w:pPr>
        <w:pStyle w:val="ListBullet"/>
      </w:pPr>
      <w:r>
        <w:rPr>
          <w:b/>
        </w:rPr>
        <w:t>Aviation +6.6%</w:t>
      </w:r>
      <w:r>
        <w:t xml:space="preserve"> ← Brent down 9%. Direct fuel-cost arithmetic. Indigo also showed up in the Golden Cross signal list.</w:t>
      </w:r>
    </w:p>
    <w:p>
      <w:pPr>
        <w:pStyle w:val="ListBullet"/>
      </w:pPr>
      <w:r>
        <w:rPr>
          <w:b/>
        </w:rPr>
        <w:t>Textiles +7.3%</w:t>
      </w:r>
      <w:r>
        <w:t xml:space="preserve"> ← Continuing India-US preferential-tariff deal news plus the broader $10bn tariff repatriation theme.</w:t>
      </w:r>
    </w:p>
    <w:p>
      <w:pPr>
        <w:pStyle w:val="ListBullet"/>
      </w:pPr>
      <w:r>
        <w:rPr>
          <w:b/>
        </w:rPr>
        <w:t>Defence flipped Weakening → Leading</w:t>
      </w:r>
      <w:r>
        <w:t xml:space="preserve"> (RS Δ +1.8, momentum Δ +0.56), and </w:t>
      </w:r>
      <w:r>
        <w:rPr>
          <w:b/>
        </w:rPr>
        <w:t>Financial Services flipped Lagging → Leading</w:t>
      </w:r>
      <w:r>
        <w:t xml:space="preserve"> (RS Δ +5.5, momentum Δ +0.86) — the biggest momentum swing on the board. The RBI's foreign-investor opening + Citi's $80bn flow projection both flow straight into financials.</w:t>
      </w:r>
    </w:p>
    <w:p>
      <w:pPr>
        <w:pStyle w:val="ListBullet"/>
      </w:pPr>
      <w:r>
        <w:rPr>
          <w:b/>
        </w:rPr>
        <w:t>Media</w:t>
      </w:r>
      <w:r>
        <w:t xml:space="preserve"> also went Improving → Leading (RS Δ +6.9).</w:t>
      </w:r>
    </w:p>
    <w:p>
      <w:r>
        <w:t xml:space="preserve">On the down-side: </w:t>
      </w:r>
      <w:r>
        <w:rPr>
          <w:b/>
        </w:rPr>
        <w:t>ETF -2.6%</w:t>
      </w:r>
      <w:r>
        <w:t xml:space="preserve"> is the interesting one. The bucket includes gold/silver vehicles, and the </w:t>
      </w:r>
      <w:r>
        <w:rPr>
          <w:b/>
        </w:rPr>
        <w:t>gold import duty hike (continuing event) cut physical demand 50-60 tonnes</w:t>
      </w:r>
      <w:r>
        <w:t xml:space="preserve"> — that's pulling ETF prices down in India even as global gold barely moved (-0.8% on the week). This is the </w:t>
      </w:r>
      <w:r>
        <w:rPr>
          <w:b/>
        </w:rPr>
        <w:t>divergence tell in reverse</w:t>
      </w:r>
      <w:r>
        <w:t xml:space="preserve">: when domestic and global stop tracking, look for a policy cause. </w:t>
      </w:r>
      <w:r>
        <w:rPr>
          <w:b/>
        </w:rPr>
        <w:t>IT +0.9%</w:t>
      </w:r>
      <w:r>
        <w:t xml:space="preserve"> at the bottom is the Fed-hawkish read-through (rupee bearish for exporters' translated earnings is one read, but more importantly, US tech multiples compressing).</w:t>
      </w:r>
    </w:p>
    <w:p>
      <w:r>
        <w:rPr>
          <w:b/>
        </w:rPr>
        <w:t>CONGLOMERATE flipped Leading → Lagging</w:t>
      </w:r>
      <w:r>
        <w:t xml:space="preserve"> (RS Δ -3.5) — almost entirely a Reliance-Adani Enterprises drag (see bellwether section).</w:t>
      </w:r>
    </w:p>
    <w:p>
      <w:pPr>
        <w:pStyle w:val="Heading2"/>
      </w:pPr>
      <w:r>
        <w:t>4. Earnings Pulse</w:t>
      </w:r>
    </w:p>
    <w:p>
      <w:r>
        <w:rPr>
          <w:b/>
        </w:rPr>
        <w:t>Quarter under analysis: March 2026.</w:t>
      </w:r>
      <w:r>
        <w:t xml:space="preserve"> 504 stocks reported; 29 excluded for stale data. Importantly, </w:t>
      </w:r>
      <w:r>
        <w:rPr>
          <w:b/>
        </w:rPr>
        <w:t>`earnings_calendar` shows no fresh declarations in the last 10 days</w:t>
      </w:r>
      <w:r>
        <w:t xml:space="preserve"> — so every print discussed below is </w:t>
      </w:r>
      <w:r>
        <w:rPr>
          <w:b/>
        </w:rPr>
        <w:t>old context, not a this-week catalyst</w:t>
      </w:r>
      <w:r>
        <w:t>. This week's price action is rotation, not earnings reaction.</w:t>
      </w:r>
    </w:p>
    <w:p>
      <w:r>
        <w:rPr>
          <w:b/>
        </w:rPr>
        <w:t>(a) Sector aggregate.</w:t>
      </w:r>
      <w:r>
        <w:t xml:space="preserve"> Strong: </w:t>
      </w:r>
      <w:r>
        <w:rPr>
          <w:b/>
        </w:rPr>
        <w:t>Agriculture +48% median EPS YoY</w:t>
      </w:r>
      <w:r>
        <w:t xml:space="preserve"> (small sample, 4 stocks), </w:t>
      </w:r>
      <w:r>
        <w:rPr>
          <w:b/>
        </w:rPr>
        <w:t>Telecom +43%</w:t>
      </w:r>
      <w:r>
        <w:t xml:space="preserve">, </w:t>
      </w:r>
      <w:r>
        <w:rPr>
          <w:b/>
        </w:rPr>
        <w:t>Metals +42.7%</w:t>
      </w:r>
      <w:r>
        <w:t xml:space="preserve">, </w:t>
      </w:r>
      <w:r>
        <w:rPr>
          <w:b/>
        </w:rPr>
        <w:t>Auto Components +29.7%</w:t>
      </w:r>
      <w:r>
        <w:t xml:space="preserve">, </w:t>
      </w:r>
      <w:r>
        <w:rPr>
          <w:b/>
        </w:rPr>
        <w:t>Energy +25.2%</w:t>
      </w:r>
      <w:r>
        <w:t xml:space="preserve">, </w:t>
      </w:r>
      <w:r>
        <w:rPr>
          <w:b/>
        </w:rPr>
        <w:t>Financial Services +23.3%</w:t>
      </w:r>
      <w:r>
        <w:t xml:space="preserve">. Weakest: </w:t>
      </w:r>
      <w:r>
        <w:rPr>
          <w:b/>
        </w:rPr>
        <w:t>Defence +4.5%</w:t>
      </w:r>
      <w:r>
        <w:t xml:space="preserve">, </w:t>
      </w:r>
      <w:r>
        <w:rPr>
          <w:b/>
        </w:rPr>
        <w:t>Banking +9.9%</w:t>
      </w:r>
      <w:r>
        <w:t xml:space="preserve"> — both notable because their stocks are leading the rotation despite mediocre earnings, suggesting the move is forward-looking (FII flows for banking, order-book momentum for defence).</w:t>
      </w:r>
    </w:p>
    <w:p>
      <w:r>
        <w:rPr>
          <w:b/>
        </w:rPr>
        <w:t>(b) Top-of-the-list extremes (colour only).</w:t>
      </w:r>
      <w:r>
        <w:t xml:space="preserve"> JSWSTEEL +988% EPS, Prestige +902%, Wockhardt +764% — base-effect prints, don't read sector signal into them. On the miss side: Shoppers Stop, ABFRL, Sapphire all printed sharply negative EPS — a </w:t>
      </w:r>
      <w:r>
        <w:rPr>
          <w:b/>
        </w:rPr>
        <w:t>consumer discretionary weakness pocket</w:t>
      </w:r>
      <w:r>
        <w:t xml:space="preserve"> worth noting, even though Consumer Services sector flipped Leading this week (the bellwethers within it are pulling the average up).</w:t>
      </w:r>
    </w:p>
    <w:p>
      <w:r>
        <w:rPr>
          <w:b/>
        </w:rPr>
        <w:t>(c) Bellwether large-cap read-through — note: these prints are OLD, this-week price moves are rotation action, not earnings reaction: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Ticker</w:t>
            </w:r>
          </w:p>
        </w:tc>
        <w:tc>
          <w:tcPr>
            <w:tcW w:type="dxa" w:w="2160"/>
          </w:tcPr>
          <w:p>
            <w:r/>
            <w:r>
              <w:rPr>
                <w:b/>
                <w:sz w:val="20"/>
              </w:rPr>
              <w:t>EPS YoY</w:t>
            </w:r>
          </w:p>
        </w:tc>
        <w:tc>
          <w:tcPr>
            <w:tcW w:type="dxa" w:w="2160"/>
          </w:tcPr>
          <w:p>
            <w:r/>
            <w:r>
              <w:rPr>
                <w:b/>
                <w:sz w:val="20"/>
              </w:rPr>
              <w:t>1d / 5d</w:t>
            </w:r>
          </w:p>
        </w:tc>
        <w:tc>
          <w:tcPr>
            <w:tcW w:type="dxa" w:w="2160"/>
          </w:tcPr>
          <w:p>
            <w:r/>
            <w:r>
              <w:rPr>
                <w:b/>
                <w:sz w:val="20"/>
              </w:rPr>
              <w:t>Read</w:t>
            </w:r>
          </w:p>
        </w:tc>
      </w:tr>
      <w:tr>
        <w:tc>
          <w:tcPr>
            <w:tcW w:type="dxa" w:w="2160"/>
          </w:tcPr>
          <w:p>
            <w:r>
              <w:rPr>
                <w:sz w:val="20"/>
              </w:rPr>
            </w:r>
            <w:r>
              <w:rPr>
                <w:b/>
                <w:sz w:val="20"/>
              </w:rPr>
              <w:t>INFY</w:t>
            </w:r>
          </w:p>
        </w:tc>
        <w:tc>
          <w:tcPr>
            <w:tcW w:type="dxa" w:w="2160"/>
          </w:tcPr>
          <w:p>
            <w:r>
              <w:rPr>
                <w:sz w:val="20"/>
              </w:rPr>
            </w:r>
            <w:r>
              <w:rPr>
                <w:sz w:val="20"/>
              </w:rPr>
              <w:t>+24%</w:t>
            </w:r>
          </w:p>
        </w:tc>
        <w:tc>
          <w:tcPr>
            <w:tcW w:type="dxa" w:w="2160"/>
          </w:tcPr>
          <w:p>
            <w:r>
              <w:rPr>
                <w:sz w:val="20"/>
              </w:rPr>
            </w:r>
            <w:r>
              <w:rPr>
                <w:sz w:val="20"/>
              </w:rPr>
              <w:t>-6.8% / -5.8%</w:t>
            </w:r>
          </w:p>
        </w:tc>
        <w:tc>
          <w:tcPr>
            <w:tcW w:type="dxa" w:w="2160"/>
          </w:tcPr>
          <w:p>
            <w:r>
              <w:rPr>
                <w:sz w:val="20"/>
              </w:rPr>
            </w:r>
            <w:r>
              <w:rPr>
                <w:sz w:val="20"/>
              </w:rPr>
              <w:t xml:space="preserve">The week's worst large-cap. A strong print getting sold suggests </w:t>
            </w:r>
            <w:r>
              <w:rPr>
                <w:b/>
                <w:sz w:val="20"/>
              </w:rPr>
              <w:t>the Fed-hawkish setup is overwhelming sector fundamentals</w:t>
            </w:r>
            <w:r>
              <w:rPr>
                <w:sz w:val="20"/>
              </w:rPr>
              <w:t xml:space="preserve"> — IT exporters facing US demand-uncertainty repricing. Read-through bearish for TCS, HCL, Wipro near-term.</w:t>
            </w:r>
          </w:p>
        </w:tc>
      </w:tr>
      <w:tr>
        <w:tc>
          <w:tcPr>
            <w:tcW w:type="dxa" w:w="2160"/>
          </w:tcPr>
          <w:p>
            <w:r>
              <w:rPr>
                <w:sz w:val="20"/>
              </w:rPr>
            </w:r>
            <w:r>
              <w:rPr>
                <w:b/>
                <w:sz w:val="20"/>
              </w:rPr>
              <w:t>TCS</w:t>
            </w:r>
          </w:p>
        </w:tc>
        <w:tc>
          <w:tcPr>
            <w:tcW w:type="dxa" w:w="2160"/>
          </w:tcPr>
          <w:p>
            <w:r>
              <w:rPr>
                <w:sz w:val="20"/>
              </w:rPr>
            </w:r>
            <w:r>
              <w:rPr>
                <w:sz w:val="20"/>
              </w:rPr>
              <w:t>+12%</w:t>
            </w:r>
          </w:p>
        </w:tc>
        <w:tc>
          <w:tcPr>
            <w:tcW w:type="dxa" w:w="2160"/>
          </w:tcPr>
          <w:p>
            <w:r>
              <w:rPr>
                <w:sz w:val="20"/>
              </w:rPr>
            </w:r>
            <w:r>
              <w:rPr>
                <w:sz w:val="20"/>
              </w:rPr>
              <w:t>-3.5% / -1.7%</w:t>
            </w:r>
          </w:p>
        </w:tc>
        <w:tc>
          <w:tcPr>
            <w:tcW w:type="dxa" w:w="2160"/>
          </w:tcPr>
          <w:p>
            <w:r>
              <w:rPr>
                <w:sz w:val="20"/>
              </w:rPr>
            </w:r>
            <w:r>
              <w:rPr>
                <w:sz w:val="20"/>
              </w:rPr>
              <w:t>Same story, smaller magnitude. The +12% EPS isn't enough to offset the macro overlay.</w:t>
            </w:r>
          </w:p>
        </w:tc>
      </w:tr>
      <w:tr>
        <w:tc>
          <w:tcPr>
            <w:tcW w:type="dxa" w:w="2160"/>
          </w:tcPr>
          <w:p>
            <w:r>
              <w:rPr>
                <w:sz w:val="20"/>
              </w:rPr>
            </w:r>
            <w:r>
              <w:rPr>
                <w:b/>
                <w:sz w:val="20"/>
              </w:rPr>
              <w:t>TITAN</w:t>
            </w:r>
          </w:p>
        </w:tc>
        <w:tc>
          <w:tcPr>
            <w:tcW w:type="dxa" w:w="2160"/>
          </w:tcPr>
          <w:p>
            <w:r>
              <w:rPr>
                <w:sz w:val="20"/>
              </w:rPr>
            </w:r>
            <w:r>
              <w:rPr>
                <w:sz w:val="20"/>
              </w:rPr>
              <w:t>+35% / Rev +80.5%</w:t>
            </w:r>
          </w:p>
        </w:tc>
        <w:tc>
          <w:tcPr>
            <w:tcW w:type="dxa" w:w="2160"/>
          </w:tcPr>
          <w:p>
            <w:r>
              <w:rPr>
                <w:sz w:val="20"/>
              </w:rPr>
            </w:r>
            <w:r>
              <w:rPr>
                <w:sz w:val="20"/>
              </w:rPr>
              <w:t xml:space="preserve">+0.7% / </w:t>
            </w:r>
            <w:r>
              <w:rPr>
                <w:b/>
                <w:sz w:val="20"/>
              </w:rPr>
              <w:t>+5.6%</w:t>
            </w:r>
          </w:p>
        </w:tc>
        <w:tc>
          <w:tcPr>
            <w:tcW w:type="dxa" w:w="2160"/>
          </w:tcPr>
          <w:p>
            <w:r>
              <w:rPr>
                <w:sz w:val="20"/>
              </w:rPr>
            </w:r>
            <w:r>
              <w:rPr>
                <w:sz w:val="20"/>
              </w:rPr>
              <w:t xml:space="preserve">The premium-discretionary tell. Strong print </w:t>
            </w:r>
            <w:r>
              <w:rPr>
                <w:b/>
                <w:sz w:val="20"/>
              </w:rPr>
              <w:t>and</w:t>
            </w:r>
            <w:r>
              <w:rPr>
                <w:sz w:val="20"/>
              </w:rPr>
              <w:t xml:space="preserve"> a strong 5d move — best-in-class consumer durables signal. Suggests jewellery + premium retail demand holding up despite gold import-duty headwinds (Titan's lab-grown / design margins offsetting).</w:t>
            </w:r>
          </w:p>
        </w:tc>
      </w:tr>
      <w:tr>
        <w:tc>
          <w:tcPr>
            <w:tcW w:type="dxa" w:w="2160"/>
          </w:tcPr>
          <w:p>
            <w:r>
              <w:rPr>
                <w:sz w:val="20"/>
              </w:rPr>
            </w:r>
            <w:r>
              <w:rPr>
                <w:b/>
                <w:sz w:val="20"/>
              </w:rPr>
              <w:t>BHARTIARTL</w:t>
            </w:r>
          </w:p>
        </w:tc>
        <w:tc>
          <w:tcPr>
            <w:tcW w:type="dxa" w:w="2160"/>
          </w:tcPr>
          <w:p>
            <w:r>
              <w:rPr>
                <w:sz w:val="20"/>
              </w:rPr>
            </w:r>
            <w:r>
              <w:rPr>
                <w:sz w:val="20"/>
              </w:rPr>
              <w:t>-38%</w:t>
            </w:r>
          </w:p>
        </w:tc>
        <w:tc>
          <w:tcPr>
            <w:tcW w:type="dxa" w:w="2160"/>
          </w:tcPr>
          <w:p>
            <w:r>
              <w:rPr>
                <w:sz w:val="20"/>
              </w:rPr>
            </w:r>
            <w:r>
              <w:rPr>
                <w:sz w:val="20"/>
              </w:rPr>
              <w:t xml:space="preserve">+1.9% / </w:t>
            </w:r>
            <w:r>
              <w:rPr>
                <w:b/>
                <w:sz w:val="20"/>
              </w:rPr>
              <w:t>+4.8%</w:t>
            </w:r>
          </w:p>
        </w:tc>
        <w:tc>
          <w:tcPr>
            <w:tcW w:type="dxa" w:w="2160"/>
          </w:tcPr>
          <w:p>
            <w:r>
              <w:rPr>
                <w:sz w:val="20"/>
              </w:rPr>
            </w:r>
            <w:r>
              <w:rPr>
                <w:sz w:val="20"/>
              </w:rPr>
              <w:t>Negative EPS, market doesn't care — telecom rotation is about ARPU and 5G monetisation, not trailing earnings. Read-through positive for Idea (also in Blue Zone Buy list).</w:t>
            </w:r>
          </w:p>
        </w:tc>
      </w:tr>
      <w:tr>
        <w:tc>
          <w:tcPr>
            <w:tcW w:type="dxa" w:w="2160"/>
          </w:tcPr>
          <w:p>
            <w:r>
              <w:rPr>
                <w:sz w:val="20"/>
              </w:rPr>
            </w:r>
            <w:r>
              <w:rPr>
                <w:b/>
                <w:sz w:val="20"/>
              </w:rPr>
              <w:t>BEL</w:t>
            </w:r>
          </w:p>
        </w:tc>
        <w:tc>
          <w:tcPr>
            <w:tcW w:type="dxa" w:w="2160"/>
          </w:tcPr>
          <w:p>
            <w:r>
              <w:rPr>
                <w:sz w:val="20"/>
              </w:rPr>
            </w:r>
            <w:r>
              <w:rPr>
                <w:sz w:val="20"/>
              </w:rPr>
              <w:t>+4%</w:t>
            </w:r>
          </w:p>
        </w:tc>
        <w:tc>
          <w:tcPr>
            <w:tcW w:type="dxa" w:w="2160"/>
          </w:tcPr>
          <w:p>
            <w:r>
              <w:rPr>
                <w:sz w:val="20"/>
              </w:rPr>
            </w:r>
            <w:r>
              <w:rPr>
                <w:sz w:val="20"/>
              </w:rPr>
              <w:t xml:space="preserve">-0.4% / </w:t>
            </w:r>
            <w:r>
              <w:rPr>
                <w:b/>
                <w:sz w:val="20"/>
              </w:rPr>
              <w:t>+5.0%</w:t>
            </w:r>
          </w:p>
        </w:tc>
        <w:tc>
          <w:tcPr>
            <w:tcW w:type="dxa" w:w="2160"/>
          </w:tcPr>
          <w:p>
            <w:r>
              <w:rPr>
                <w:sz w:val="20"/>
              </w:rPr>
            </w:r>
            <w:r>
              <w:rPr>
                <w:sz w:val="20"/>
              </w:rPr>
              <w:t xml:space="preserve">Weak earnings, strong tape — defence rotation is </w:t>
            </w:r>
            <w:r>
              <w:rPr>
                <w:b/>
                <w:sz w:val="20"/>
              </w:rPr>
              <w:t>order-book driven</w:t>
            </w:r>
            <w:r>
              <w:rPr>
                <w:sz w:val="20"/>
              </w:rPr>
              <w:t>, not P&amp;L driven. Consistent with Defence quadrant flip to Leading.</w:t>
            </w:r>
          </w:p>
        </w:tc>
      </w:tr>
      <w:tr>
        <w:tc>
          <w:tcPr>
            <w:tcW w:type="dxa" w:w="2160"/>
          </w:tcPr>
          <w:p>
            <w:r>
              <w:rPr>
                <w:sz w:val="20"/>
              </w:rPr>
            </w:r>
            <w:r>
              <w:rPr>
                <w:b/>
                <w:sz w:val="20"/>
              </w:rPr>
              <w:t>HDFCBANK</w:t>
            </w:r>
          </w:p>
        </w:tc>
        <w:tc>
          <w:tcPr>
            <w:tcW w:type="dxa" w:w="2160"/>
          </w:tcPr>
          <w:p>
            <w:r>
              <w:rPr>
                <w:sz w:val="20"/>
              </w:rPr>
            </w:r>
            <w:r>
              <w:rPr>
                <w:sz w:val="20"/>
              </w:rPr>
              <w:t>+7%</w:t>
            </w:r>
          </w:p>
        </w:tc>
        <w:tc>
          <w:tcPr>
            <w:tcW w:type="dxa" w:w="2160"/>
          </w:tcPr>
          <w:p>
            <w:r>
              <w:rPr>
                <w:sz w:val="20"/>
              </w:rPr>
            </w:r>
            <w:r>
              <w:rPr>
                <w:sz w:val="20"/>
              </w:rPr>
              <w:t>-2.4% / +0.9%</w:t>
            </w:r>
          </w:p>
        </w:tc>
        <w:tc>
          <w:tcPr>
            <w:tcW w:type="dxa" w:w="2160"/>
          </w:tcPr>
          <w:p>
            <w:r>
              <w:rPr>
                <w:sz w:val="20"/>
              </w:rPr>
            </w:r>
            <w:r>
              <w:rPr>
                <w:sz w:val="20"/>
              </w:rPr>
              <w:t xml:space="preserve">Muted reaction despite the FII-flow narrative. Suggests the </w:t>
            </w:r>
            <w:r>
              <w:rPr>
                <w:b/>
                <w:sz w:val="20"/>
              </w:rPr>
              <w:t>RBI mis-selling crackdown</w:t>
            </w:r>
            <w:r>
              <w:rPr>
                <w:sz w:val="20"/>
              </w:rPr>
              <w:t xml:space="preserve"> is a real near-term overhang on private retail banks — the kind of margin-headline that gets discounted before flow benefits arrive.</w:t>
            </w:r>
          </w:p>
        </w:tc>
      </w:tr>
      <w:tr>
        <w:tc>
          <w:tcPr>
            <w:tcW w:type="dxa" w:w="2160"/>
          </w:tcPr>
          <w:p>
            <w:r>
              <w:rPr>
                <w:sz w:val="20"/>
              </w:rPr>
            </w:r>
            <w:r>
              <w:rPr>
                <w:b/>
                <w:sz w:val="20"/>
              </w:rPr>
              <w:t>ADANIENT</w:t>
            </w:r>
          </w:p>
        </w:tc>
        <w:tc>
          <w:tcPr>
            <w:tcW w:type="dxa" w:w="2160"/>
          </w:tcPr>
          <w:p>
            <w:r>
              <w:rPr>
                <w:sz w:val="20"/>
              </w:rPr>
            </w:r>
            <w:r>
              <w:rPr>
                <w:sz w:val="20"/>
              </w:rPr>
              <w:t>-106% EPS</w:t>
            </w:r>
          </w:p>
        </w:tc>
        <w:tc>
          <w:tcPr>
            <w:tcW w:type="dxa" w:w="2160"/>
          </w:tcPr>
          <w:p>
            <w:r>
              <w:rPr>
                <w:sz w:val="20"/>
              </w:rPr>
            </w:r>
            <w:r>
              <w:rPr>
                <w:sz w:val="20"/>
              </w:rPr>
              <w:t>+0.8% / +4.0%</w:t>
            </w:r>
          </w:p>
        </w:tc>
        <w:tc>
          <w:tcPr>
            <w:tcW w:type="dxa" w:w="2160"/>
          </w:tcPr>
          <w:p>
            <w:r>
              <w:rPr>
                <w:sz w:val="20"/>
              </w:rPr>
            </w:r>
            <w:r>
              <w:rPr>
                <w:sz w:val="20"/>
              </w:rPr>
              <w:t>Loss-making print, stock up — explains the Conglomerate quadrant flip is Reliance-specific, not group-wide.</w:t>
            </w:r>
          </w:p>
        </w:tc>
      </w:tr>
    </w:tbl>
    <w:p/>
    <w:p>
      <w:pPr>
        <w:pStyle w:val="Heading2"/>
      </w:pPr>
      <w:r>
        <w:t>5. Technical Signals This Week</w:t>
      </w:r>
    </w:p>
    <w:p>
      <w:r>
        <w:t xml:space="preserve">The Blue Zone universe (the dashboard's institutional-accumulation watchlist: RSI EMA above thresholds + close above EMA20 + within 10% of 52W high) </w:t>
      </w:r>
      <w:r>
        <w:rPr>
          <w:b/>
        </w:rPr>
        <w:t>expanded from 49 to 54 unique stocks (+5)</w:t>
      </w:r>
      <w:r>
        <w:t xml:space="preserve"> — modest broadening, not a stampede.</w:t>
      </w:r>
    </w:p>
    <w:p>
      <w:pPr>
        <w:pStyle w:val="ListBullet"/>
      </w:pPr>
      <w:r>
        <w:rPr>
          <w:b/>
        </w:rPr>
        <w:t>MACD Buy</w:t>
      </w:r>
      <w:r>
        <w:t xml:space="preserve"> (momentum oscillator turning positive — a trend-change signal): </w:t>
      </w:r>
      <w:r>
        <w:rPr>
          <w:b/>
        </w:rPr>
        <w:t>39 unique stocks vs 26 prior, +13</w:t>
      </w:r>
      <w:r>
        <w:t xml:space="preserve">, with 31 fresh entries. </w:t>
      </w:r>
      <w:r>
        <w:rPr>
          <w:i/>
        </w:rPr>
        <w:t>This is the week's loudest signal.</w:t>
      </w:r>
      <w:r>
        <w:t xml:space="preserve"> Examples: CAPLIPOINT, GRINDWELL, PIDILITIND, NUVAMA, DEEPAKFERT.</w:t>
      </w:r>
    </w:p>
    <w:p>
      <w:pPr>
        <w:pStyle w:val="ListBullet"/>
      </w:pPr>
      <w:r>
        <w:rPr>
          <w:b/>
        </w:rPr>
        <w:t>MACD Strong</w:t>
      </w:r>
      <w:r>
        <w:t xml:space="preserve"> (deeper momentum confirmation): </w:t>
      </w:r>
      <w:r>
        <w:rPr>
          <w:b/>
        </w:rPr>
        <w:t>29 vs 17, +12</w:t>
      </w:r>
      <w:r>
        <w:t>, 24 fresh. Examples: RAIN, RRKABEL, SHILPAMED, ASIANPAINT, GRINDWELL.</w:t>
      </w:r>
    </w:p>
    <w:p>
      <w:pPr>
        <w:pStyle w:val="ListBullet"/>
      </w:pPr>
      <w:r>
        <w:rPr>
          <w:b/>
        </w:rPr>
        <w:t>Narrow CPR Breakaway</w:t>
      </w:r>
      <w:r>
        <w:t xml:space="preserve"> (Central Pivot Range setup — tight pivot levels, often a breakout precursor): </w:t>
      </w:r>
      <w:r>
        <w:rPr>
          <w:b/>
        </w:rPr>
        <w:t>31 vs 26, +5</w:t>
      </w:r>
      <w:r>
        <w:t>, 25 fresh. Examples: APARINDS, ADANIPORTS, VSTIND.</w:t>
      </w:r>
    </w:p>
    <w:p>
      <w:pPr>
        <w:pStyle w:val="ListBullet"/>
      </w:pPr>
      <w:r>
        <w:rPr>
          <w:b/>
        </w:rPr>
        <w:t>Blue Zone Buy: 54 vs 49, +5</w:t>
      </w:r>
      <w:r>
        <w:t>, 15 fresh. Examples: AEGISLOG, SYRMA, SOTL, CAPLIPOINT, IDEA.</w:t>
      </w:r>
    </w:p>
    <w:p>
      <w:pPr>
        <w:pStyle w:val="ListBullet"/>
      </w:pPr>
      <w:r>
        <w:rPr>
          <w:b/>
        </w:rPr>
        <w:t>VCP Buy</w:t>
      </w:r>
      <w:r>
        <w:t xml:space="preserve"> (Volatility Contraction Pattern — Minervini setup, tightening range before breakout): </w:t>
      </w:r>
      <w:r>
        <w:rPr>
          <w:b/>
        </w:rPr>
        <w:t>9 vs 6, +3</w:t>
      </w:r>
      <w:r>
        <w:t>. Examples: IDEA, FEDERALBNK, POLYCAB, MAHABANK.</w:t>
      </w:r>
    </w:p>
    <w:p>
      <w:pPr>
        <w:pStyle w:val="ListBullet"/>
      </w:pPr>
      <w:r>
        <w:rPr>
          <w:b/>
        </w:rPr>
        <w:t>Bull Flag Buy</w:t>
      </w:r>
      <w:r>
        <w:t xml:space="preserve"> (sharp rally → orderly consolidation → breakout above): </w:t>
      </w:r>
      <w:r>
        <w:rPr>
          <w:b/>
        </w:rPr>
        <w:t>6 vs 4, +2</w:t>
      </w:r>
      <w:r>
        <w:t>. Examples: SOTL, HONASA, SFL, BALAMINES.</w:t>
      </w:r>
    </w:p>
    <w:p>
      <w:pPr>
        <w:pStyle w:val="ListBullet"/>
      </w:pPr>
      <w:r>
        <w:rPr>
          <w:b/>
        </w:rPr>
        <w:t>Golden Cross Buy</w:t>
      </w:r>
      <w:r>
        <w:t xml:space="preserve"> (20-EMA crossing above 50-EMA — medium-term bullish): </w:t>
      </w:r>
      <w:r>
        <w:rPr>
          <w:b/>
        </w:rPr>
        <w:t>5 vs 4, +1</w:t>
      </w:r>
      <w:r>
        <w:t>. Examples: TBOTEK, INDIGO, CDSL, NIACL, MGL.</w:t>
      </w:r>
    </w:p>
    <w:p>
      <w:pPr>
        <w:pStyle w:val="ListBullet"/>
      </w:pPr>
      <w:r>
        <w:rPr>
          <w:b/>
        </w:rPr>
        <w:t>Blue Zone Strong: 4 vs 2, +2</w:t>
      </w:r>
      <w:r>
        <w:t>. Examples: CAPLIPOINT, WABAG, RAIN.</w:t>
      </w:r>
    </w:p>
    <w:p>
      <w:pPr>
        <w:pStyle w:val="ListBullet"/>
      </w:pPr>
      <w:r>
        <w:rPr>
          <w:b/>
        </w:rPr>
        <w:t>Pullback Bounce: 1 vs 3, -2</w:t>
      </w:r>
      <w:r>
        <w:t xml:space="preserve"> (LAURUSLABS).</w:t>
      </w:r>
    </w:p>
    <w:p>
      <w:pPr>
        <w:pStyle w:val="ListBullet"/>
      </w:pPr>
      <w:r>
        <w:rPr>
          <w:b/>
        </w:rPr>
        <w:t>Darvas Box: 0</w:t>
      </w:r>
      <w:r>
        <w:t xml:space="preserve"> (vs 1 prior).</w:t>
      </w:r>
    </w:p>
    <w:p>
      <w:r>
        <w:rPr>
          <w:b/>
        </w:rPr>
        <w:t>Multi-signal cluster (2+ different indicators this week — higher-conviction setups):</w:t>
      </w:r>
    </w:p>
    <w:p>
      <w:pPr>
        <w:pStyle w:val="ListBullet"/>
      </w:pPr>
      <w:r>
        <w:rPr>
          <w:b/>
        </w:rPr>
        <w:t>CAPLIPOINT</w:t>
      </w:r>
      <w:r>
        <w:t xml:space="preserve"> — Blue Zone Buy + Blue Zone Strong + MACD Buy (3 signals)</w:t>
      </w:r>
    </w:p>
    <w:p>
      <w:pPr>
        <w:pStyle w:val="ListBullet"/>
      </w:pPr>
      <w:r>
        <w:rPr>
          <w:b/>
        </w:rPr>
        <w:t>GRINDWELL, CERA, NUVAMA, YESBANK</w:t>
      </w:r>
      <w:r>
        <w:t xml:space="preserve"> — each fired Blue Zone Buy + MACD Buy + MACD Strong</w:t>
      </w:r>
    </w:p>
    <w:p>
      <w:pPr>
        <w:pStyle w:val="ListBullet"/>
      </w:pPr>
      <w:r>
        <w:rPr>
          <w:b/>
        </w:rPr>
        <w:t>POLYCAB</w:t>
      </w:r>
      <w:r>
        <w:t xml:space="preserve"> — Blue Zone Buy + MACD Strong + VCP Buy</w:t>
      </w:r>
    </w:p>
    <w:p>
      <w:pPr>
        <w:pStyle w:val="ListBullet"/>
      </w:pPr>
      <w:r>
        <w:rPr>
          <w:b/>
        </w:rPr>
        <w:t>RAYMOND</w:t>
      </w:r>
      <w:r>
        <w:t xml:space="preserve"> — MACD Buy + MACD Strong + VCP Buy</w:t>
      </w:r>
    </w:p>
    <w:p>
      <w:pPr>
        <w:pStyle w:val="ListBullet"/>
      </w:pPr>
      <w:r>
        <w:rPr>
          <w:b/>
        </w:rPr>
        <w:t>RAIN</w:t>
      </w:r>
      <w:r>
        <w:t xml:space="preserve"> — Blue Zone Buy + Blue Zone Strong + MACD Strong</w:t>
      </w:r>
    </w:p>
    <w:p>
      <w:r>
        <w:rPr>
          <w:b/>
        </w:rPr>
        <w:t>Net read:</w:t>
      </w:r>
      <w:r>
        <w:t xml:space="preserve"> the MACD-led surge (+13 and +12) is telling you </w:t>
      </w:r>
      <w:r>
        <w:rPr>
          <w:b/>
        </w:rPr>
        <w:t>momentum is broadening rapidly</w:t>
      </w:r>
      <w:r>
        <w:t xml:space="preserve"> while the slower-acting Blue Zone universe is only inching wider. That's classic early-rotation behaviour — new names firing trend-change signals before they earn full accumulation status.</w:t>
      </w:r>
    </w:p>
    <w:p>
      <w:pPr>
        <w:pStyle w:val="Heading2"/>
      </w:pPr>
      <w:r>
        <w:t>6. Notable Stock-Level Action</w:t>
      </w:r>
    </w:p>
    <w:p>
      <w:pPr>
        <w:pStyle w:val="ListBullet"/>
      </w:pPr>
      <w:r>
        <w:rPr>
          <w:b/>
        </w:rPr>
        <w:t>NIACL</w:t>
      </w:r>
      <w:r>
        <w:t xml:space="preserve"> — Rank Surge #1 (-49.4 slope, now #117) on </w:t>
      </w:r>
      <w:r>
        <w:rPr>
          <w:b/>
        </w:rPr>
        <w:t>23.4x volume</w:t>
      </w:r>
      <w:r>
        <w:t xml:space="preserve"> Friday. Also fired Golden Cross. State-owned general insurer; volume explosion + structural rank move = institutional footprint.</w:t>
      </w:r>
    </w:p>
    <w:p>
      <w:pPr>
        <w:pStyle w:val="ListBullet"/>
      </w:pPr>
      <w:r>
        <w:rPr>
          <w:b/>
        </w:rPr>
        <w:t>BERGEPAINT</w:t>
      </w:r>
      <w:r>
        <w:t xml:space="preserve"> — 20.9x volume breakout on Friday despite being a struggling sector. Worth watching whether paints (Asian Paints also fired MACD Strong) is staging a quiet revival.</w:t>
      </w:r>
    </w:p>
    <w:p>
      <w:pPr>
        <w:pStyle w:val="ListBullet"/>
      </w:pPr>
      <w:r>
        <w:rPr>
          <w:b/>
        </w:rPr>
        <w:t>Financial Services cluster volume day</w:t>
      </w:r>
      <w:r>
        <w:t xml:space="preserve"> — NIACL, TVSHLTD, AADHARHFC, POONAWALLA, CDSL all in the top-10 volume breakouts. </w:t>
      </w:r>
      <w:r>
        <w:rPr>
          <w:b/>
        </w:rPr>
        <w:t>Five financial-services names spiking volume simultaneously is the Citi-$80bn-flows headline being traded.</w:t>
      </w:r>
    </w:p>
    <w:p>
      <w:pPr>
        <w:pStyle w:val="ListBullet"/>
      </w:pPr>
      <w:r>
        <w:rPr>
          <w:b/>
        </w:rPr>
        <w:t>CARBORUNIV</w:t>
      </w:r>
      <w:r>
        <w:t xml:space="preserve"> — 7.0x volume, RS rank #48 (already in the strong cohort). Industrial leadership broadening.</w:t>
      </w:r>
    </w:p>
    <w:p>
      <w:pPr>
        <w:pStyle w:val="ListBullet"/>
      </w:pPr>
      <w:r>
        <w:rPr>
          <w:b/>
        </w:rPr>
        <w:t>SWSOLAR</w:t>
      </w:r>
      <w:r>
        <w:t xml:space="preserve"> — 5.1x volume, RS #82 — solar/clean energy stealth bid continuing.</w:t>
      </w:r>
    </w:p>
    <w:p>
      <w:pPr>
        <w:pStyle w:val="Heading2"/>
      </w:pPr>
      <w:r>
        <w:t>7. Macro &amp; Global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Metric</w:t>
            </w:r>
          </w:p>
        </w:tc>
        <w:tc>
          <w:tcPr>
            <w:tcW w:type="dxa" w:w="2880"/>
          </w:tcPr>
          <w:p>
            <w:r/>
            <w:r>
              <w:rPr>
                <w:b/>
                <w:sz w:val="20"/>
              </w:rPr>
              <w:t>Level</w:t>
            </w:r>
          </w:p>
        </w:tc>
        <w:tc>
          <w:tcPr>
            <w:tcW w:type="dxa" w:w="2880"/>
          </w:tcPr>
          <w:p>
            <w:r/>
            <w:r>
              <w:rPr>
                <w:b/>
                <w:sz w:val="20"/>
              </w:rPr>
              <w:t>WoW</w:t>
            </w:r>
          </w:p>
        </w:tc>
      </w:tr>
      <w:tr>
        <w:tc>
          <w:tcPr>
            <w:tcW w:type="dxa" w:w="2880"/>
          </w:tcPr>
          <w:p>
            <w:r>
              <w:rPr>
                <w:sz w:val="20"/>
              </w:rPr>
            </w:r>
            <w:r>
              <w:rPr>
                <w:sz w:val="20"/>
              </w:rPr>
              <w:t>India VIX</w:t>
            </w:r>
          </w:p>
        </w:tc>
        <w:tc>
          <w:tcPr>
            <w:tcW w:type="dxa" w:w="2880"/>
          </w:tcPr>
          <w:p>
            <w:r>
              <w:rPr>
                <w:sz w:val="20"/>
              </w:rPr>
            </w:r>
            <w:r>
              <w:rPr>
                <w:sz w:val="20"/>
              </w:rPr>
              <w:t>13.19</w:t>
            </w:r>
          </w:p>
        </w:tc>
        <w:tc>
          <w:tcPr>
            <w:tcW w:type="dxa" w:w="2880"/>
          </w:tcPr>
          <w:p>
            <w:r>
              <w:rPr>
                <w:sz w:val="20"/>
              </w:rPr>
            </w:r>
            <w:r>
              <w:rPr>
                <w:b/>
                <w:sz w:val="20"/>
              </w:rPr>
              <w:t>-2.42</w:t>
            </w:r>
          </w:p>
        </w:tc>
      </w:tr>
      <w:tr>
        <w:tc>
          <w:tcPr>
            <w:tcW w:type="dxa" w:w="2880"/>
          </w:tcPr>
          <w:p>
            <w:r>
              <w:rPr>
                <w:sz w:val="20"/>
              </w:rPr>
            </w:r>
            <w:r>
              <w:rPr>
                <w:sz w:val="20"/>
              </w:rPr>
              <w:t>Brent</w:t>
            </w:r>
          </w:p>
        </w:tc>
        <w:tc>
          <w:tcPr>
            <w:tcW w:type="dxa" w:w="2880"/>
          </w:tcPr>
          <w:p>
            <w:r>
              <w:rPr>
                <w:sz w:val="20"/>
              </w:rPr>
            </w:r>
            <w:r>
              <w:rPr>
                <w:sz w:val="20"/>
              </w:rPr>
              <w:t>$80.37</w:t>
            </w:r>
          </w:p>
        </w:tc>
        <w:tc>
          <w:tcPr>
            <w:tcW w:type="dxa" w:w="2880"/>
          </w:tcPr>
          <w:p>
            <w:r>
              <w:rPr>
                <w:sz w:val="20"/>
              </w:rPr>
            </w:r>
            <w:r>
              <w:rPr>
                <w:b/>
                <w:sz w:val="20"/>
              </w:rPr>
              <w:t>-9.0%</w:t>
            </w:r>
          </w:p>
        </w:tc>
      </w:tr>
      <w:tr>
        <w:tc>
          <w:tcPr>
            <w:tcW w:type="dxa" w:w="2880"/>
          </w:tcPr>
          <w:p>
            <w:r>
              <w:rPr>
                <w:sz w:val="20"/>
              </w:rPr>
            </w:r>
            <w:r>
              <w:rPr>
                <w:sz w:val="20"/>
              </w:rPr>
              <w:t>DXY</w:t>
            </w:r>
          </w:p>
        </w:tc>
        <w:tc>
          <w:tcPr>
            <w:tcW w:type="dxa" w:w="2880"/>
          </w:tcPr>
          <w:p>
            <w:r>
              <w:rPr>
                <w:sz w:val="20"/>
              </w:rPr>
            </w:r>
            <w:r>
              <w:rPr>
                <w:sz w:val="20"/>
              </w:rPr>
              <w:t>100.96</w:t>
            </w:r>
          </w:p>
        </w:tc>
        <w:tc>
          <w:tcPr>
            <w:tcW w:type="dxa" w:w="2880"/>
          </w:tcPr>
          <w:p>
            <w:r>
              <w:rPr>
                <w:sz w:val="20"/>
              </w:rPr>
            </w:r>
            <w:r>
              <w:rPr>
                <w:sz w:val="20"/>
              </w:rPr>
              <w:t>+1.09</w:t>
            </w:r>
          </w:p>
        </w:tc>
      </w:tr>
      <w:tr>
        <w:tc>
          <w:tcPr>
            <w:tcW w:type="dxa" w:w="2880"/>
          </w:tcPr>
          <w:p>
            <w:r>
              <w:rPr>
                <w:sz w:val="20"/>
              </w:rPr>
            </w:r>
            <w:r>
              <w:rPr>
                <w:sz w:val="20"/>
              </w:rPr>
              <w:t>Gold (USD)</w:t>
            </w:r>
          </w:p>
        </w:tc>
        <w:tc>
          <w:tcPr>
            <w:tcW w:type="dxa" w:w="2880"/>
          </w:tcPr>
          <w:p>
            <w:r>
              <w:rPr>
                <w:sz w:val="20"/>
              </w:rPr>
            </w:r>
            <w:r>
              <w:rPr>
                <w:sz w:val="20"/>
              </w:rPr>
              <w:t>$4,161.50</w:t>
            </w:r>
          </w:p>
        </w:tc>
        <w:tc>
          <w:tcPr>
            <w:tcW w:type="dxa" w:w="2880"/>
          </w:tcPr>
          <w:p>
            <w:r>
              <w:rPr>
                <w:sz w:val="20"/>
              </w:rPr>
            </w:r>
            <w:r>
              <w:rPr>
                <w:sz w:val="20"/>
              </w:rPr>
              <w:t>-0.8%</w:t>
            </w:r>
          </w:p>
        </w:tc>
      </w:tr>
      <w:tr>
        <w:tc>
          <w:tcPr>
            <w:tcW w:type="dxa" w:w="2880"/>
          </w:tcPr>
          <w:p>
            <w:r>
              <w:rPr>
                <w:sz w:val="20"/>
              </w:rPr>
            </w:r>
            <w:r>
              <w:rPr>
                <w:sz w:val="20"/>
              </w:rPr>
              <w:t>Silver (USD)</w:t>
            </w:r>
          </w:p>
        </w:tc>
        <w:tc>
          <w:tcPr>
            <w:tcW w:type="dxa" w:w="2880"/>
          </w:tcPr>
          <w:p>
            <w:r>
              <w:rPr>
                <w:sz w:val="20"/>
              </w:rPr>
            </w:r>
            <w:r>
              <w:rPr>
                <w:sz w:val="20"/>
              </w:rPr>
              <w:t>$64.11</w:t>
            </w:r>
          </w:p>
        </w:tc>
        <w:tc>
          <w:tcPr>
            <w:tcW w:type="dxa" w:w="2880"/>
          </w:tcPr>
          <w:p>
            <w:r>
              <w:rPr>
                <w:sz w:val="20"/>
              </w:rPr>
            </w:r>
            <w:r>
              <w:rPr>
                <w:sz w:val="20"/>
              </w:rPr>
              <w:t>-3.9%</w:t>
            </w:r>
          </w:p>
        </w:tc>
      </w:tr>
    </w:tbl>
    <w:p/>
    <w:p>
      <w:r>
        <w:t>VIX collapsing 2.4 points alongside a 1.7% Nifty rally is unusually clean — the market re-priced risk lower, not just bought stocks.</w:t>
      </w:r>
    </w:p>
    <w:p>
      <w:r>
        <w:rPr>
          <w:b/>
        </w:rPr>
        <w:t>Domestic policy and RBI catalysts this week (the real drivers):</w:t>
      </w:r>
    </w:p>
    <w:p>
      <w:pPr>
        <w:pStyle w:val="ListNumber"/>
      </w:pPr>
      <w:r>
        <w:rPr>
          <w:b/>
        </w:rPr>
        <w:t>RBI opened listed Indian equities to foreign investors directly</w:t>
      </w:r>
      <w:r>
        <w:t xml:space="preserve"> — structural bullish for breadth and flows. Citi immediately projected </w:t>
      </w:r>
      <w:r>
        <w:rPr>
          <w:b/>
        </w:rPr>
        <w:t>$80bn of incoming flows</w:t>
      </w:r>
      <w:r>
        <w:t>. Financial Services quadrant flip to Leading is the cleanest expression.</w:t>
      </w:r>
    </w:p>
    <w:p>
      <w:pPr>
        <w:pStyle w:val="ListNumber"/>
      </w:pPr>
      <w:r>
        <w:rPr>
          <w:b/>
        </w:rPr>
        <w:t>RBI tightened bundled-product norms; lenders must refund for mis-selling</w:t>
      </w:r>
      <w:r>
        <w:t xml:space="preserve"> — bearish for private retail banks' cross-sell fee income. HDFCBANK -2.4% on the week, KOTAKBANK -1.0% 5-day fit this read.</w:t>
      </w:r>
    </w:p>
    <w:p>
      <w:pPr>
        <w:pStyle w:val="ListNumber"/>
      </w:pPr>
      <w:r>
        <w:rPr>
          <w:b/>
        </w:rPr>
        <w:t>Gold import duty hike</w:t>
      </w:r>
      <w:r>
        <w:t xml:space="preserve"> (continuing) — explains the </w:t>
      </w:r>
      <w:r>
        <w:rPr>
          <w:b/>
        </w:rPr>
        <w:t>ETF sector -2.6%</w:t>
      </w:r>
      <w:r>
        <w:t xml:space="preserve"> and the divergence with flat global gold. Don't mistake this for safe-haven unwinding.</w:t>
      </w:r>
    </w:p>
    <w:p>
      <w:pPr>
        <w:pStyle w:val="ListNumber"/>
      </w:pPr>
      <w:r>
        <w:rPr>
          <w:b/>
        </w:rPr>
        <w:t>India-UK FTA finalised</w:t>
      </w:r>
      <w:r>
        <w:t xml:space="preserve"> allowing lower-duty UK car imports over 15 years — slow-burn bearish for domestic OEMs, though MARUTI / M&amp;M didn't really react this week (5-day +0.2% / +1.1%).</w:t>
      </w:r>
    </w:p>
    <w:p>
      <w:pPr>
        <w:pStyle w:val="ListNumber"/>
      </w:pPr>
      <w:r>
        <w:rPr>
          <w:b/>
        </w:rPr>
        <w:t>US Fed held but signalled hawkish</w:t>
      </w:r>
      <w:r>
        <w:t xml:space="preserve"> — direct IT-sector hit; INFY -6.8% in one day is the cleanest single-stock expression of the Fed read.</w:t>
      </w:r>
    </w:p>
    <w:p>
      <w:pPr>
        <w:pStyle w:val="ListNumber"/>
      </w:pPr>
      <w:r>
        <w:rPr>
          <w:b/>
        </w:rPr>
        <w:t>$10bn US tariff repatriation expected to India</w:t>
      </w:r>
      <w:r>
        <w:t xml:space="preserve"> — bullish for export-heavy manufacturers, fits the textiles/trading sector rip.</w:t>
      </w:r>
    </w:p>
    <w:p>
      <w:pPr>
        <w:pStyle w:val="Heading2"/>
      </w:pPr>
      <w:r>
        <w:t>8. What to Watch Next Week</w:t>
      </w:r>
    </w:p>
    <w:p>
      <w:pPr>
        <w:pStyle w:val="ListBullet"/>
      </w:pPr>
      <w:r>
        <w:rPr>
          <w:b/>
        </w:rPr>
        <w:t>Nifty's 24,180 high (Thursday) → 24,488 EMA200</w:t>
      </w:r>
      <w:r>
        <w:t xml:space="preserve"> — the gauntlet. Holding above 23,761 (EMA50) keeps the trend intact; reclaiming 24,488 would change the medium-term picture meaningfully.</w:t>
      </w:r>
    </w:p>
    <w:p>
      <w:pPr>
        <w:pStyle w:val="ListBullet"/>
      </w:pPr>
      <w:r>
        <w:rPr>
          <w:b/>
        </w:rPr>
        <w:t>Watch whether Financial Services follow-through continues</w:t>
      </w:r>
      <w:r>
        <w:t xml:space="preserve"> into Tier-2 names — the rotation signal is fresh and the FII-flow narrative is structural, not one-week.</w:t>
      </w:r>
    </w:p>
    <w:p>
      <w:pPr>
        <w:pStyle w:val="ListBullet"/>
      </w:pPr>
      <w:r>
        <w:rPr>
          <w:b/>
        </w:rPr>
        <w:t>IT response post-Fed</w:t>
      </w:r>
      <w:r>
        <w:t xml:space="preserve"> — if INFY / TCS stabilise above their 50-EMAs, the Fed shock is priced in; further weakness means the IT bear case is extending.</w:t>
      </w:r>
    </w:p>
    <w:p>
      <w:pPr>
        <w:pStyle w:val="ListBullet"/>
      </w:pPr>
      <w:r>
        <w:rPr>
          <w:b/>
        </w:rPr>
        <w:t>Aviation second-derivative</w:t>
      </w:r>
      <w:r>
        <w:t xml:space="preserve"> — Indigo Golden Cross + Brent below $80 is a strong setup; watch whether SpiceJet / second-tier names start firing signals.</w:t>
      </w:r>
    </w:p>
    <w:p>
      <w:pPr>
        <w:pStyle w:val="ListBullet"/>
      </w:pPr>
      <w:r>
        <w:rPr>
          <w:b/>
        </w:rPr>
        <w:t>Gold/ETF complex</w:t>
      </w:r>
      <w:r>
        <w:t xml:space="preserve"> — whether the duty-hike demand destruction fully prices in, or whether jewellery names (Titan already firing) decouple further from ETFs.</w:t>
      </w:r>
    </w:p>
    <w:p>
      <w:r>
        <w:t>(No fresh corporate earnings flagged in the news feed as upcoming — the calendar is quiet on declared near-term prints.)</w:t>
      </w:r>
    </w:p>
    <w:p>
      <w:pPr>
        <w:pStyle w:val="Heading2"/>
      </w:pPr>
      <w:r>
        <w:t>9. The Bottom Line</w:t>
      </w:r>
    </w:p>
    <w:p>
      <w:pPr>
        <w:pStyle w:val="ListNumber"/>
      </w:pPr>
      <w:r>
        <w:rPr>
          <w:b/>
        </w:rPr>
        <w:t>The week was a policy-and-oil rally, not an earnings rally.</w:t>
      </w:r>
      <w:r>
        <w:t xml:space="preserve"> Brent -9%, RBI opening equity access to foreigners, and Citi's $80bn flow call did the work. With no fresh earnings declarations and the Fed cutting against IT, the rotation is being driven by macro and flows. Watch whether these catalysts sustain — single-event rallies fade if the next data point disappoints.</w:t>
      </w:r>
    </w:p>
    <w:p>
      <w:pPr>
        <w:pStyle w:val="ListNumber"/>
      </w:pPr>
      <w:r>
        <w:rPr>
          <w:b/>
        </w:rPr>
        <w:t>Financial Services is the cleanest setup on the board right now</w:t>
      </w:r>
      <w:r>
        <w:t xml:space="preserve"> — quadrant flip to Leading, the biggest momentum delta (+0.86), five names in the top-10 volume breakouts, and a structural FII-flow tailwind. The RBI mis-selling crackdown is a real near-term offset for private retail banks specifically (HDFCBANK reaction confirms), so the rotation may favour PSU / NBFC / capital-markets names over the obvious private-bank trade.</w:t>
      </w:r>
    </w:p>
    <w:p>
      <w:pPr>
        <w:pStyle w:val="ListNumber"/>
      </w:pPr>
      <w:r>
        <w:rPr>
          <w:b/>
        </w:rPr>
        <w:t>Breadth is recovering but not yet breaking out.</w:t>
      </w:r>
      <w:r>
        <w:t xml:space="preserve"> 53% above EMA200 and only 1 fresh 52W high on Friday means this is still a repair tape, not a thrust tape. Nifty below the 200-EMA is the honest summary — until that breaks, treat the rally as tactical and respect the 23,654 EMA20 as the line that, if it goes, takes the whole setup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