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Intelligence — 2026-10-17</w:t>
      </w:r>
    </w:p>
    <w:p>
      <w:pPr>
        <w:pStyle w:val="Heading2"/>
      </w:pPr>
      <w:r>
        <w:t>1. What Happened This Week</w:t>
      </w:r>
    </w:p>
    <w:p>
      <w:r>
        <w:t xml:space="preserve">Indian equities snapped back with authority: Nifty 50 climbed from </w:t>
      </w:r>
      <w:r>
        <w:rPr>
          <w:b/>
        </w:rPr>
        <w:t>22,520.45 on Sunday to 23,146.15 by Friday — a +2.8% weekly gain</w:t>
      </w:r>
      <w:r>
        <w:t xml:space="preserve">, with the real work done Thursday (+1.7%) and Friday (+0.6%). The dominant catalyst was a one-two external punch: </w:t>
      </w:r>
      <w:r>
        <w:rPr>
          <w:b/>
        </w:rPr>
        <w:t>Trump's waiver of US sanctions and tariffs on Russian oil (a "New this week" event in the digest)</w:t>
      </w:r>
      <w:r>
        <w:t xml:space="preserve">, which removes a tariff overhang on India's single-largest crude source, and the </w:t>
      </w:r>
      <w:r>
        <w:rPr>
          <w:b/>
        </w:rPr>
        <w:t>IMF's upgrade of India's FY27–FY28 GDP growth to 7% — the biggest upgrade among major emerging markets</w:t>
      </w:r>
      <w:r>
        <w:t>, backed by a Deloitte 7.1–7.3% forecast. Both landed into a market that had already been bruised by five weeks of rupee stress, so the response was violent — IT stocks led a +5.4% weekly sector move, and the rupee stabilised near 97/USD. The RBI's ongoing rupee defence (continuing from prior weeks) remains background rather than this week's news.</w:t>
      </w:r>
    </w:p>
    <w:p>
      <w:pPr>
        <w:pStyle w:val="Heading2"/>
      </w:pPr>
      <w:r>
        <w:t>2. The Trend Picture</w:t>
      </w:r>
    </w:p>
    <w:p>
      <w:r>
        <w:t xml:space="preserve">Nifty closed Friday at </w:t>
      </w:r>
      <w:r>
        <w:rPr>
          <w:b/>
        </w:rPr>
        <w:t>23,146.15 — above the 20-day EMA (Exponential Moving Average — a smoothed average of recent closing prices that traders use as trend reference) of 22,831.21 (+1.4%), but still BELOW the 50-day EMA at 23,277.63 (-0.6%) and well BELOW the 200-day EMA at 24,017.99 (-3.6%)</w:t>
      </w:r>
      <w:r>
        <w:t>. Translation: we've reclaimed short-term trend but the medium- and long-term trends remain broken. This is a bounce in a downtrend, not a confirmed new uptrend — the 50-day EMA, now ~130 points overhead, is the first real test.</w:t>
      </w:r>
    </w:p>
    <w:p>
      <w:r>
        <w:t xml:space="preserve">Breadth is improving but not yet convincing. </w:t>
      </w:r>
      <w:r>
        <w:rPr>
          <w:b/>
        </w:rPr>
        <w:t>% of stocks above the 200-day EMA climbed from 27% last Thursday to 33% by Friday</w:t>
      </w:r>
      <w:r>
        <w:t xml:space="preserve"> — directional, but a third of the market is still in a long-term downtrend. The strongest internal day was </w:t>
      </w:r>
      <w:r>
        <w:rPr>
          <w:b/>
        </w:rPr>
        <w:t>Tuesday (Oct 13), with 423 advances vs 159 declines</w:t>
      </w:r>
      <w:r>
        <w:t xml:space="preserve"> on a +1.6% Nifty move — a textbook thrust day. However, Thursday's +1.7% headline move came on a weaker 218/364 A/D (Advance/Decline — stocks up vs stocks down on the day) split, meaning the rally was narrow and index-led. Fresh 52-week lows have collapsed from 96 on Oct 8 to 12 on Friday — the capitulation phase appears done.</w:t>
      </w:r>
    </w:p>
    <w:p>
      <w:pPr>
        <w:pStyle w:val="Heading2"/>
      </w:pPr>
      <w:r>
        <w:t>3. Sector Rotation — Where Money Is Flowing</w:t>
      </w:r>
    </w:p>
    <w:p>
      <w:r>
        <w:rPr>
          <w:b/>
        </w:rPr>
        <w:t>Top 3 (5-day median return):</w:t>
      </w:r>
      <w:r>
        <w:t xml:space="preserve"> IT </w:t>
      </w:r>
      <w:r>
        <w:rPr>
          <w:b/>
        </w:rPr>
        <w:t>+5.4%</w:t>
      </w:r>
      <w:r>
        <w:t xml:space="preserve">, Agriculture </w:t>
      </w:r>
      <w:r>
        <w:rPr>
          <w:b/>
        </w:rPr>
        <w:t>+5.1%</w:t>
      </w:r>
      <w:r>
        <w:t xml:space="preserve">, Media </w:t>
      </w:r>
      <w:r>
        <w:rPr>
          <w:b/>
        </w:rPr>
        <w:t>+3.7%</w:t>
      </w:r>
      <w:r>
        <w:t xml:space="preserve">. </w:t>
      </w:r>
      <w:r>
        <w:rPr>
          <w:b/>
        </w:rPr>
        <w:t>Bottom 3:</w:t>
      </w:r>
      <w:r>
        <w:t xml:space="preserve"> ETF </w:t>
      </w:r>
      <w:r>
        <w:rPr>
          <w:b/>
        </w:rPr>
        <w:t>-3.4%</w:t>
      </w:r>
      <w:r>
        <w:t xml:space="preserve">, Aviation </w:t>
      </w:r>
      <w:r>
        <w:rPr>
          <w:b/>
        </w:rPr>
        <w:t>-3.3%</w:t>
      </w:r>
      <w:r>
        <w:t xml:space="preserve">, Healthcare </w:t>
      </w:r>
      <w:r>
        <w:rPr>
          <w:b/>
        </w:rPr>
        <w:t>-1.2%</w:t>
      </w:r>
      <w:r>
        <w:t>.</w:t>
      </w:r>
    </w:p>
    <w:p>
      <w:r>
        <w:t xml:space="preserve">The headline story is IT, which </w:t>
      </w:r>
      <w:r>
        <w:rPr>
          <w:b/>
        </w:rPr>
        <w:t>flipped from Improving to Leading on the Relative Rotation Graph (RS Δ +8.9, momentum Δ +0.90)</w:t>
      </w:r>
      <w:r>
        <w:t xml:space="preserve"> — the cleanest rotation of the week. The rupee stabilising near 97 is a direct tailwind (IT earns in dollars, reports in rupees), and TCS, Wipro and TechM delivered solid prints (more on these below). This is the only sector where macro, earnings and technicals are all pointing the same way.</w:t>
      </w:r>
    </w:p>
    <w:p>
      <w:r>
        <w:rPr>
          <w:b/>
        </w:rPr>
        <w:t>Textiles also flipped Weakening → Leading</w:t>
      </w:r>
      <w:r>
        <w:t xml:space="preserve"> and Trading flipped Lagging → Improving — both likely sniffing the </w:t>
      </w:r>
      <w:r>
        <w:rPr>
          <w:b/>
        </w:rPr>
        <w:t>India-EFTA FTA finalisation</w:t>
      </w:r>
      <w:r>
        <w:t xml:space="preserve"> flagged as imminent in the digest, which specifically benefits chemicals, pharma, textiles and machinery.</w:t>
      </w:r>
    </w:p>
    <w:p>
      <w:r>
        <w:t xml:space="preserve">On the losing side, note the </w:t>
      </w:r>
      <w:r>
        <w:rPr>
          <w:b/>
        </w:rPr>
        <w:t>ETF sector down 3.4% for the week with SILVERBEES among the week's biggest rank decliners</w:t>
      </w:r>
      <w:r>
        <w:t xml:space="preserve">. This is NOT a safe-haven story unwinding — it maps directly to </w:t>
      </w:r>
      <w:r>
        <w:rPr>
          <w:b/>
        </w:rPr>
        <w:t>silver dropping 4.8% in USD terms globally</w:t>
      </w:r>
      <w:r>
        <w:t xml:space="preserve"> and the gold/silver ratio widening to 72.54. Aviation's Leading → Lagging flip (RS Δ -10.9) alongside </w:t>
      </w:r>
      <w:r>
        <w:rPr>
          <w:b/>
        </w:rPr>
        <w:t>Brent +1.8% to $105.22</w:t>
      </w:r>
      <w:r>
        <w:t xml:space="preserve"> is textbook: higher crude = squeezed airline margins. Banking's Weakening → Lagging flip despite decent large-bank earnings is a yellow flag — RBI's rupee defence (higher forward premiums, tighter FX conditions) is quietly costing lenders.</w:t>
      </w:r>
    </w:p>
    <w:p>
      <w:pPr>
        <w:pStyle w:val="Heading2"/>
      </w:pPr>
      <w:r>
        <w:t>4. Earnings Pulse</w:t>
      </w:r>
    </w:p>
    <w:p>
      <w:r>
        <w:rPr>
          <w:b/>
        </w:rPr>
        <w:t>This section covers the Sep 2026 reporting season only. 40 stocks have reported; 505 are still pending</w:t>
      </w:r>
      <w:r>
        <w:t xml:space="preserve"> — so these reads are early-season signals, not full-season verdicts.</w:t>
      </w:r>
    </w:p>
    <w:p>
      <w:r>
        <w:rPr>
          <w:b/>
        </w:rPr>
        <w:t>(a) Sector aggregates:</w:t>
      </w:r>
      <w:r>
        <w:t xml:space="preserve"> The leader by a mile is </w:t>
      </w:r>
      <w:r>
        <w:rPr>
          <w:b/>
        </w:rPr>
        <w:t>Industrial (+42.4% median EPS YoY, 3 stocks)</w:t>
      </w:r>
      <w:r>
        <w:t xml:space="preserve">, followed by </w:t>
      </w:r>
      <w:r>
        <w:rPr>
          <w:b/>
        </w:rPr>
        <w:t>Financial Services (+15.4%, 9 stocks)</w:t>
      </w:r>
      <w:r>
        <w:t xml:space="preserve">, </w:t>
      </w:r>
      <w:r>
        <w:rPr>
          <w:b/>
        </w:rPr>
        <w:t>IT (+15.0%, 6 stocks)</w:t>
      </w:r>
      <w:r>
        <w:t xml:space="preserve"> and </w:t>
      </w:r>
      <w:r>
        <w:rPr>
          <w:b/>
        </w:rPr>
        <w:t>Banking (+14.0%, 5 stocks)</w:t>
      </w:r>
      <w:r>
        <w:t>. IT at +15% median EPS growth matched with the sector's +5.4% weekly rally is the cleanest print-meets-price moment of the season so far.</w:t>
      </w:r>
    </w:p>
    <w:p>
      <w:r>
        <w:rPr>
          <w:b/>
        </w:rPr>
        <w:t>(b) Extremes (colour only):</w:t>
      </w:r>
      <w:r>
        <w:t xml:space="preserve"> POONAWALLA +368% EPS and MRPL +203% top the beats, but both are small-base effects — not sector signals. On the miss side, </w:t>
      </w:r>
      <w:r>
        <w:rPr>
          <w:b/>
        </w:rPr>
        <w:t>JIOFIN -52% EPS despite +73% revenue growth</w:t>
      </w:r>
      <w:r>
        <w:t xml:space="preserve"> stands out: the top line is scaling but profitability is deteriorating sharply.</w:t>
      </w:r>
    </w:p>
    <w:p>
      <w:r>
        <w:rPr>
          <w:b/>
        </w:rPr>
        <w:t>(c) Bellwether reads — the critical sub-section:</w:t>
      </w:r>
    </w:p>
    <w:p>
      <w:r>
        <w:rPr>
          <w:b/>
        </w:rPr>
        <w:t>Staleness caveat first — the "Recent Earnings Declared (last 10 days)" list is EMPTY.</w:t>
      </w:r>
      <w:r>
        <w:t xml:space="preserve"> That means every bellwether EPS print below was filed earlier in this reporting window; the current-week price action is this week's sector rotation, not a fresh-print reaction. Treat the EPS and 5-day return columns as two separate stories.</w:t>
      </w:r>
    </w:p>
    <w:p>
      <w:pPr>
        <w:pStyle w:val="ListBullet"/>
      </w:pPr>
      <w:r>
        <w:rPr>
          <w:b/>
        </w:rPr>
        <w:t>TCS (IT, ₹7.7 lakh crore mcap)</w:t>
      </w:r>
      <w:r>
        <w:t xml:space="preserve"> — printed +15% EPS / +11.2% revenue earlier in the quarter; this week's </w:t>
      </w:r>
      <w:r>
        <w:rPr>
          <w:b/>
        </w:rPr>
        <w:t>+14.3% 5-day move</w:t>
      </w:r>
      <w:r>
        <w:t xml:space="preserve"> is pure IT-sector rotation on rupee stabilisation, not a fresh earnings catalyst. The print is confirmatory, not causal.</w:t>
      </w:r>
    </w:p>
    <w:p>
      <w:pPr>
        <w:pStyle w:val="ListBullet"/>
      </w:pPr>
      <w:r>
        <w:rPr>
          <w:b/>
        </w:rPr>
        <w:t>TechM (+33% EPS, +15.6% rev; +18.2% 5-day, +8.5% Friday)</w:t>
      </w:r>
      <w:r>
        <w:t xml:space="preserve"> — the strongest bellwether move of the week. TechM also appeared in the volume-breakout table at </w:t>
      </w:r>
      <w:r>
        <w:rPr>
          <w:b/>
        </w:rPr>
        <w:t>8.1x average volume</w:t>
      </w:r>
      <w:r>
        <w:t>. Read-through: mid-tier IT with margin leverage is where institutional flows are going.</w:t>
      </w:r>
    </w:p>
    <w:p>
      <w:pPr>
        <w:pStyle w:val="ListBullet"/>
      </w:pPr>
      <w:r>
        <w:rPr>
          <w:b/>
        </w:rPr>
        <w:t>Wipro (+4% EPS, +9.1% rev; +13.7% 5-day)</w:t>
      </w:r>
      <w:r>
        <w:t xml:space="preserve"> — modest print, outsized rally. This is almost entirely a rupee/rotation trade, not an earnings endorsement. Worth noting if the rupee reverses.</w:t>
      </w:r>
    </w:p>
    <w:p>
      <w:pPr>
        <w:pStyle w:val="ListBullet"/>
      </w:pPr>
      <w:r>
        <w:rPr>
          <w:b/>
        </w:rPr>
        <w:t>Nestle India (+36% EPS, +20.3% rev; -5.1% 5-day)</w:t>
      </w:r>
      <w:r>
        <w:t xml:space="preserve"> — the week's most informative </w:t>
      </w:r>
      <w:r>
        <w:rPr>
          <w:i/>
        </w:rPr>
        <w:t>negative</w:t>
      </w:r>
      <w:r>
        <w:t xml:space="preserve"> divergence. A genuinely strong print met a -5% price move. This smells like premium-FMCG valuation fatigue meeting a rotation OUT of defensives into IT and cyclicals. Watch for read-through to HUL and Britannia.</w:t>
      </w:r>
    </w:p>
    <w:p>
      <w:pPr>
        <w:pStyle w:val="ListBullet"/>
      </w:pPr>
      <w:r>
        <w:rPr>
          <w:b/>
        </w:rPr>
        <w:t>DMart (+8% EPS, +17.8% rev; -5.0% 5-day)</w:t>
      </w:r>
      <w:r>
        <w:t xml:space="preserve"> — similar story. Revenue growth is healthy but EPS lag suggests margin pressure, and the stock is being sold. Read-through: brick-and-mortar discretionary is losing the rotation battle to IT.</w:t>
      </w:r>
    </w:p>
    <w:p>
      <w:pPr>
        <w:pStyle w:val="ListBullet"/>
      </w:pPr>
      <w:r>
        <w:rPr>
          <w:b/>
        </w:rPr>
        <w:t>RBL Bank (+2% EPS; -9.5% 5-day)</w:t>
      </w:r>
      <w:r>
        <w:t xml:space="preserve"> — the ugliest bellwether reaction of the week, confirmed by RBL also sitting on the top rank-decliner list (slope +31.6, now ranked #220). The move is far worse than the print suggests — the market is pricing in something the headline numbers don't capture, likely tied to rupee-defence costs or asset-quality concerns. Caveat: we'd need the call transcript to confirm.</w:t>
      </w:r>
    </w:p>
    <w:p>
      <w:pPr>
        <w:pStyle w:val="Heading2"/>
      </w:pPr>
      <w:r>
        <w:t>5. Technical Signals This Week</w:t>
      </w:r>
    </w:p>
    <w:p>
      <w:r>
        <w:t xml:space="preserve">The signal mix is </w:t>
      </w:r>
      <w:r>
        <w:rPr>
          <w:b/>
        </w:rPr>
        <w:t>expanding across trend-change indicators but contracting in high-conviction momentum</w:t>
      </w:r>
      <w:r>
        <w:t xml:space="preserve"> — a classic early-recovery pattern.</w:t>
      </w:r>
    </w:p>
    <w:p>
      <w:pPr>
        <w:pStyle w:val="ListBullet"/>
      </w:pPr>
      <w:r>
        <w:rPr>
          <w:b/>
        </w:rPr>
        <w:t>MACD Buy (momentum oscillator turning positive — a trend-change signal): 30 unique stocks, up from 14 (+16).</w:t>
      </w:r>
      <w:r>
        <w:t xml:space="preserve"> The single biggest expansion this week. Examples: </w:t>
      </w:r>
      <w:r>
        <w:rPr>
          <w:b/>
        </w:rPr>
        <w:t>KOTAKBANK, CYIENT, PTCIL</w:t>
      </w:r>
      <w:r>
        <w:t>. This is the dashboard's biggest tell that a trend inflection is underway.</w:t>
      </w:r>
    </w:p>
    <w:p>
      <w:pPr>
        <w:pStyle w:val="ListBullet"/>
      </w:pPr>
      <w:r>
        <w:rPr>
          <w:b/>
        </w:rPr>
        <w:t>Narrow CPR Breakaway (Central Pivot Range — a tight daily pivot setup often preceding a breakout): 32 stocks, up from 21 (+11).</w:t>
      </w:r>
      <w:r>
        <w:t xml:space="preserve"> Examples: </w:t>
      </w:r>
      <w:r>
        <w:rPr>
          <w:b/>
        </w:rPr>
        <w:t>ICICIGI, NYKAA, PAGEIND, SRF</w:t>
      </w:r>
      <w:r>
        <w:t>. Compression setups are stacking up — potential energy for next week.</w:t>
      </w:r>
    </w:p>
    <w:p>
      <w:pPr>
        <w:pStyle w:val="ListBullet"/>
      </w:pPr>
      <w:r>
        <w:rPr>
          <w:b/>
        </w:rPr>
        <w:t>Golden Cross Buy (20-day EMA crossing above 50-day EMA — a medium-term bullish trend signal): 10 stocks, up from 4 (+6).</w:t>
      </w:r>
      <w:r>
        <w:t xml:space="preserve"> Examples: </w:t>
      </w:r>
      <w:r>
        <w:rPr>
          <w:b/>
        </w:rPr>
        <w:t>LEMONTREE, KARURVYSYA, MPHASIS</w:t>
      </w:r>
      <w:r>
        <w:t>. Medium-term trends are flipping.</w:t>
      </w:r>
    </w:p>
    <w:p>
      <w:pPr>
        <w:pStyle w:val="ListBullet"/>
      </w:pPr>
      <w:r>
        <w:rPr>
          <w:b/>
        </w:rPr>
        <w:t>VCP Buy (Volatility Contraction Pattern — tightening price range before a breakout): 7 stocks, up from 4 (+3).</w:t>
      </w:r>
      <w:r>
        <w:t xml:space="preserve"> Examples: </w:t>
      </w:r>
      <w:r>
        <w:rPr>
          <w:b/>
        </w:rPr>
        <w:t>PTCIL, LAURUSLABS, APARINDS</w:t>
      </w:r>
      <w:r>
        <w:t>.</w:t>
      </w:r>
    </w:p>
    <w:p>
      <w:pPr>
        <w:pStyle w:val="ListBullet"/>
      </w:pPr>
      <w:r>
        <w:rPr>
          <w:b/>
        </w:rPr>
        <w:t>Blue Zone Buy (momentum stocks under institutional accumulation — RSI above thresholds + close above EMA20 + within 10% of 52W high): 5 stocks, DOWN from 10 (-5).</w:t>
      </w:r>
      <w:r>
        <w:t xml:space="preserve"> Examples: </w:t>
      </w:r>
      <w:r>
        <w:rPr>
          <w:b/>
        </w:rPr>
        <w:t>KOTAKBANK, PTCIL</w:t>
      </w:r>
      <w:r>
        <w:t>. This contraction matters — fewer stocks are near 52W highs, confirming the broad market is still in recovery mode, not breakout mode.</w:t>
      </w:r>
    </w:p>
    <w:p>
      <w:pPr>
        <w:pStyle w:val="ListBullet"/>
      </w:pPr>
      <w:r>
        <w:rPr>
          <w:b/>
        </w:rPr>
        <w:t>MACD Strong: 3 stocks, down from 8 (-5).</w:t>
      </w:r>
      <w:r>
        <w:t xml:space="preserve"> Also contracting — momentum extremes are rare right now.</w:t>
      </w:r>
    </w:p>
    <w:p>
      <w:pPr>
        <w:pStyle w:val="ListBullet"/>
      </w:pPr>
      <w:r>
        <w:rPr>
          <w:b/>
        </w:rPr>
        <w:t>Pullback Bounce (strong-trend stocks dipping to EMA20 and recovering): 2 stocks</w:t>
      </w:r>
      <w:r>
        <w:t xml:space="preserve"> — CYIENT, REDINGTON.</w:t>
      </w:r>
    </w:p>
    <w:p>
      <w:pPr>
        <w:pStyle w:val="ListBullet"/>
      </w:pPr>
      <w:r>
        <w:rPr>
          <w:b/>
        </w:rPr>
        <w:t>Bull Flag Buy (sharp rally → orderly consolidation → breakout above the range): 2 stocks</w:t>
      </w:r>
      <w:r>
        <w:t xml:space="preserve"> — SUNTV, DELTACORP.</w:t>
      </w:r>
    </w:p>
    <w:p>
      <w:r>
        <w:rPr>
          <w:b/>
        </w:rPr>
        <w:t>Multi-signal cluster callouts</w:t>
      </w:r>
      <w:r>
        <w:t xml:space="preserve"> (higher-conviction setups where 2+ indicators align):</w:t>
      </w:r>
    </w:p>
    <w:p>
      <w:pPr>
        <w:pStyle w:val="ListBullet"/>
      </w:pPr>
      <w:r>
        <w:rPr>
          <w:b/>
        </w:rPr>
        <w:t>PTCIL — 4 signals (Blue Zone Buy, MACD Buy, MACD Strong, VCP Buy).</w:t>
      </w:r>
      <w:r>
        <w:t xml:space="preserve"> The cleanest multi-indicator setup on the dashboard this week.</w:t>
      </w:r>
    </w:p>
    <w:p>
      <w:pPr>
        <w:pStyle w:val="ListBullet"/>
      </w:pPr>
      <w:r>
        <w:rPr>
          <w:b/>
        </w:rPr>
        <w:t>CYIENT — 3 signals (MACD Buy, MACD Strong, Pullback Bounce).</w:t>
      </w:r>
      <w:r>
        <w:t xml:space="preserve"> IT midcap confirmation of the sector rotation.</w:t>
      </w:r>
    </w:p>
    <w:p>
      <w:pPr>
        <w:pStyle w:val="ListBullet"/>
      </w:pPr>
      <w:r>
        <w:rPr>
          <w:b/>
        </w:rPr>
        <w:t>KOTAKBANK, KARURVYSYA, ICICIGI, FSL, PVRINOX</w:t>
      </w:r>
      <w:r>
        <w:t xml:space="preserve"> — each firing 2 different indicator types.</w:t>
      </w:r>
    </w:p>
    <w:p>
      <w:r>
        <w:rPr>
          <w:b/>
        </w:rPr>
        <w:t>The signal mix is telling us the rally is BROADENING in participation (MACD, Golden Cross, Narrow CPR all expanding) but NARROWING in strength (Blue Zone and MACD Strong contracting)</w:t>
      </w:r>
      <w:r>
        <w:t>. Translation: more stocks turning up, but fewer near breakout highs — consistent with an early-recovery setup rather than a confirmed uptrend.</w:t>
      </w:r>
    </w:p>
    <w:p>
      <w:pPr>
        <w:pStyle w:val="Heading2"/>
      </w:pPr>
      <w:r>
        <w:t>6. Notable Stock-Level Action</w:t>
      </w:r>
    </w:p>
    <w:p>
      <w:pPr>
        <w:pStyle w:val="ListBullet"/>
      </w:pPr>
      <w:r>
        <w:rPr>
          <w:b/>
        </w:rPr>
        <w:t>ORIENT ELECTRIC</w:t>
      </w:r>
      <w:r>
        <w:t xml:space="preserve"> — the week's standout: </w:t>
      </w:r>
      <w:r>
        <w:rPr>
          <w:b/>
        </w:rPr>
        <w:t>56.8x volume ratio</w:t>
      </w:r>
      <w:r>
        <w:t xml:space="preserve"> AND rank now #15. Single-handedly the biggest volume-and-rank combo on the board.</w:t>
      </w:r>
    </w:p>
    <w:p>
      <w:pPr>
        <w:pStyle w:val="ListBullet"/>
      </w:pPr>
      <w:r>
        <w:rPr>
          <w:b/>
        </w:rPr>
        <w:t>TATA ELXSI, KPIT, HAPPSTMNDS, NEWGEN, WIPRO, INFY</w:t>
      </w:r>
      <w:r>
        <w:t xml:space="preserve"> — six IT names dominating the rank-surge list. The rotation is happening in real time, not just at index level.</w:t>
      </w:r>
    </w:p>
    <w:p>
      <w:pPr>
        <w:pStyle w:val="ListBullet"/>
      </w:pPr>
      <w:r>
        <w:rPr>
          <w:b/>
        </w:rPr>
        <w:t>HBL ENGINEERING</w:t>
      </w:r>
      <w:r>
        <w:t xml:space="preserve"> at </w:t>
      </w:r>
      <w:r>
        <w:rPr>
          <w:b/>
        </w:rPr>
        <w:t>20.8x volume</w:t>
      </w:r>
      <w:r>
        <w:t xml:space="preserve"> — auto components / defence crossover worth tracking given Defence sector's +3.6% week.</w:t>
      </w:r>
    </w:p>
    <w:p>
      <w:pPr>
        <w:pStyle w:val="ListBullet"/>
      </w:pPr>
      <w:r>
        <w:rPr>
          <w:b/>
        </w:rPr>
        <w:t>CCL Products at 9.9x volume</w:t>
      </w:r>
      <w:r>
        <w:t xml:space="preserve"> — isolated FMCG name defying its sector; coffee cycle story.</w:t>
      </w:r>
    </w:p>
    <w:p>
      <w:pPr>
        <w:pStyle w:val="ListBullet"/>
      </w:pPr>
      <w:r>
        <w:rPr>
          <w:b/>
        </w:rPr>
        <w:t>KARUR VYSYA BANK</w:t>
      </w:r>
      <w:r>
        <w:t xml:space="preserve"> — 7.4x volume + rank #18 + fires two technical signals. One of the few banking stocks working despite the sector flip to Lagging.</w:t>
      </w:r>
    </w:p>
    <w:p>
      <w:pPr>
        <w:pStyle w:val="Heading2"/>
      </w:pPr>
      <w:r>
        <w:t>7. Macro &amp; Global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Metric</w:t>
            </w:r>
          </w:p>
        </w:tc>
        <w:tc>
          <w:tcPr>
            <w:tcW w:type="dxa" w:w="2880"/>
          </w:tcPr>
          <w:p>
            <w:r/>
            <w:r>
              <w:rPr>
                <w:b/>
                <w:sz w:val="20"/>
              </w:rPr>
              <w:t>Level</w:t>
            </w:r>
          </w:p>
        </w:tc>
        <w:tc>
          <w:tcPr>
            <w:tcW w:type="dxa" w:w="2880"/>
          </w:tcPr>
          <w:p>
            <w:r/>
            <w:r>
              <w:rPr>
                <w:b/>
                <w:sz w:val="20"/>
              </w:rPr>
              <w:t>Weekly change</w:t>
            </w:r>
          </w:p>
        </w:tc>
      </w:tr>
      <w:tr>
        <w:tc>
          <w:tcPr>
            <w:tcW w:type="dxa" w:w="2880"/>
          </w:tcPr>
          <w:p>
            <w:r>
              <w:rPr>
                <w:sz w:val="20"/>
              </w:rPr>
            </w:r>
            <w:r>
              <w:rPr>
                <w:sz w:val="20"/>
              </w:rPr>
              <w:t>India VIX</w:t>
            </w:r>
          </w:p>
        </w:tc>
        <w:tc>
          <w:tcPr>
            <w:tcW w:type="dxa" w:w="2880"/>
          </w:tcPr>
          <w:p>
            <w:r>
              <w:rPr>
                <w:sz w:val="20"/>
              </w:rPr>
            </w:r>
            <w:r>
              <w:rPr>
                <w:sz w:val="20"/>
              </w:rPr>
              <w:t>14.03</w:t>
            </w:r>
          </w:p>
        </w:tc>
        <w:tc>
          <w:tcPr>
            <w:tcW w:type="dxa" w:w="2880"/>
          </w:tcPr>
          <w:p>
            <w:r>
              <w:rPr>
                <w:sz w:val="20"/>
              </w:rPr>
            </w:r>
            <w:r>
              <w:rPr>
                <w:sz w:val="20"/>
              </w:rPr>
              <w:t>-1.25</w:t>
            </w:r>
          </w:p>
        </w:tc>
      </w:tr>
      <w:tr>
        <w:tc>
          <w:tcPr>
            <w:tcW w:type="dxa" w:w="2880"/>
          </w:tcPr>
          <w:p>
            <w:r>
              <w:rPr>
                <w:sz w:val="20"/>
              </w:rPr>
            </w:r>
            <w:r>
              <w:rPr>
                <w:sz w:val="20"/>
              </w:rPr>
              <w:t>Brent (USD)</w:t>
            </w:r>
          </w:p>
        </w:tc>
        <w:tc>
          <w:tcPr>
            <w:tcW w:type="dxa" w:w="2880"/>
          </w:tcPr>
          <w:p>
            <w:r>
              <w:rPr>
                <w:sz w:val="20"/>
              </w:rPr>
            </w:r>
            <w:r>
              <w:rPr>
                <w:sz w:val="20"/>
              </w:rPr>
              <w:t>105.22</w:t>
            </w:r>
          </w:p>
        </w:tc>
        <w:tc>
          <w:tcPr>
            <w:tcW w:type="dxa" w:w="2880"/>
          </w:tcPr>
          <w:p>
            <w:r>
              <w:rPr>
                <w:sz w:val="20"/>
              </w:rPr>
            </w:r>
            <w:r>
              <w:rPr>
                <w:sz w:val="20"/>
              </w:rPr>
              <w:t>+1.8%</w:t>
            </w:r>
          </w:p>
        </w:tc>
      </w:tr>
      <w:tr>
        <w:tc>
          <w:tcPr>
            <w:tcW w:type="dxa" w:w="2880"/>
          </w:tcPr>
          <w:p>
            <w:r>
              <w:rPr>
                <w:sz w:val="20"/>
              </w:rPr>
            </w:r>
            <w:r>
              <w:rPr>
                <w:sz w:val="20"/>
              </w:rPr>
              <w:t>DXY</w:t>
            </w:r>
          </w:p>
        </w:tc>
        <w:tc>
          <w:tcPr>
            <w:tcW w:type="dxa" w:w="2880"/>
          </w:tcPr>
          <w:p>
            <w:r>
              <w:rPr>
                <w:sz w:val="20"/>
              </w:rPr>
            </w:r>
            <w:r>
              <w:rPr>
                <w:sz w:val="20"/>
              </w:rPr>
              <w:t>101.93</w:t>
            </w:r>
          </w:p>
        </w:tc>
        <w:tc>
          <w:tcPr>
            <w:tcW w:type="dxa" w:w="2880"/>
          </w:tcPr>
          <w:p>
            <w:r>
              <w:rPr>
                <w:sz w:val="20"/>
              </w:rPr>
            </w:r>
            <w:r>
              <w:rPr>
                <w:sz w:val="20"/>
              </w:rPr>
              <w:t>-0.10</w:t>
            </w:r>
          </w:p>
        </w:tc>
      </w:tr>
      <w:tr>
        <w:tc>
          <w:tcPr>
            <w:tcW w:type="dxa" w:w="2880"/>
          </w:tcPr>
          <w:p>
            <w:r>
              <w:rPr>
                <w:sz w:val="20"/>
              </w:rPr>
            </w:r>
            <w:r>
              <w:rPr>
                <w:sz w:val="20"/>
              </w:rPr>
              <w:t>Gold (USD)</w:t>
            </w:r>
          </w:p>
        </w:tc>
        <w:tc>
          <w:tcPr>
            <w:tcW w:type="dxa" w:w="2880"/>
          </w:tcPr>
          <w:p>
            <w:r>
              <w:rPr>
                <w:sz w:val="20"/>
              </w:rPr>
            </w:r>
            <w:r>
              <w:rPr>
                <w:sz w:val="20"/>
              </w:rPr>
              <w:t>4,193.10</w:t>
            </w:r>
          </w:p>
        </w:tc>
        <w:tc>
          <w:tcPr>
            <w:tcW w:type="dxa" w:w="2880"/>
          </w:tcPr>
          <w:p>
            <w:r>
              <w:rPr>
                <w:sz w:val="20"/>
              </w:rPr>
            </w:r>
            <w:r>
              <w:rPr>
                <w:sz w:val="20"/>
              </w:rPr>
              <w:t>-0.6%</w:t>
            </w:r>
          </w:p>
        </w:tc>
      </w:tr>
      <w:tr>
        <w:tc>
          <w:tcPr>
            <w:tcW w:type="dxa" w:w="2880"/>
          </w:tcPr>
          <w:p>
            <w:r>
              <w:rPr>
                <w:sz w:val="20"/>
              </w:rPr>
            </w:r>
            <w:r>
              <w:rPr>
                <w:sz w:val="20"/>
              </w:rPr>
              <w:t>Silver (USD)</w:t>
            </w:r>
          </w:p>
        </w:tc>
        <w:tc>
          <w:tcPr>
            <w:tcW w:type="dxa" w:w="2880"/>
          </w:tcPr>
          <w:p>
            <w:r>
              <w:rPr>
                <w:sz w:val="20"/>
              </w:rPr>
            </w:r>
            <w:r>
              <w:rPr>
                <w:sz w:val="20"/>
              </w:rPr>
              <w:t>57.81</w:t>
            </w:r>
          </w:p>
        </w:tc>
        <w:tc>
          <w:tcPr>
            <w:tcW w:type="dxa" w:w="2880"/>
          </w:tcPr>
          <w:p>
            <w:r>
              <w:rPr>
                <w:sz w:val="20"/>
              </w:rPr>
            </w:r>
            <w:r>
              <w:rPr>
                <w:sz w:val="20"/>
              </w:rPr>
              <w:t>-4.8%</w:t>
            </w:r>
          </w:p>
        </w:tc>
      </w:tr>
      <w:tr>
        <w:tc>
          <w:tcPr>
            <w:tcW w:type="dxa" w:w="2880"/>
          </w:tcPr>
          <w:p>
            <w:r>
              <w:rPr>
                <w:sz w:val="20"/>
              </w:rPr>
            </w:r>
            <w:r>
              <w:rPr>
                <w:sz w:val="20"/>
              </w:rPr>
              <w:t>Mcap/GDP</w:t>
            </w:r>
          </w:p>
        </w:tc>
        <w:tc>
          <w:tcPr>
            <w:tcW w:type="dxa" w:w="2880"/>
          </w:tcPr>
          <w:p>
            <w:r>
              <w:rPr>
                <w:sz w:val="20"/>
              </w:rPr>
            </w:r>
            <w:r>
              <w:rPr>
                <w:sz w:val="20"/>
              </w:rPr>
              <w:t>123.70</w:t>
            </w:r>
          </w:p>
        </w:tc>
        <w:tc>
          <w:tcPr>
            <w:tcW w:type="dxa" w:w="2880"/>
          </w:tcPr>
          <w:p>
            <w:r>
              <w:rPr>
                <w:sz w:val="20"/>
              </w:rPr>
            </w:r>
            <w:r>
              <w:rPr>
                <w:sz w:val="20"/>
              </w:rPr>
              <w:t>+4.60</w:t>
            </w:r>
          </w:p>
        </w:tc>
      </w:tr>
    </w:tbl>
    <w:p/>
    <w:p>
      <w:r>
        <w:t>VIX collapsing to 14 while Nifty rallied is a healthy combo — fear is draining. The DXY unchanged alongside IMF's India upgrade helped the rupee stabilise near 97/USD after record lows.</w:t>
      </w:r>
    </w:p>
    <w:p>
      <w:r>
        <w:rPr>
          <w:b/>
        </w:rPr>
        <w:t>Policy and fiscal events this week:</w:t>
      </w:r>
    </w:p>
    <w:p>
      <w:pPr>
        <w:pStyle w:val="ListBullet"/>
      </w:pPr>
      <w:r>
        <w:rPr>
          <w:b/>
        </w:rPr>
        <w:t>Trump's waiver of US sanctions and tariffs on Russian oil (New this week)</w:t>
      </w:r>
      <w:r>
        <w:t xml:space="preserve"> — the week's single biggest positive catalyst. India imports a huge share of its crude from Russia; tariff risk on those purchases is now off the table. Directly bullish for refiners (MRPL already printed +203% EPS) and the broader import bill.</w:t>
      </w:r>
    </w:p>
    <w:p>
      <w:pPr>
        <w:pStyle w:val="ListBullet"/>
      </w:pPr>
      <w:r>
        <w:rPr>
          <w:b/>
        </w:rPr>
        <w:t>IMF upgrade to 7% FY27–FY28 GDP (New this week)</w:t>
      </w:r>
      <w:r>
        <w:t xml:space="preserve"> — the "largest upgrade among major EMs" framing gave foreign-flow narratives a fresh hook mid-week.</w:t>
      </w:r>
    </w:p>
    <w:p>
      <w:pPr>
        <w:pStyle w:val="ListBullet"/>
      </w:pPr>
      <w:r>
        <w:rPr>
          <w:b/>
        </w:rPr>
        <w:t>India-EFTA FTA finalisation flagged as imminent (Upcoming)</w:t>
      </w:r>
      <w:r>
        <w:t xml:space="preserve"> — the digest projects FTAs could add $170bn to GDP by 2035; specifically benefits chemicals, pharma, textiles and machinery. The Textiles RRG flip to Leading is almost certainly front-running this.</w:t>
      </w:r>
    </w:p>
    <w:p>
      <w:pPr>
        <w:pStyle w:val="ListBullet"/>
      </w:pPr>
      <w:r>
        <w:rPr>
          <w:b/>
        </w:rPr>
        <w:t>RBI rupee defence</w:t>
      </w:r>
      <w:r>
        <w:t xml:space="preserve"> (continuing from prior week) — no major new intervention this week beyond existing forward-contract curbs. Rupee near 97 is the stabilisation signal. Background, not foreground.</w:t>
      </w:r>
    </w:p>
    <w:p>
      <w:pPr>
        <w:pStyle w:val="Heading2"/>
      </w:pPr>
      <w:r>
        <w:t>8. What to Watch Next Week</w:t>
      </w:r>
    </w:p>
    <w:p>
      <w:pPr>
        <w:pStyle w:val="ListBullet"/>
      </w:pPr>
      <w:r>
        <w:rPr>
          <w:b/>
        </w:rPr>
        <w:t>Nifty levels</w:t>
      </w:r>
      <w:r>
        <w:t xml:space="preserve">: the </w:t>
      </w:r>
      <w:r>
        <w:rPr>
          <w:b/>
        </w:rPr>
        <w:t>50-day EMA at 23,277.63</w:t>
      </w:r>
      <w:r>
        <w:t xml:space="preserve"> is the critical overhead test — ~130 points above Friday's close. Reclaim it and the next target is the 200-day EMA at 24,017.99. Lose Friday's 23,146 and the 20-day EMA at 22,831 becomes the safety net.</w:t>
      </w:r>
    </w:p>
    <w:p>
      <w:pPr>
        <w:pStyle w:val="ListBullet"/>
      </w:pPr>
      <w:r>
        <w:rPr>
          <w:b/>
        </w:rPr>
        <w:t>IT follow-through</w:t>
      </w:r>
      <w:r>
        <w:t>: the sector just flipped to Leading. Watch whether second-tier IT (Mphasis, Persistent, Coforge) joins the TCS/Wipro/TechM move — that's the confirmation signal.</w:t>
      </w:r>
    </w:p>
    <w:p>
      <w:pPr>
        <w:pStyle w:val="ListBullet"/>
      </w:pPr>
      <w:r>
        <w:rPr>
          <w:b/>
        </w:rPr>
        <w:t>India-EFTA FTA signing</w:t>
      </w:r>
      <w:r>
        <w:t>: flagged as imminent in the digest. Specifically watch textiles, chemicals and pharma on any formal announcement.</w:t>
      </w:r>
    </w:p>
    <w:p>
      <w:pPr>
        <w:pStyle w:val="ListBullet"/>
      </w:pPr>
      <w:r>
        <w:rPr>
          <w:b/>
        </w:rPr>
        <w:t>Narrow CPR cluster</w:t>
      </w:r>
      <w:r>
        <w:t>: 32 stocks in compression setups entering next week — a watchlist with higher-than-usual probability of directional moves. ICICIGI, NYKAA, PAGEIND, SRF are the names to track.</w:t>
      </w:r>
    </w:p>
    <w:p>
      <w:pPr>
        <w:pStyle w:val="ListBullet"/>
      </w:pPr>
      <w:r>
        <w:rPr>
          <w:b/>
        </w:rPr>
        <w:t>Banking read-through</w:t>
      </w:r>
      <w:r>
        <w:t>: RBL's -9.5% response to an in-line print is the sector's warning shot. Watch whether more PSU/private banks follow.</w:t>
      </w:r>
    </w:p>
    <w:p>
      <w:pPr>
        <w:pStyle w:val="Heading2"/>
      </w:pPr>
      <w:r>
        <w:t>9. The Bottom Line</w:t>
      </w:r>
    </w:p>
    <w:p>
      <w:pPr>
        <w:pStyle w:val="ListNumber"/>
      </w:pPr>
      <w:r>
        <w:rPr>
          <w:b/>
        </w:rPr>
        <w:t>IT is the only sector where macro, earnings and price action are aligned.</w:t>
      </w:r>
      <w:r>
        <w:t xml:space="preserve"> Rupee stabilising near 97 + 15% median EPS growth + flip to Leading on the RRG + 6 of the top-10 rank surges = the cleanest setup on the board. Caveat: a lot of the price move is already in — fresh entries need confirmation of a second leg, not chasing.</w:t>
      </w:r>
    </w:p>
    <w:p>
      <w:pPr>
        <w:pStyle w:val="ListNumber"/>
      </w:pPr>
      <w:r>
        <w:rPr>
          <w:b/>
        </w:rPr>
        <w:t>This is a bounce in a downtrend until proven otherwise.</w:t>
      </w:r>
      <w:r>
        <w:t xml:space="preserve"> Nifty is above the 20-day EMA but still below both the 50-day and 200-day EMAs; only 33% of stocks are above their 200-day EMA. The internals are improving but the heavy lifting (reclaiming 23,278 and then 24,018) still lies ahead.</w:t>
      </w:r>
    </w:p>
    <w:p>
      <w:pPr>
        <w:pStyle w:val="ListNumber"/>
      </w:pPr>
      <w:r>
        <w:rPr>
          <w:b/>
        </w:rPr>
        <w:t>Watch the earnings-reaction mismatches, not just the headline prints.</w:t>
      </w:r>
      <w:r>
        <w:t xml:space="preserve"> Nestle +36% EPS → -5% price, DMart +8% EPS → -5%, RBL +2% EPS → -9.5% all tell you more about where money is NOT going than any sector return table can. The rotation story is as much about what's being sold (premium FMCG, retail, mid-tier banks) as what's being bought (IT, textiles, select financials).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